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jc w:val="center"/>
        <w:ind w:right="321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8-K/A</w:t>
      </w:r>
    </w:p>
    <w:p>
      <w:pPr>
        <w:spacing w:after="0" w:line="166"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CURRENT REPORT</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PURSUANT TO SECTION 13 OR 15(d) OF THE SECURITIES EXCHANGE ACT OF 1934</w:t>
      </w:r>
    </w:p>
    <w:p>
      <w:pPr>
        <w:spacing w:after="0" w:line="166" w:lineRule="exact"/>
        <w:rPr>
          <w:sz w:val="24"/>
          <w:szCs w:val="24"/>
          <w:color w:val="auto"/>
        </w:rPr>
      </w:pPr>
    </w:p>
    <w:p>
      <w:pPr>
        <w:spacing w:after="0"/>
        <w:tabs>
          <w:tab w:leader="none" w:pos="4460" w:val="left"/>
        </w:tabs>
        <w:rPr>
          <w:sz w:val="20"/>
          <w:szCs w:val="20"/>
          <w:color w:val="auto"/>
        </w:rPr>
      </w:pPr>
      <w:r>
        <w:rPr>
          <w:rFonts w:ascii="Courier New" w:cs="Courier New" w:eastAsia="Courier New" w:hAnsi="Courier New"/>
          <w:sz w:val="15"/>
          <w:szCs w:val="15"/>
          <w:color w:val="auto"/>
        </w:rPr>
        <w:t>DATE OF REPORT (date of earliest event reported):</w:t>
      </w:r>
      <w:r>
        <w:rPr>
          <w:sz w:val="20"/>
          <w:szCs w:val="20"/>
          <w:color w:val="auto"/>
        </w:rPr>
        <w:tab/>
      </w:r>
      <w:r>
        <w:rPr>
          <w:rFonts w:ascii="Courier New" w:cs="Courier New" w:eastAsia="Courier New" w:hAnsi="Courier New"/>
          <w:sz w:val="14"/>
          <w:szCs w:val="14"/>
          <w:color w:val="auto"/>
        </w:rPr>
        <w:t>March 12, 1997</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USA WASTE SERVICES,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7" w:lineRule="exact"/>
        <w:rPr>
          <w:sz w:val="24"/>
          <w:szCs w:val="24"/>
          <w:color w:val="auto"/>
        </w:rPr>
      </w:pPr>
    </w:p>
    <w:tbl>
      <w:tblPr>
        <w:tblLayout w:type="fixed"/>
        <w:tblInd w:w="180" w:type="dxa"/>
        <w:tblCellMar>
          <w:top w:w="0" w:type="dxa"/>
          <w:left w:w="0" w:type="dxa"/>
          <w:bottom w:w="0" w:type="dxa"/>
          <w:right w:w="0" w:type="dxa"/>
        </w:tblCellMar>
      </w:tblPr>
      <w:tr>
        <w:trPr>
          <w:trHeight w:val="170"/>
        </w:trPr>
        <w:tc>
          <w:tcPr>
            <w:tcW w:w="4680" w:type="dxa"/>
            <w:vAlign w:val="bottom"/>
          </w:tcPr>
          <w:p>
            <w:pPr>
              <w:jc w:val="right"/>
              <w:spacing w:after="0"/>
              <w:rPr>
                <w:sz w:val="20"/>
                <w:szCs w:val="20"/>
                <w:color w:val="auto"/>
              </w:rPr>
            </w:pPr>
            <w:r>
              <w:rPr>
                <w:rFonts w:ascii="Courier New" w:cs="Courier New" w:eastAsia="Courier New" w:hAnsi="Courier New"/>
                <w:sz w:val="15"/>
                <w:szCs w:val="15"/>
                <w:color w:val="auto"/>
              </w:rPr>
              <w:t>Commission file number 1-12154</w:t>
            </w:r>
          </w:p>
        </w:tc>
        <w:tc>
          <w:tcPr>
            <w:tcW w:w="1700" w:type="dxa"/>
            <w:vAlign w:val="bottom"/>
          </w:tcPr>
          <w:p>
            <w:pPr>
              <w:spacing w:after="0"/>
              <w:rPr>
                <w:sz w:val="14"/>
                <w:szCs w:val="14"/>
                <w:color w:val="auto"/>
              </w:rPr>
            </w:pPr>
          </w:p>
        </w:tc>
      </w:tr>
      <w:tr>
        <w:trPr>
          <w:trHeight w:val="168"/>
        </w:trPr>
        <w:tc>
          <w:tcPr>
            <w:tcW w:w="4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r>
      <w:tr>
        <w:trPr>
          <w:trHeight w:val="168"/>
        </w:trPr>
        <w:tc>
          <w:tcPr>
            <w:tcW w:w="4680" w:type="dxa"/>
            <w:vAlign w:val="bottom"/>
          </w:tcPr>
          <w:p>
            <w:pPr>
              <w:jc w:val="center"/>
              <w:ind w:right="1107"/>
              <w:spacing w:after="0" w:line="168" w:lineRule="exact"/>
              <w:rPr>
                <w:sz w:val="20"/>
                <w:szCs w:val="20"/>
                <w:color w:val="auto"/>
              </w:rPr>
            </w:pPr>
            <w:r>
              <w:rPr>
                <w:rFonts w:ascii="Courier New" w:cs="Courier New" w:eastAsia="Courier New" w:hAnsi="Courier New"/>
                <w:sz w:val="15"/>
                <w:szCs w:val="15"/>
                <w:color w:val="auto"/>
                <w:w w:val="97"/>
              </w:rPr>
              <w:t>DELAWARE</w:t>
            </w:r>
          </w:p>
        </w:tc>
        <w:tc>
          <w:tcPr>
            <w:tcW w:w="17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73-1309529</w:t>
            </w:r>
          </w:p>
        </w:tc>
      </w:tr>
      <w:tr>
        <w:trPr>
          <w:trHeight w:val="168"/>
        </w:trPr>
        <w:tc>
          <w:tcPr>
            <w:tcW w:w="4680" w:type="dxa"/>
            <w:vAlign w:val="bottom"/>
          </w:tcPr>
          <w:p>
            <w:pPr>
              <w:jc w:val="right"/>
              <w:ind w:right="1547"/>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17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168"/>
        </w:trPr>
        <w:tc>
          <w:tcPr>
            <w:tcW w:w="4680" w:type="dxa"/>
            <w:vAlign w:val="bottom"/>
          </w:tcPr>
          <w:p>
            <w:pPr>
              <w:jc w:val="center"/>
              <w:ind w:right="1107"/>
              <w:spacing w:after="0" w:line="168" w:lineRule="exact"/>
              <w:rPr>
                <w:sz w:val="20"/>
                <w:szCs w:val="20"/>
                <w:color w:val="auto"/>
              </w:rPr>
            </w:pPr>
            <w:r>
              <w:rPr>
                <w:rFonts w:ascii="Courier New" w:cs="Courier New" w:eastAsia="Courier New" w:hAnsi="Courier New"/>
                <w:sz w:val="15"/>
                <w:szCs w:val="15"/>
                <w:color w:val="auto"/>
                <w:w w:val="97"/>
              </w:rPr>
              <w:t>incorporation or organization)</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Identification No.)</w:t>
            </w:r>
          </w:p>
        </w:tc>
      </w:tr>
      <w:tr>
        <w:trPr>
          <w:trHeight w:val="336"/>
        </w:trPr>
        <w:tc>
          <w:tcPr>
            <w:tcW w:w="4680" w:type="dxa"/>
            <w:vAlign w:val="bottom"/>
          </w:tcPr>
          <w:p>
            <w:pPr>
              <w:jc w:val="right"/>
              <w:ind w:right="1887"/>
              <w:spacing w:after="0"/>
              <w:rPr>
                <w:sz w:val="20"/>
                <w:szCs w:val="20"/>
                <w:color w:val="auto"/>
              </w:rPr>
            </w:pPr>
            <w:r>
              <w:rPr>
                <w:rFonts w:ascii="Courier New" w:cs="Courier New" w:eastAsia="Courier New" w:hAnsi="Courier New"/>
                <w:sz w:val="15"/>
                <w:szCs w:val="15"/>
                <w:color w:val="auto"/>
              </w:rPr>
              <w:t>1001 FANNIN, SUITE 4000</w:t>
            </w:r>
          </w:p>
        </w:tc>
        <w:tc>
          <w:tcPr>
            <w:tcW w:w="1700" w:type="dxa"/>
            <w:vAlign w:val="bottom"/>
          </w:tcPr>
          <w:p>
            <w:pPr>
              <w:spacing w:after="0"/>
              <w:rPr>
                <w:sz w:val="24"/>
                <w:szCs w:val="24"/>
                <w:color w:val="auto"/>
              </w:rPr>
            </w:pPr>
          </w:p>
        </w:tc>
      </w:tr>
      <w:tr>
        <w:trPr>
          <w:trHeight w:val="168"/>
        </w:trPr>
        <w:tc>
          <w:tcPr>
            <w:tcW w:w="4680" w:type="dxa"/>
            <w:vAlign w:val="bottom"/>
          </w:tcPr>
          <w:p>
            <w:pPr>
              <w:jc w:val="center"/>
              <w:ind w:right="1107"/>
              <w:spacing w:after="0" w:line="168" w:lineRule="exact"/>
              <w:rPr>
                <w:sz w:val="20"/>
                <w:szCs w:val="20"/>
                <w:color w:val="auto"/>
              </w:rPr>
            </w:pPr>
            <w:r>
              <w:rPr>
                <w:rFonts w:ascii="Courier New" w:cs="Courier New" w:eastAsia="Courier New" w:hAnsi="Courier New"/>
                <w:sz w:val="15"/>
                <w:szCs w:val="15"/>
                <w:color w:val="auto"/>
                <w:w w:val="96"/>
              </w:rPr>
              <w:t>HOUSTON, TEXAS</w:t>
            </w: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77002</w:t>
            </w:r>
          </w:p>
        </w:tc>
      </w:tr>
      <w:tr>
        <w:trPr>
          <w:trHeight w:val="168"/>
        </w:trPr>
        <w:tc>
          <w:tcPr>
            <w:tcW w:w="4680" w:type="dxa"/>
            <w:vAlign w:val="bottom"/>
          </w:tcPr>
          <w:p>
            <w:pPr>
              <w:jc w:val="center"/>
              <w:ind w:right="1107"/>
              <w:spacing w:after="0" w:line="168" w:lineRule="exact"/>
              <w:rPr>
                <w:sz w:val="20"/>
                <w:szCs w:val="20"/>
                <w:color w:val="auto"/>
              </w:rPr>
            </w:pPr>
            <w:r>
              <w:rPr>
                <w:rFonts w:ascii="Courier New" w:cs="Courier New" w:eastAsia="Courier New" w:hAnsi="Courier New"/>
                <w:sz w:val="15"/>
                <w:szCs w:val="15"/>
                <w:color w:val="auto"/>
                <w:w w:val="97"/>
              </w:rPr>
              <w:t>(Address of principal executive offices)</w:t>
            </w:r>
          </w:p>
        </w:tc>
        <w:tc>
          <w:tcPr>
            <w:tcW w:w="17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(Zip Code)</w:t>
            </w:r>
          </w:p>
        </w:tc>
      </w:tr>
    </w:tbl>
    <w:p>
      <w:pPr>
        <w:spacing w:after="0" w:line="166" w:lineRule="exact"/>
        <w:rPr>
          <w:sz w:val="24"/>
          <w:szCs w:val="24"/>
          <w:color w:val="auto"/>
        </w:rPr>
      </w:pPr>
    </w:p>
    <w:p>
      <w:pPr>
        <w:spacing w:after="0"/>
        <w:tabs>
          <w:tab w:leader="none" w:pos="4620" w:val="left"/>
        </w:tabs>
        <w:rPr>
          <w:sz w:val="20"/>
          <w:szCs w:val="20"/>
          <w:color w:val="auto"/>
        </w:rPr>
      </w:pPr>
      <w:r>
        <w:rPr>
          <w:rFonts w:ascii="Courier New" w:cs="Courier New" w:eastAsia="Courier New" w:hAnsi="Courier New"/>
          <w:sz w:val="15"/>
          <w:szCs w:val="15"/>
          <w:color w:val="auto"/>
        </w:rPr>
        <w:t>Registrant's telephone number, including area code:</w:t>
      </w:r>
      <w:r>
        <w:rPr>
          <w:sz w:val="20"/>
          <w:szCs w:val="20"/>
          <w:color w:val="auto"/>
        </w:rPr>
        <w:tab/>
      </w:r>
      <w:r>
        <w:rPr>
          <w:rFonts w:ascii="Courier New" w:cs="Courier New" w:eastAsia="Courier New" w:hAnsi="Courier New"/>
          <w:sz w:val="14"/>
          <w:szCs w:val="14"/>
          <w:color w:val="auto"/>
        </w:rPr>
        <w:t>(713) 512-6200</w:t>
      </w:r>
    </w:p>
    <w:p>
      <w:pPr>
        <w:sectPr>
          <w:pgSz w:w="11900" w:h="16838" w:orient="portrait"/>
          <w:cols w:equalWidth="0" w:num="1">
            <w:col w:w="10239"/>
          </w:cols>
          <w:pgMar w:left="220" w:top="225" w:right="1440" w:bottom="144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 FINANCIAL STATEMENTS AND EXHIBITS</w:t>
      </w:r>
    </w:p>
    <w:p>
      <w:pPr>
        <w:spacing w:after="0" w:line="166" w:lineRule="exact"/>
        <w:rPr>
          <w:sz w:val="20"/>
          <w:szCs w:val="20"/>
          <w:color w:val="auto"/>
        </w:rPr>
      </w:pPr>
    </w:p>
    <w:p>
      <w:pPr>
        <w:ind w:left="1500" w:hanging="791"/>
        <w:spacing w:after="0"/>
        <w:tabs>
          <w:tab w:leader="none" w:pos="15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OF THE BUSINESS ACQUIRED</w:t>
      </w:r>
    </w:p>
    <w:p>
      <w:pPr>
        <w:spacing w:after="0" w:line="173" w:lineRule="exact"/>
        <w:rPr>
          <w:sz w:val="20"/>
          <w:szCs w:val="20"/>
          <w:color w:val="auto"/>
        </w:rPr>
      </w:pPr>
    </w:p>
    <w:p>
      <w:pPr>
        <w:ind w:left="700" w:right="3239"/>
        <w:spacing w:after="0" w:line="236" w:lineRule="auto"/>
        <w:rPr>
          <w:sz w:val="20"/>
          <w:szCs w:val="20"/>
          <w:color w:val="auto"/>
        </w:rPr>
      </w:pPr>
      <w:r>
        <w:rPr>
          <w:rFonts w:ascii="Courier New" w:cs="Courier New" w:eastAsia="Courier New" w:hAnsi="Courier New"/>
          <w:sz w:val="15"/>
          <w:szCs w:val="15"/>
          <w:color w:val="auto"/>
        </w:rPr>
        <w:t>The audited historical combined balance sheet of Laidlaw Solid Waste Management Group - Canadian Operations as at August 31, 1996 and combined statements of operations and cash flows for the year then ended and the unaudited historical combined balance sheet of Laidlaw Solid Waste Management Group - Canadian Operations as at November 30, 1996 and combined statements of operations and cash flows for the three months ended November 30, 1996 are set forth as ATTACHMENT A and are incorporated herein by reference.</w:t>
      </w:r>
    </w:p>
    <w:p>
      <w:pPr>
        <w:spacing w:after="0" w:line="171" w:lineRule="exact"/>
        <w:rPr>
          <w:sz w:val="20"/>
          <w:szCs w:val="20"/>
          <w:color w:val="auto"/>
        </w:rPr>
      </w:pPr>
    </w:p>
    <w:p>
      <w:pPr>
        <w:ind w:left="1580" w:hanging="871"/>
        <w:spacing w:after="0"/>
        <w:tabs>
          <w:tab w:leader="none" w:pos="15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FINANCIAL INFORMATION</w:t>
      </w:r>
    </w:p>
    <w:p>
      <w:pPr>
        <w:spacing w:after="0" w:line="173" w:lineRule="exact"/>
        <w:rPr>
          <w:sz w:val="20"/>
          <w:szCs w:val="20"/>
          <w:color w:val="auto"/>
        </w:rPr>
      </w:pPr>
    </w:p>
    <w:p>
      <w:pPr>
        <w:ind w:left="700" w:right="3319"/>
        <w:spacing w:after="0" w:line="235" w:lineRule="auto"/>
        <w:rPr>
          <w:sz w:val="20"/>
          <w:szCs w:val="20"/>
          <w:color w:val="auto"/>
        </w:rPr>
      </w:pPr>
      <w:r>
        <w:rPr>
          <w:rFonts w:ascii="Courier New" w:cs="Courier New" w:eastAsia="Courier New" w:hAnsi="Courier New"/>
          <w:sz w:val="15"/>
          <w:szCs w:val="15"/>
          <w:color w:val="auto"/>
        </w:rPr>
        <w:t>Pro forma financial information for the business acquired subsequent to December 31, 1996 is set forth as ATTACHMENT B and are incorporated herein by reference.</w:t>
      </w:r>
    </w:p>
    <w:p>
      <w:pPr>
        <w:spacing w:after="0" w:line="167" w:lineRule="exact"/>
        <w:rPr>
          <w:sz w:val="20"/>
          <w:szCs w:val="20"/>
          <w:color w:val="auto"/>
        </w:rPr>
      </w:pPr>
    </w:p>
    <w:p>
      <w:pPr>
        <w:ind w:left="1580" w:hanging="871"/>
        <w:spacing w:after="0"/>
        <w:tabs>
          <w:tab w:leader="none" w:pos="15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6" w:lineRule="exact"/>
        <w:rPr>
          <w:sz w:val="20"/>
          <w:szCs w:val="20"/>
          <w:color w:val="auto"/>
        </w:rPr>
      </w:pPr>
    </w:p>
    <w:p>
      <w:pPr>
        <w:ind w:left="700"/>
        <w:spacing w:after="0"/>
        <w:tabs>
          <w:tab w:leader="none" w:pos="130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Independent Accountants.</w:t>
      </w:r>
    </w:p>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0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USA WASTE SERVICES, INC.</w:t>
      </w:r>
    </w:p>
    <w:p>
      <w:pPr>
        <w:spacing w:after="0" w:line="166" w:lineRule="exact"/>
        <w:rPr>
          <w:sz w:val="20"/>
          <w:szCs w:val="20"/>
          <w:color w:val="auto"/>
        </w:rPr>
      </w:pPr>
    </w:p>
    <w:p>
      <w:pPr>
        <w:ind w:left="3500"/>
        <w:spacing w:after="0"/>
        <w:tabs>
          <w:tab w:leader="none" w:pos="3920" w:val="left"/>
          <w:tab w:leader="none" w:pos="436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GREGORY T. SANGALIS</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Gregory T. Sangalis</w:t>
      </w:r>
    </w:p>
    <w:p>
      <w:pPr>
        <w:ind w:left="3940"/>
        <w:spacing w:after="0" w:line="237" w:lineRule="auto"/>
        <w:rPr>
          <w:sz w:val="20"/>
          <w:szCs w:val="20"/>
          <w:color w:val="auto"/>
        </w:rPr>
      </w:pPr>
      <w:r>
        <w:rPr>
          <w:rFonts w:ascii="Courier New" w:cs="Courier New" w:eastAsia="Courier New" w:hAnsi="Courier New"/>
          <w:sz w:val="15"/>
          <w:szCs w:val="15"/>
          <w:color w:val="auto"/>
        </w:rPr>
        <w:t>Vice President, General Counsel</w:t>
      </w:r>
    </w:p>
    <w:p>
      <w:pPr>
        <w:ind w:left="3940"/>
        <w:spacing w:after="0" w:line="238" w:lineRule="auto"/>
        <w:rPr>
          <w:sz w:val="20"/>
          <w:szCs w:val="20"/>
          <w:color w:val="auto"/>
        </w:rPr>
      </w:pPr>
      <w:r>
        <w:rPr>
          <w:rFonts w:ascii="Courier New" w:cs="Courier New" w:eastAsia="Courier New" w:hAnsi="Courier New"/>
          <w:sz w:val="15"/>
          <w:szCs w:val="15"/>
          <w:color w:val="auto"/>
        </w:rPr>
        <w:t>&amp; Secretary</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22, 1997</w:t>
      </w:r>
    </w:p>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ind w:left="5860"/>
        <w:spacing w:after="0"/>
        <w:rPr>
          <w:sz w:val="20"/>
          <w:szCs w:val="20"/>
          <w:color w:val="auto"/>
        </w:rPr>
      </w:pPr>
      <w:r>
        <w:rPr>
          <w:rFonts w:ascii="Courier New" w:cs="Courier New" w:eastAsia="Courier New" w:hAnsi="Courier New"/>
          <w:sz w:val="15"/>
          <w:szCs w:val="15"/>
          <w:color w:val="auto"/>
        </w:rPr>
        <w:t>Attachment 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have audited the accompanying combined balance sheet of Laidlaw Solid Waste Management Group - Canadian Operations (as defined in Note 1) as of August 31, 1996 and the related combined statements of operations and cash flows for the year then ended. These financial statements are the responsibility of the management of Laidlaw Inc. Our responsibility is to express an opinion on these financial statements based on our audit.</w:t>
      </w:r>
    </w:p>
    <w:p>
      <w:pPr>
        <w:spacing w:after="0" w:line="17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w:t>
      </w:r>
    </w:p>
    <w:p>
      <w:pPr>
        <w:spacing w:after="0" w:line="2"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combined financial position of the Laidlaw Solid Waste Management Group - Canadian Operations as of August 31, 1996, and the combined results of its operations and its cash flows for the year then ended in conformity with United States generally accepted accounting principles.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80"/>
        <w:spacing w:after="0" w:line="235" w:lineRule="auto"/>
        <w:rPr>
          <w:sz w:val="20"/>
          <w:szCs w:val="20"/>
          <w:color w:val="auto"/>
        </w:rPr>
      </w:pPr>
      <w:r>
        <w:rPr>
          <w:rFonts w:ascii="Courier New" w:cs="Courier New" w:eastAsia="Courier New" w:hAnsi="Courier New"/>
          <w:sz w:val="15"/>
          <w:szCs w:val="15"/>
          <w:color w:val="auto"/>
        </w:rPr>
        <w:t>October 16, 1996 (except for Notes 1 and 8 which are as at January 15, 1997) Hamilton, Canada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Coopers &amp; Lybrand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Chartered Accountants</w:t>
      </w:r>
    </w:p>
    <w:p>
      <w:pPr>
        <w:sectPr>
          <w:pgSz w:w="11900" w:h="16838" w:orient="portrait"/>
          <w:cols w:equalWidth="0" w:num="2">
            <w:col w:w="4360" w:space="720"/>
            <w:col w:w="5159"/>
          </w:cols>
          <w:pgMar w:left="220" w:top="281" w:right="1440" w:bottom="144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LAIDLAW SOLID WASTE MANAGEMENT</w:t>
      </w:r>
    </w:p>
    <w:p>
      <w:pPr>
        <w:spacing w:after="0" w:line="237" w:lineRule="auto"/>
        <w:rPr>
          <w:sz w:val="20"/>
          <w:szCs w:val="20"/>
          <w:color w:val="auto"/>
        </w:rPr>
      </w:pPr>
      <w:r>
        <w:rPr>
          <w:rFonts w:ascii="Courier New" w:cs="Courier New" w:eastAsia="Courier New" w:hAnsi="Courier New"/>
          <w:sz w:val="15"/>
          <w:szCs w:val="15"/>
          <w:color w:val="auto"/>
        </w:rPr>
        <w:t>GROUP - CANADIAN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COMBINED BALANCE SHEETS</w:t>
      </w:r>
    </w:p>
    <w:p>
      <w:pPr>
        <w:spacing w:after="0" w:line="237" w:lineRule="auto"/>
        <w:rPr>
          <w:sz w:val="20"/>
          <w:szCs w:val="20"/>
          <w:color w:val="auto"/>
        </w:rPr>
      </w:pPr>
      <w:r>
        <w:rPr>
          <w:rFonts w:ascii="Courier New" w:cs="Courier New" w:eastAsia="Courier New" w:hAnsi="Courier New"/>
          <w:sz w:val="15"/>
          <w:szCs w:val="15"/>
          <w:color w:val="auto"/>
        </w:rPr>
        <w:t>(US $000's)</w:t>
      </w:r>
    </w:p>
    <w:p>
      <w:pPr>
        <w:spacing w:after="0" w:line="342" w:lineRule="exact"/>
        <w:rPr>
          <w:sz w:val="20"/>
          <w:szCs w:val="20"/>
          <w:color w:val="auto"/>
        </w:rPr>
      </w:pPr>
    </w:p>
    <w:p>
      <w:pPr>
        <w:ind w:left="180" w:hanging="170"/>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(Unaudited)</w:t>
      </w:r>
    </w:p>
    <w:p>
      <w:pPr>
        <w:ind w:left="43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November 30  August 31</w:t>
      </w:r>
    </w:p>
    <w:p>
      <w:pPr>
        <w:jc w:val="center"/>
        <w:ind w:right="-880"/>
        <w:spacing w:after="0" w:line="238" w:lineRule="auto"/>
        <w:tabs>
          <w:tab w:leader="none" w:pos="680"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1996</w:t>
      </w:r>
    </w:p>
    <w:p>
      <w:pPr>
        <w:jc w:val="center"/>
        <w:ind w:right="-980"/>
        <w:spacing w:after="0" w:line="237" w:lineRule="auto"/>
        <w:tabs>
          <w:tab w:leader="none" w:pos="10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ASSETS</w:t>
      </w:r>
    </w:p>
    <w:p>
      <w:pPr>
        <w:spacing w:after="0" w:line="16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CURRENT ASSETS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Trade and other accounts receivable (net of</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allowance for doubtful accounts of $622;</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August 31, 1996 - $634)</w:t>
            </w: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44,573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42,562</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Inventories</w:t>
            </w: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2,574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2,613</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recoverable (Note 8)</w:t>
            </w: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47,536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49,236</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5,263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5,919</w:t>
            </w:r>
          </w:p>
        </w:tc>
      </w:tr>
      <w:tr>
        <w:trPr>
          <w:trHeight w:val="168"/>
        </w:trPr>
        <w:tc>
          <w:tcPr>
            <w:tcW w:w="434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99,946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100,330</w:t>
            </w:r>
          </w:p>
        </w:tc>
      </w:tr>
      <w:tr>
        <w:trPr>
          <w:trHeight w:val="168"/>
        </w:trPr>
        <w:tc>
          <w:tcPr>
            <w:tcW w:w="434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ASSETS</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Land, landfill sites and improvements</w:t>
            </w:r>
          </w:p>
        </w:tc>
        <w:tc>
          <w:tcPr>
            <w:tcW w:w="104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73,412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72,042</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w:t>
            </w: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29,911</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27,897</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Vehicles and other</w:t>
            </w: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239,478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229,665</w:t>
            </w:r>
          </w:p>
        </w:tc>
      </w:tr>
      <w:tr>
        <w:trPr>
          <w:trHeight w:val="168"/>
        </w:trPr>
        <w:tc>
          <w:tcPr>
            <w:tcW w:w="434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342,801</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329,604</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Less:  Accumulated depreciation and amortization</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(170,794)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(164,594)</w:t>
            </w:r>
          </w:p>
        </w:tc>
      </w:tr>
      <w:tr>
        <w:trPr>
          <w:trHeight w:val="168"/>
        </w:trPr>
        <w:tc>
          <w:tcPr>
            <w:tcW w:w="434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172,007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165,010</w:t>
            </w:r>
          </w:p>
        </w:tc>
      </w:tr>
      <w:tr>
        <w:trPr>
          <w:trHeight w:val="168"/>
        </w:trPr>
        <w:tc>
          <w:tcPr>
            <w:tcW w:w="434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Goodwill (net of accumulated amortization</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$18,401; August 31, 1996 - $17,363)</w:t>
            </w: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116,566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113,490</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charges</w:t>
            </w: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11,399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11,351</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1,388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1,482</w:t>
            </w:r>
          </w:p>
        </w:tc>
      </w:tr>
      <w:tr>
        <w:trPr>
          <w:trHeight w:val="168"/>
        </w:trPr>
        <w:tc>
          <w:tcPr>
            <w:tcW w:w="434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129,353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126,323</w:t>
            </w:r>
          </w:p>
        </w:tc>
      </w:tr>
      <w:tr>
        <w:trPr>
          <w:trHeight w:val="168"/>
        </w:trPr>
        <w:tc>
          <w:tcPr>
            <w:tcW w:w="434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401,306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391,663</w:t>
            </w:r>
          </w:p>
        </w:tc>
      </w:tr>
      <w:tr>
        <w:trPr>
          <w:trHeight w:val="168"/>
        </w:trPr>
        <w:tc>
          <w:tcPr>
            <w:tcW w:w="434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237" w:lineRule="auto"/>
        <w:rPr>
          <w:sz w:val="20"/>
          <w:szCs w:val="20"/>
          <w:color w:val="auto"/>
        </w:rPr>
      </w:pPr>
      <w:r>
        <w:rPr>
          <w:rFonts w:ascii="Courier New" w:cs="Courier New" w:eastAsia="Courier New" w:hAnsi="Courier New"/>
          <w:sz w:val="15"/>
          <w:szCs w:val="15"/>
          <w:color w:val="auto"/>
        </w:rPr>
        <w:t>LAIDLAW SOLID WASTE MANAGEMENT</w:t>
      </w:r>
    </w:p>
    <w:p>
      <w:pPr>
        <w:spacing w:after="0" w:line="238" w:lineRule="auto"/>
        <w:rPr>
          <w:sz w:val="20"/>
          <w:szCs w:val="20"/>
          <w:color w:val="auto"/>
        </w:rPr>
      </w:pPr>
      <w:r>
        <w:rPr>
          <w:rFonts w:ascii="Courier New" w:cs="Courier New" w:eastAsia="Courier New" w:hAnsi="Courier New"/>
          <w:sz w:val="15"/>
          <w:szCs w:val="15"/>
          <w:color w:val="auto"/>
        </w:rPr>
        <w:t>GROUP - CANADIAN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COMBINED BALANCE SHEETS</w:t>
      </w:r>
    </w:p>
    <w:p>
      <w:pPr>
        <w:spacing w:after="0" w:line="237" w:lineRule="auto"/>
        <w:rPr>
          <w:sz w:val="20"/>
          <w:szCs w:val="20"/>
          <w:color w:val="auto"/>
        </w:rPr>
      </w:pPr>
      <w:r>
        <w:rPr>
          <w:rFonts w:ascii="Courier New" w:cs="Courier New" w:eastAsia="Courier New" w:hAnsi="Courier New"/>
          <w:sz w:val="15"/>
          <w:szCs w:val="15"/>
          <w:color w:val="auto"/>
        </w:rPr>
        <w:t>(US $000's)</w:t>
      </w:r>
    </w:p>
    <w:p>
      <w:pPr>
        <w:spacing w:after="0" w:line="342" w:lineRule="exact"/>
        <w:rPr>
          <w:sz w:val="20"/>
          <w:szCs w:val="20"/>
          <w:color w:val="auto"/>
        </w:rPr>
      </w:pPr>
    </w:p>
    <w:p>
      <w:pPr>
        <w:ind w:left="180" w:hanging="170"/>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6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(Unaudited)</w:t>
      </w:r>
    </w:p>
    <w:tbl>
      <w:tblPr>
        <w:tblLayout w:type="fixed"/>
        <w:tblInd w:w="3680" w:type="dxa"/>
        <w:tblCellMar>
          <w:top w:w="0" w:type="dxa"/>
          <w:left w:w="0" w:type="dxa"/>
          <w:bottom w:w="0" w:type="dxa"/>
          <w:right w:w="0" w:type="dxa"/>
        </w:tblCellMar>
      </w:tblPr>
      <w:tr>
        <w:trPr>
          <w:trHeight w:val="169"/>
        </w:trPr>
        <w:tc>
          <w:tcPr>
            <w:tcW w:w="110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w w:val="94"/>
              </w:rPr>
              <w:t>November 30</w:t>
            </w:r>
          </w:p>
        </w:tc>
        <w:tc>
          <w:tcPr>
            <w:tcW w:w="7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August</w:t>
            </w:r>
          </w:p>
        </w:tc>
        <w:tc>
          <w:tcPr>
            <w:tcW w:w="2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31</w:t>
            </w:r>
          </w:p>
        </w:tc>
      </w:tr>
      <w:tr>
        <w:trPr>
          <w:trHeight w:val="168"/>
        </w:trPr>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1996</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r>
    </w:tbl>
    <w:p>
      <w:pPr>
        <w:spacing w:after="0" w:line="5" w:lineRule="exact"/>
        <w:rPr>
          <w:sz w:val="20"/>
          <w:szCs w:val="20"/>
          <w:color w:val="auto"/>
        </w:rPr>
      </w:pPr>
    </w:p>
    <w:p>
      <w:pPr>
        <w:ind w:left="180" w:hanging="170"/>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right="8559"/>
        <w:spacing w:after="0" w:line="50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CURRENT LIABILITIES</w:t>
      </w:r>
    </w:p>
    <w:tbl>
      <w:tblPr>
        <w:tblLayout w:type="fixed"/>
        <w:tblInd w:w="0" w:type="dxa"/>
        <w:tblCellMar>
          <w:top w:w="0" w:type="dxa"/>
          <w:left w:w="0" w:type="dxa"/>
          <w:bottom w:w="0" w:type="dxa"/>
          <w:right w:w="0" w:type="dxa"/>
        </w:tblCellMar>
      </w:tblPr>
      <w:tr>
        <w:trPr>
          <w:trHeight w:val="163"/>
        </w:trPr>
        <w:tc>
          <w:tcPr>
            <w:tcW w:w="3820" w:type="dxa"/>
            <w:vAlign w:val="bottom"/>
          </w:tcPr>
          <w:p>
            <w:pPr>
              <w:spacing w:after="0" w:line="163" w:lineRule="exact"/>
              <w:rPr>
                <w:sz w:val="20"/>
                <w:szCs w:val="20"/>
                <w:color w:val="auto"/>
              </w:rPr>
            </w:pPr>
            <w:r>
              <w:rPr>
                <w:rFonts w:ascii="Courier New" w:cs="Courier New" w:eastAsia="Courier New" w:hAnsi="Courier New"/>
                <w:sz w:val="15"/>
                <w:szCs w:val="15"/>
                <w:color w:val="auto"/>
              </w:rPr>
              <w:t>Accounts payable</w:t>
            </w:r>
          </w:p>
        </w:tc>
        <w:tc>
          <w:tcPr>
            <w:tcW w:w="1000" w:type="dxa"/>
            <w:vAlign w:val="bottom"/>
          </w:tcPr>
          <w:p>
            <w:pPr>
              <w:jc w:val="right"/>
              <w:ind w:right="187"/>
              <w:spacing w:after="0" w:line="163" w:lineRule="exact"/>
              <w:rPr>
                <w:sz w:val="20"/>
                <w:szCs w:val="20"/>
                <w:color w:val="auto"/>
              </w:rPr>
            </w:pPr>
            <w:r>
              <w:rPr>
                <w:rFonts w:ascii="Courier New" w:cs="Courier New" w:eastAsia="Courier New" w:hAnsi="Courier New"/>
                <w:sz w:val="15"/>
                <w:szCs w:val="15"/>
                <w:color w:val="auto"/>
              </w:rPr>
              <w:t>28,425</w:t>
            </w:r>
          </w:p>
        </w:tc>
        <w:tc>
          <w:tcPr>
            <w:tcW w:w="880" w:type="dxa"/>
            <w:vAlign w:val="bottom"/>
          </w:tcPr>
          <w:p>
            <w:pPr>
              <w:jc w:val="right"/>
              <w:spacing w:after="0" w:line="163" w:lineRule="exact"/>
              <w:rPr>
                <w:sz w:val="20"/>
                <w:szCs w:val="20"/>
                <w:color w:val="auto"/>
              </w:rPr>
            </w:pPr>
            <w:r>
              <w:rPr>
                <w:rFonts w:ascii="Courier New" w:cs="Courier New" w:eastAsia="Courier New" w:hAnsi="Courier New"/>
                <w:sz w:val="15"/>
                <w:szCs w:val="15"/>
                <w:color w:val="auto"/>
              </w:rPr>
              <w:t>29,237</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9,727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9,324</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portion of long-term debt (Note 3)</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243</w:t>
            </w:r>
          </w:p>
        </w:tc>
      </w:tr>
      <w:tr>
        <w:trPr>
          <w:trHeight w:val="168"/>
        </w:trPr>
        <w:tc>
          <w:tcPr>
            <w:tcW w:w="38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38,229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38,804</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(Note 3)</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DEFERRED INCOME TAXES (Note 8)</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21,235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21,130</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ENVIRONMENTAL AND OTHER LONG-TERM</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LIABILITIES (Note 4)</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8,497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8,360</w:t>
            </w:r>
          </w:p>
        </w:tc>
      </w:tr>
      <w:tr>
        <w:trPr>
          <w:trHeight w:val="168"/>
        </w:trPr>
        <w:tc>
          <w:tcPr>
            <w:tcW w:w="38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68,103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68,558</w:t>
            </w:r>
          </w:p>
        </w:tc>
      </w:tr>
      <w:tr>
        <w:trPr>
          <w:trHeight w:val="168"/>
        </w:trPr>
        <w:tc>
          <w:tcPr>
            <w:tcW w:w="38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 (Note 5)</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INVESTMENT BY LAIDLAW INC.</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333,203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323,105</w:t>
            </w:r>
          </w:p>
        </w:tc>
      </w:tr>
      <w:tr>
        <w:trPr>
          <w:trHeight w:val="168"/>
        </w:trPr>
        <w:tc>
          <w:tcPr>
            <w:tcW w:w="38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401,306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391,663</w:t>
            </w:r>
          </w:p>
        </w:tc>
      </w:tr>
      <w:tr>
        <w:trPr>
          <w:trHeight w:val="168"/>
        </w:trPr>
        <w:tc>
          <w:tcPr>
            <w:tcW w:w="38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237" w:lineRule="auto"/>
        <w:rPr>
          <w:sz w:val="20"/>
          <w:szCs w:val="20"/>
          <w:color w:val="auto"/>
        </w:rPr>
      </w:pPr>
      <w:r>
        <w:rPr>
          <w:rFonts w:ascii="Courier New" w:cs="Courier New" w:eastAsia="Courier New" w:hAnsi="Courier New"/>
          <w:sz w:val="15"/>
          <w:szCs w:val="15"/>
          <w:color w:val="auto"/>
        </w:rPr>
        <w:t>LAIDLAW SOLID WASTE MANAGEMENT</w:t>
      </w:r>
    </w:p>
    <w:p>
      <w:pPr>
        <w:spacing w:after="0" w:line="238" w:lineRule="auto"/>
        <w:rPr>
          <w:sz w:val="20"/>
          <w:szCs w:val="20"/>
          <w:color w:val="auto"/>
        </w:rPr>
      </w:pPr>
      <w:r>
        <w:rPr>
          <w:rFonts w:ascii="Courier New" w:cs="Courier New" w:eastAsia="Courier New" w:hAnsi="Courier New"/>
          <w:sz w:val="15"/>
          <w:szCs w:val="15"/>
          <w:color w:val="auto"/>
        </w:rPr>
        <w:t>GROUP - CANADIAN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COMBINED STATEMENTS OF OPERATIONS</w:t>
      </w:r>
    </w:p>
    <w:p>
      <w:pPr>
        <w:spacing w:after="0" w:line="237" w:lineRule="auto"/>
        <w:rPr>
          <w:sz w:val="20"/>
          <w:szCs w:val="20"/>
          <w:color w:val="auto"/>
        </w:rPr>
      </w:pPr>
      <w:r>
        <w:rPr>
          <w:rFonts w:ascii="Courier New" w:cs="Courier New" w:eastAsia="Courier New" w:hAnsi="Courier New"/>
          <w:sz w:val="15"/>
          <w:szCs w:val="15"/>
          <w:color w:val="auto"/>
        </w:rPr>
        <w:t>(US $000's)</w:t>
      </w:r>
    </w:p>
    <w:p>
      <w:pPr>
        <w:spacing w:after="0" w:line="342" w:lineRule="exact"/>
        <w:rPr>
          <w:sz w:val="20"/>
          <w:szCs w:val="20"/>
          <w:color w:val="auto"/>
        </w:rPr>
      </w:pPr>
    </w:p>
    <w:p>
      <w:pPr>
        <w:ind w:left="180" w:hanging="170"/>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6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(Unaudited)</w:t>
      </w:r>
    </w:p>
    <w:p>
      <w:pPr>
        <w:ind w:left="48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For the</w:t>
      </w:r>
    </w:p>
    <w:tbl>
      <w:tblPr>
        <w:tblLayout w:type="fixed"/>
        <w:tblInd w:w="4640" w:type="dxa"/>
        <w:tblCellMar>
          <w:top w:w="0" w:type="dxa"/>
          <w:left w:w="0" w:type="dxa"/>
          <w:bottom w:w="0" w:type="dxa"/>
          <w:right w:w="0" w:type="dxa"/>
        </w:tblCellMar>
      </w:tblPr>
      <w:tr>
        <w:trPr>
          <w:trHeight w:val="169"/>
        </w:trPr>
        <w:tc>
          <w:tcPr>
            <w:tcW w:w="1180" w:type="dxa"/>
            <w:vAlign w:val="bottom"/>
          </w:tcPr>
          <w:p>
            <w:pPr>
              <w:jc w:val="right"/>
              <w:ind w:right="47"/>
              <w:spacing w:after="0" w:line="169" w:lineRule="exact"/>
              <w:rPr>
                <w:sz w:val="20"/>
                <w:szCs w:val="20"/>
                <w:color w:val="auto"/>
              </w:rPr>
            </w:pPr>
            <w:r>
              <w:rPr>
                <w:rFonts w:ascii="Courier New" w:cs="Courier New" w:eastAsia="Courier New" w:hAnsi="Courier New"/>
                <w:sz w:val="15"/>
                <w:szCs w:val="15"/>
                <w:color w:val="auto"/>
                <w:w w:val="96"/>
              </w:rPr>
              <w:t>Three Months</w:t>
            </w:r>
          </w:p>
        </w:tc>
        <w:tc>
          <w:tcPr>
            <w:tcW w:w="1020" w:type="dxa"/>
            <w:vAlign w:val="bottom"/>
          </w:tcPr>
          <w:p>
            <w:pPr>
              <w:jc w:val="center"/>
              <w:spacing w:after="0" w:line="169" w:lineRule="exact"/>
              <w:rPr>
                <w:sz w:val="20"/>
                <w:szCs w:val="20"/>
                <w:color w:val="auto"/>
              </w:rPr>
            </w:pPr>
            <w:r>
              <w:rPr>
                <w:rFonts w:ascii="Courier New" w:cs="Courier New" w:eastAsia="Courier New" w:hAnsi="Courier New"/>
                <w:sz w:val="15"/>
                <w:szCs w:val="15"/>
                <w:color w:val="auto"/>
                <w:w w:val="98"/>
              </w:rPr>
              <w:t>For the</w:t>
            </w:r>
          </w:p>
        </w:tc>
      </w:tr>
      <w:tr>
        <w:trPr>
          <w:trHeight w:val="168"/>
        </w:trPr>
        <w:tc>
          <w:tcPr>
            <w:tcW w:w="1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Ended</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 Ended</w:t>
            </w:r>
          </w:p>
        </w:tc>
      </w:tr>
      <w:tr>
        <w:trPr>
          <w:trHeight w:val="168"/>
        </w:trPr>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November 30</w:t>
            </w:r>
          </w:p>
        </w:tc>
        <w:tc>
          <w:tcPr>
            <w:tcW w:w="10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August 31</w:t>
            </w:r>
          </w:p>
        </w:tc>
      </w:tr>
      <w:tr>
        <w:trPr>
          <w:trHeight w:val="168"/>
        </w:trPr>
        <w:tc>
          <w:tcPr>
            <w:tcW w:w="1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1996</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11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71,549</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262,179</w:t>
            </w:r>
          </w:p>
        </w:tc>
      </w:tr>
      <w:tr>
        <w:trPr>
          <w:trHeight w:val="168"/>
        </w:trPr>
        <w:tc>
          <w:tcPr>
            <w:tcW w:w="47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 (Note 6)</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51,648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188,759</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Selling, general and administrative expenses (Note 6)</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5,098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19,175</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7,413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30,121</w:t>
            </w:r>
          </w:p>
        </w:tc>
      </w:tr>
      <w:tr>
        <w:trPr>
          <w:trHeight w:val="168"/>
        </w:trPr>
        <w:tc>
          <w:tcPr>
            <w:tcW w:w="47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7,390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24,124</w:t>
            </w:r>
          </w:p>
        </w:tc>
      </w:tr>
      <w:tr>
        <w:trPr>
          <w:trHeight w:val="168"/>
        </w:trPr>
        <w:tc>
          <w:tcPr>
            <w:tcW w:w="47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Allocated interest expense (Note 1)</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2,680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11,244</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portion of closure and post-closure costs</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406</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on long-term debt and other interest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dividend and other income</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(1,139)</w:t>
            </w:r>
          </w:p>
        </w:tc>
      </w:tr>
      <w:tr>
        <w:trPr>
          <w:trHeight w:val="168"/>
        </w:trPr>
        <w:tc>
          <w:tcPr>
            <w:tcW w:w="47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4,805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13,363</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DEFERRED INCOME TAX EXPENSE (Notes 1 and 8)</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2,419</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6,775</w:t>
            </w:r>
          </w:p>
        </w:tc>
      </w:tr>
      <w:tr>
        <w:trPr>
          <w:trHeight w:val="168"/>
        </w:trPr>
        <w:tc>
          <w:tcPr>
            <w:tcW w:w="47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2,386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6,588</w:t>
            </w:r>
          </w:p>
        </w:tc>
      </w:tr>
      <w:tr>
        <w:trPr>
          <w:trHeight w:val="168"/>
        </w:trPr>
        <w:tc>
          <w:tcPr>
            <w:tcW w:w="47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237" w:lineRule="auto"/>
        <w:rPr>
          <w:sz w:val="20"/>
          <w:szCs w:val="20"/>
          <w:color w:val="auto"/>
        </w:rPr>
      </w:pPr>
      <w:r>
        <w:rPr>
          <w:rFonts w:ascii="Courier New" w:cs="Courier New" w:eastAsia="Courier New" w:hAnsi="Courier New"/>
          <w:sz w:val="15"/>
          <w:szCs w:val="15"/>
          <w:color w:val="auto"/>
        </w:rPr>
        <w:t>LAIDLAW SOLID WASTE MANAGEMENT</w:t>
      </w:r>
    </w:p>
    <w:p>
      <w:pPr>
        <w:spacing w:after="0" w:line="238" w:lineRule="auto"/>
        <w:rPr>
          <w:sz w:val="20"/>
          <w:szCs w:val="20"/>
          <w:color w:val="auto"/>
        </w:rPr>
      </w:pPr>
      <w:r>
        <w:rPr>
          <w:rFonts w:ascii="Courier New" w:cs="Courier New" w:eastAsia="Courier New" w:hAnsi="Courier New"/>
          <w:sz w:val="15"/>
          <w:szCs w:val="15"/>
          <w:color w:val="auto"/>
        </w:rPr>
        <w:t>GROUP - CANADIAN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COMBINED STATEMENTS OF CASH FLOWS</w:t>
      </w:r>
    </w:p>
    <w:p>
      <w:pPr>
        <w:spacing w:after="0" w:line="237" w:lineRule="auto"/>
        <w:rPr>
          <w:sz w:val="20"/>
          <w:szCs w:val="20"/>
          <w:color w:val="auto"/>
        </w:rPr>
      </w:pPr>
      <w:r>
        <w:rPr>
          <w:rFonts w:ascii="Courier New" w:cs="Courier New" w:eastAsia="Courier New" w:hAnsi="Courier New"/>
          <w:sz w:val="15"/>
          <w:szCs w:val="15"/>
          <w:color w:val="auto"/>
        </w:rPr>
        <w:t>(US $000's)</w:t>
      </w:r>
    </w:p>
    <w:p>
      <w:pPr>
        <w:spacing w:after="0" w:line="5" w:lineRule="exact"/>
        <w:rPr>
          <w:sz w:val="20"/>
          <w:szCs w:val="20"/>
          <w:color w:val="auto"/>
        </w:rPr>
      </w:pPr>
    </w:p>
    <w:p>
      <w:pPr>
        <w:ind w:left="180" w:hanging="170"/>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14"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7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(Unaudited)</w:t>
      </w:r>
    </w:p>
    <w:p>
      <w:pPr>
        <w:ind w:left="49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For the</w:t>
      </w:r>
    </w:p>
    <w:p>
      <w:pPr>
        <w:ind w:left="4740"/>
        <w:spacing w:after="0"/>
        <w:tabs>
          <w:tab w:leader="none" w:pos="6020" w:val="left"/>
        </w:tabs>
        <w:rPr>
          <w:sz w:val="20"/>
          <w:szCs w:val="20"/>
          <w:color w:val="auto"/>
        </w:rPr>
      </w:pPr>
      <w:r>
        <w:rPr>
          <w:rFonts w:ascii="Courier New" w:cs="Courier New" w:eastAsia="Courier New" w:hAnsi="Courier New"/>
          <w:sz w:val="15"/>
          <w:szCs w:val="15"/>
          <w:color w:val="auto"/>
        </w:rPr>
        <w:t>Three Months</w:t>
      </w:r>
      <w:r>
        <w:rPr>
          <w:sz w:val="20"/>
          <w:szCs w:val="20"/>
          <w:color w:val="auto"/>
        </w:rPr>
        <w:tab/>
      </w:r>
      <w:r>
        <w:rPr>
          <w:rFonts w:ascii="Courier New" w:cs="Courier New" w:eastAsia="Courier New" w:hAnsi="Courier New"/>
          <w:sz w:val="14"/>
          <w:szCs w:val="14"/>
          <w:color w:val="auto"/>
        </w:rPr>
        <w:t>For the</w:t>
      </w:r>
    </w:p>
    <w:p>
      <w:pPr>
        <w:ind w:left="5000"/>
        <w:spacing w:after="0" w:line="237" w:lineRule="auto"/>
        <w:tabs>
          <w:tab w:leader="none" w:pos="5940" w:val="left"/>
        </w:tabs>
        <w:rPr>
          <w:sz w:val="20"/>
          <w:szCs w:val="20"/>
          <w:color w:val="auto"/>
        </w:rPr>
      </w:pPr>
      <w:r>
        <w:rPr>
          <w:rFonts w:ascii="Courier New" w:cs="Courier New" w:eastAsia="Courier New" w:hAnsi="Courier New"/>
          <w:sz w:val="15"/>
          <w:szCs w:val="15"/>
          <w:color w:val="auto"/>
        </w:rPr>
        <w:t>Ended</w:t>
      </w:r>
      <w:r>
        <w:rPr>
          <w:sz w:val="20"/>
          <w:szCs w:val="20"/>
          <w:color w:val="auto"/>
        </w:rPr>
        <w:tab/>
      </w:r>
      <w:r>
        <w:rPr>
          <w:rFonts w:ascii="Courier New" w:cs="Courier New" w:eastAsia="Courier New" w:hAnsi="Courier New"/>
          <w:sz w:val="15"/>
          <w:szCs w:val="15"/>
          <w:color w:val="auto"/>
        </w:rPr>
        <w:t>Year Ended</w:t>
      </w:r>
    </w:p>
    <w:p>
      <w:pPr>
        <w:ind w:left="4740"/>
        <w:spacing w:after="0"/>
        <w:tabs>
          <w:tab w:leader="none" w:pos="5940" w:val="left"/>
        </w:tabs>
        <w:rPr>
          <w:sz w:val="20"/>
          <w:szCs w:val="20"/>
          <w:color w:val="auto"/>
        </w:rPr>
      </w:pPr>
      <w:r>
        <w:rPr>
          <w:rFonts w:ascii="Courier New" w:cs="Courier New" w:eastAsia="Courier New" w:hAnsi="Courier New"/>
          <w:sz w:val="15"/>
          <w:szCs w:val="15"/>
          <w:color w:val="auto"/>
        </w:rPr>
        <w:t>November 30</w:t>
      </w:r>
      <w:r>
        <w:rPr>
          <w:sz w:val="20"/>
          <w:szCs w:val="20"/>
          <w:color w:val="auto"/>
        </w:rPr>
        <w:tab/>
      </w:r>
      <w:r>
        <w:rPr>
          <w:rFonts w:ascii="Courier New" w:cs="Courier New" w:eastAsia="Courier New" w:hAnsi="Courier New"/>
          <w:sz w:val="14"/>
          <w:szCs w:val="14"/>
          <w:color w:val="auto"/>
        </w:rPr>
        <w:t>August 31</w:t>
      </w:r>
    </w:p>
    <w:p>
      <w:pPr>
        <w:ind w:left="5080"/>
        <w:spacing w:after="0" w:line="237" w:lineRule="auto"/>
        <w:tabs>
          <w:tab w:leader="none" w:pos="6120"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1996</w:t>
      </w:r>
    </w:p>
    <w:p>
      <w:pPr>
        <w:ind w:left="5180"/>
        <w:spacing w:after="0" w:line="238" w:lineRule="auto"/>
        <w:tabs>
          <w:tab w:leader="none" w:pos="62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80" w:hanging="170"/>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NET CASH PROVIDED BY (USED IN):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9,829</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28,887</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(13,922)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(65,871)</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14,191</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96,850</w:t>
            </w:r>
          </w:p>
        </w:tc>
      </w:tr>
      <w:tr>
        <w:trPr>
          <w:trHeight w:val="168"/>
        </w:trPr>
        <w:tc>
          <w:tcPr>
            <w:tcW w:w="47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10,098</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59,866</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INVESTMENT BY LAIDLAW INC. - BEGINNING OF PERIOD</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323,105</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263,239</w:t>
            </w:r>
          </w:p>
        </w:tc>
      </w:tr>
      <w:tr>
        <w:trPr>
          <w:trHeight w:val="168"/>
        </w:trPr>
        <w:tc>
          <w:tcPr>
            <w:tcW w:w="47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INVESTMENT BY LAIDLAW INC. - END OF PERIOD</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333,203</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323,105</w:t>
            </w:r>
          </w:p>
        </w:tc>
      </w:tr>
      <w:tr>
        <w:trPr>
          <w:trHeight w:val="168"/>
        </w:trPr>
        <w:tc>
          <w:tcPr>
            <w:tcW w:w="47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2,386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6,588</w:t>
            </w:r>
          </w:p>
        </w:tc>
      </w:tr>
      <w:tr>
        <w:trPr>
          <w:trHeight w:val="336"/>
        </w:trPr>
        <w:tc>
          <w:tcPr>
            <w:tcW w:w="4740" w:type="dxa"/>
            <w:vAlign w:val="bottom"/>
          </w:tcPr>
          <w:p>
            <w:pPr>
              <w:ind w:left="360"/>
              <w:spacing w:after="0"/>
              <w:rPr>
                <w:sz w:val="20"/>
                <w:szCs w:val="20"/>
                <w:color w:val="auto"/>
              </w:rPr>
            </w:pPr>
            <w:r>
              <w:rPr>
                <w:rFonts w:ascii="Courier New" w:cs="Courier New" w:eastAsia="Courier New" w:hAnsi="Courier New"/>
                <w:sz w:val="15"/>
                <w:szCs w:val="15"/>
                <w:color w:val="auto"/>
              </w:rPr>
              <w:t>Items not affecting cash:</w:t>
            </w: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4740" w:type="dxa"/>
            <w:vAlign w:val="bottom"/>
          </w:tcPr>
          <w:p>
            <w:pPr>
              <w:ind w:left="620"/>
              <w:spacing w:after="0"/>
              <w:rPr>
                <w:sz w:val="20"/>
                <w:szCs w:val="20"/>
                <w:color w:val="auto"/>
              </w:rPr>
            </w:pPr>
            <w:r>
              <w:rPr>
                <w:rFonts w:ascii="Courier New" w:cs="Courier New" w:eastAsia="Courier New" w:hAnsi="Courier New"/>
                <w:sz w:val="15"/>
                <w:szCs w:val="15"/>
                <w:color w:val="auto"/>
              </w:rPr>
              <w:t>Depreciation and amortization</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7,413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30,121</w:t>
            </w:r>
          </w:p>
        </w:tc>
      </w:tr>
      <w:tr>
        <w:trPr>
          <w:trHeight w:val="168"/>
        </w:trPr>
        <w:tc>
          <w:tcPr>
            <w:tcW w:w="4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1,329</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6,775</w:t>
            </w:r>
          </w:p>
        </w:tc>
      </w:tr>
      <w:tr>
        <w:trPr>
          <w:trHeight w:val="168"/>
        </w:trPr>
        <w:tc>
          <w:tcPr>
            <w:tcW w:w="4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(3,725)</w:t>
            </w:r>
          </w:p>
        </w:tc>
      </w:tr>
      <w:tr>
        <w:trPr>
          <w:trHeight w:val="168"/>
        </w:trPr>
        <w:tc>
          <w:tcPr>
            <w:tcW w:w="47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10,720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39,759</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used in financing working capital</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excluding the effect of acquisitions:</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Trade and other accounts receivable</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(2,011)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(4,722)</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Inventories</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(654)</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(2,308)</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(3,188)</w:t>
            </w:r>
          </w:p>
        </w:tc>
      </w:tr>
      <w:tr>
        <w:trPr>
          <w:trHeight w:val="168"/>
        </w:trPr>
        <w:tc>
          <w:tcPr>
            <w:tcW w:w="47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9,829</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28,887</w:t>
            </w:r>
          </w:p>
        </w:tc>
      </w:tr>
      <w:tr>
        <w:trPr>
          <w:trHeight w:val="168"/>
        </w:trPr>
        <w:tc>
          <w:tcPr>
            <w:tcW w:w="47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237" w:lineRule="auto"/>
        <w:rPr>
          <w:sz w:val="20"/>
          <w:szCs w:val="20"/>
          <w:color w:val="auto"/>
        </w:rPr>
      </w:pPr>
      <w:r>
        <w:rPr>
          <w:rFonts w:ascii="Courier New" w:cs="Courier New" w:eastAsia="Courier New" w:hAnsi="Courier New"/>
          <w:sz w:val="15"/>
          <w:szCs w:val="15"/>
          <w:color w:val="auto"/>
        </w:rPr>
        <w:t>LAIDLAW SOLID WASTE MANAGEMENT</w:t>
      </w:r>
    </w:p>
    <w:p>
      <w:pPr>
        <w:spacing w:after="0" w:line="238" w:lineRule="auto"/>
        <w:rPr>
          <w:sz w:val="20"/>
          <w:szCs w:val="20"/>
          <w:color w:val="auto"/>
        </w:rPr>
      </w:pPr>
      <w:r>
        <w:rPr>
          <w:rFonts w:ascii="Courier New" w:cs="Courier New" w:eastAsia="Courier New" w:hAnsi="Courier New"/>
          <w:sz w:val="15"/>
          <w:szCs w:val="15"/>
          <w:color w:val="auto"/>
        </w:rPr>
        <w:t>GROUP - CANADIAN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COMBINED STATEMENTS OF CASH FLOWS (CONT'D)</w:t>
      </w:r>
    </w:p>
    <w:p>
      <w:pPr>
        <w:spacing w:after="0" w:line="237" w:lineRule="auto"/>
        <w:rPr>
          <w:sz w:val="20"/>
          <w:szCs w:val="20"/>
          <w:color w:val="auto"/>
        </w:rPr>
      </w:pPr>
      <w:r>
        <w:rPr>
          <w:rFonts w:ascii="Courier New" w:cs="Courier New" w:eastAsia="Courier New" w:hAnsi="Courier New"/>
          <w:sz w:val="15"/>
          <w:szCs w:val="15"/>
          <w:color w:val="auto"/>
        </w:rPr>
        <w:t>(US $000's)</w:t>
      </w:r>
    </w:p>
    <w:p>
      <w:pPr>
        <w:spacing w:after="0" w:line="342" w:lineRule="exact"/>
        <w:rPr>
          <w:sz w:val="20"/>
          <w:szCs w:val="20"/>
          <w:color w:val="auto"/>
        </w:rPr>
      </w:pPr>
    </w:p>
    <w:p>
      <w:pPr>
        <w:ind w:left="180" w:hanging="170"/>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3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(Unaudited)</w:t>
      </w:r>
    </w:p>
    <w:p>
      <w:pPr>
        <w:ind w:left="45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For the</w:t>
      </w:r>
    </w:p>
    <w:tbl>
      <w:tblPr>
        <w:tblLayout w:type="fixed"/>
        <w:tblInd w:w="4380" w:type="dxa"/>
        <w:tblCellMar>
          <w:top w:w="0" w:type="dxa"/>
          <w:left w:w="0" w:type="dxa"/>
          <w:bottom w:w="0" w:type="dxa"/>
          <w:right w:w="0" w:type="dxa"/>
        </w:tblCellMar>
      </w:tblPr>
      <w:tr>
        <w:trPr>
          <w:trHeight w:val="169"/>
        </w:trPr>
        <w:tc>
          <w:tcPr>
            <w:tcW w:w="114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w w:val="96"/>
              </w:rPr>
              <w:t>Three Months</w:t>
            </w:r>
          </w:p>
        </w:tc>
        <w:tc>
          <w:tcPr>
            <w:tcW w:w="96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For the</w:t>
            </w:r>
          </w:p>
        </w:tc>
      </w:tr>
      <w:tr>
        <w:trPr>
          <w:trHeight w:val="168"/>
        </w:trPr>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Ended</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 Ended</w:t>
            </w:r>
          </w:p>
        </w:tc>
      </w:tr>
      <w:tr>
        <w:trPr>
          <w:trHeight w:val="168"/>
        </w:trPr>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November 30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August 31</w:t>
            </w:r>
          </w:p>
        </w:tc>
      </w:tr>
      <w:tr>
        <w:trPr>
          <w:trHeight w:val="168"/>
        </w:trPr>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80" w:hanging="170"/>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INVESTING ACTIVITIES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Purchase of fixed assets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(9,538)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(20,437)</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proceeds from sale of fixed and other assets</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983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1,658</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decrease in deferred charges</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(1,278)</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Expended on acquisitions (Note 7)</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(5,532)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(46,046)</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decrease in other assets</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232</w:t>
            </w:r>
          </w:p>
        </w:tc>
      </w:tr>
      <w:tr>
        <w:trPr>
          <w:trHeight w:val="168"/>
        </w:trPr>
        <w:tc>
          <w:tcPr>
            <w:tcW w:w="434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(13,922)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(65,871)</w:t>
            </w:r>
          </w:p>
        </w:tc>
      </w:tr>
      <w:tr>
        <w:trPr>
          <w:trHeight w:val="168"/>
        </w:trPr>
        <w:tc>
          <w:tcPr>
            <w:tcW w:w="434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Repayment of long-term debt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(327)</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advances from Laidlaw Inc.</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14,682</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97,177</w:t>
            </w:r>
          </w:p>
        </w:tc>
      </w:tr>
      <w:tr>
        <w:trPr>
          <w:trHeight w:val="168"/>
        </w:trPr>
        <w:tc>
          <w:tcPr>
            <w:tcW w:w="434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14,191</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96,850</w:t>
            </w:r>
          </w:p>
        </w:tc>
      </w:tr>
      <w:tr>
        <w:trPr>
          <w:trHeight w:val="168"/>
        </w:trPr>
        <w:tc>
          <w:tcPr>
            <w:tcW w:w="434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LAIDLAW SOLID WASTE MANAGEMENT</w:t>
      </w:r>
    </w:p>
    <w:p>
      <w:pPr>
        <w:spacing w:after="0" w:line="237" w:lineRule="auto"/>
        <w:rPr>
          <w:sz w:val="20"/>
          <w:szCs w:val="20"/>
          <w:color w:val="auto"/>
        </w:rPr>
      </w:pPr>
      <w:r>
        <w:rPr>
          <w:rFonts w:ascii="Courier New" w:cs="Courier New" w:eastAsia="Courier New" w:hAnsi="Courier New"/>
          <w:sz w:val="15"/>
          <w:szCs w:val="15"/>
          <w:color w:val="auto"/>
        </w:rPr>
        <w:t>GROUP - CANADIAN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237" w:lineRule="auto"/>
        <w:rPr>
          <w:sz w:val="20"/>
          <w:szCs w:val="20"/>
          <w:color w:val="auto"/>
        </w:rPr>
      </w:pPr>
      <w:r>
        <w:rPr>
          <w:rFonts w:ascii="Courier New" w:cs="Courier New" w:eastAsia="Courier New" w:hAnsi="Courier New"/>
          <w:sz w:val="15"/>
          <w:szCs w:val="15"/>
          <w:color w:val="auto"/>
        </w:rPr>
        <w:t>(US $000'S)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ind w:left="440" w:hanging="430"/>
        <w:spacing w:after="0"/>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 OF FINANCIAL STATEMENTS</w:t>
      </w:r>
    </w:p>
    <w:p>
      <w:pPr>
        <w:spacing w:after="0" w:line="172" w:lineRule="exact"/>
        <w:rPr>
          <w:rFonts w:ascii="Courier New" w:cs="Courier New" w:eastAsia="Courier New" w:hAnsi="Courier New"/>
          <w:sz w:val="15"/>
          <w:szCs w:val="15"/>
          <w:color w:val="auto"/>
        </w:rPr>
      </w:pPr>
    </w:p>
    <w:p>
      <w:pPr>
        <w:ind w:left="44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the terms of a Stock Purchase Agreement dated September 17, 1996 (the "Laidlaw Agreement") among Allied Waste Industries, Inc. ("Allied") and certain affiliates of Allied, and Laidlaw Inc. ("Laidlaw") and certain affiliates of Laidlaw, Allied purchased the solid waste management business of Laidlaw (the "Laidlaw Solid Waste Management Group"). The Laidlaw Solid Waste Management Group provides solid waste collection, compaction, disposal, recycling, resource recovery, transportation and transfer services to commercial, industrial and residential customers in the United States and Canada. Laidlaw conducted the solid waste management business directly and indirectly through its subsidiaries, Laidlaw Waste Systems, Inc. Laidlaw Waste Systems (Canada) Ltd. and Laidlaw Medical Services Ltd. ("Medical Services").</w:t>
      </w:r>
    </w:p>
    <w:p>
      <w:pPr>
        <w:spacing w:after="0" w:line="164" w:lineRule="exact"/>
        <w:rPr>
          <w:rFonts w:ascii="Courier New" w:cs="Courier New" w:eastAsia="Courier New" w:hAnsi="Courier New"/>
          <w:sz w:val="15"/>
          <w:szCs w:val="15"/>
          <w:color w:val="auto"/>
        </w:rPr>
      </w:pPr>
    </w:p>
    <w:p>
      <w:pPr>
        <w:ind w:left="44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Subsequent to the Laidlaw Agreement, a Share Purchase Agreement dated January 15, 1997 (the "Agreement") among USA Waste Services, Inc. ("USA Waste") and certain affiliates of USA Waste, and Allied and certain affiliates of Allied was entered into. Under the terms of the Agreement, USA Waste has offered to purchase the Canadian operations of the Laidlaw Solid Waste Management Group ("Laidlaw Solid Waste Management Group - Canadian Operations" or the "Group") from Allied. The Group provides solid waste collection, compaction, disposal, recycling, transportation and transfer services to commercial, industrial, and residential customers in Canada. Allied conducts this business directly or indirectly through its subsidiaries, Allied Waste Holdings (Canada) Ltd., Laidlaw Waste Systems Ltd., and Medical Services.</w:t>
      </w:r>
    </w:p>
    <w:p>
      <w:pPr>
        <w:spacing w:after="0" w:line="332" w:lineRule="exact"/>
        <w:rPr>
          <w:rFonts w:ascii="Courier New" w:cs="Courier New" w:eastAsia="Courier New" w:hAnsi="Courier New"/>
          <w:sz w:val="15"/>
          <w:szCs w:val="15"/>
          <w:color w:val="auto"/>
        </w:rPr>
      </w:pPr>
    </w:p>
    <w:p>
      <w:pPr>
        <w:ind w:left="440" w:right="33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Interest expense associated with intercompany financing with the Group's parent, Laidlaw, has been allocated to the Group based on its share of the parent's net assets. Income taxes have been calculated using applicable Canadian income tax rates applied to the Group's income for tax purposes.</w:t>
      </w:r>
    </w:p>
    <w:p>
      <w:pPr>
        <w:spacing w:after="0" w:line="164" w:lineRule="exact"/>
        <w:rPr>
          <w:rFonts w:ascii="Courier New" w:cs="Courier New" w:eastAsia="Courier New" w:hAnsi="Courier New"/>
          <w:sz w:val="15"/>
          <w:szCs w:val="15"/>
          <w:color w:val="auto"/>
        </w:rPr>
      </w:pPr>
    </w:p>
    <w:p>
      <w:pPr>
        <w:ind w:left="44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These special purpose financial statements give effect to the combination of the operations constituting the Laidlaw Solid Waste Management Group - Canadian Operations. The Group's intercompany loans and advances have been excluded from the combined balance sheet.</w:t>
      </w:r>
    </w:p>
    <w:p>
      <w:pPr>
        <w:spacing w:after="0" w:line="175" w:lineRule="exact"/>
        <w:rPr>
          <w:rFonts w:ascii="Courier New" w:cs="Courier New" w:eastAsia="Courier New" w:hAnsi="Courier New"/>
          <w:sz w:val="15"/>
          <w:szCs w:val="15"/>
          <w:color w:val="auto"/>
        </w:rPr>
      </w:pPr>
    </w:p>
    <w:p>
      <w:pPr>
        <w:ind w:left="440"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surplus funds of the Group are regularly transferred to Laidlaw, and any financing requirements are provided by Laidlaw. Accordingly, no cash or bank indebtedness balances are reported in these combined financial statements.</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LAIDLAW SOLID WASTE MANAGEMENT</w:t>
      </w:r>
    </w:p>
    <w:p>
      <w:pPr>
        <w:spacing w:after="0" w:line="237" w:lineRule="auto"/>
        <w:rPr>
          <w:sz w:val="20"/>
          <w:szCs w:val="20"/>
          <w:color w:val="auto"/>
        </w:rPr>
      </w:pPr>
      <w:r>
        <w:rPr>
          <w:rFonts w:ascii="Courier New" w:cs="Courier New" w:eastAsia="Courier New" w:hAnsi="Courier New"/>
          <w:sz w:val="15"/>
          <w:szCs w:val="15"/>
          <w:color w:val="auto"/>
        </w:rPr>
        <w:t>GROUP - CANADIAN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COMBINED FINANCIAL STATEMENTS (CONT'D)</w:t>
      </w:r>
    </w:p>
    <w:p>
      <w:pPr>
        <w:spacing w:after="0" w:line="237" w:lineRule="auto"/>
        <w:rPr>
          <w:sz w:val="20"/>
          <w:szCs w:val="20"/>
          <w:color w:val="auto"/>
        </w:rPr>
      </w:pPr>
      <w:r>
        <w:rPr>
          <w:rFonts w:ascii="Courier New" w:cs="Courier New" w:eastAsia="Courier New" w:hAnsi="Courier New"/>
          <w:sz w:val="15"/>
          <w:szCs w:val="15"/>
          <w:color w:val="auto"/>
        </w:rPr>
        <w:t>(US $000'S)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ind w:left="440" w:hanging="430"/>
        <w:spacing w:after="0"/>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2" w:lineRule="exact"/>
        <w:rPr>
          <w:rFonts w:ascii="Courier New" w:cs="Courier New" w:eastAsia="Courier New" w:hAnsi="Courier New"/>
          <w:sz w:val="15"/>
          <w:szCs w:val="15"/>
          <w:color w:val="auto"/>
        </w:rPr>
      </w:pPr>
    </w:p>
    <w:p>
      <w:pPr>
        <w:ind w:left="44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the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for certain revenues and expenses during the reported period. Actual results could differ from those estimates.</w:t>
      </w:r>
    </w:p>
    <w:p>
      <w:pPr>
        <w:spacing w:after="0" w:line="175" w:lineRule="exact"/>
        <w:rPr>
          <w:rFonts w:ascii="Courier New" w:cs="Courier New" w:eastAsia="Courier New" w:hAnsi="Courier New"/>
          <w:sz w:val="15"/>
          <w:szCs w:val="15"/>
          <w:color w:val="auto"/>
        </w:rPr>
      </w:pPr>
    </w:p>
    <w:p>
      <w:pPr>
        <w:ind w:left="440" w:right="34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summary of significant accounting policies followed in the preparation of these combined financial statements is as follows: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INVENTORIES</w:t>
      </w:r>
    </w:p>
    <w:p>
      <w:pPr>
        <w:spacing w:after="0" w:line="173" w:lineRule="exact"/>
        <w:rPr>
          <w:sz w:val="20"/>
          <w:szCs w:val="20"/>
          <w:color w:val="auto"/>
        </w:rPr>
      </w:pPr>
    </w:p>
    <w:p>
      <w:pPr>
        <w:ind w:left="440" w:right="3679"/>
        <w:spacing w:after="0" w:line="234" w:lineRule="auto"/>
        <w:rPr>
          <w:sz w:val="20"/>
          <w:szCs w:val="20"/>
          <w:color w:val="auto"/>
        </w:rPr>
      </w:pPr>
      <w:r>
        <w:rPr>
          <w:rFonts w:ascii="Courier New" w:cs="Courier New" w:eastAsia="Courier New" w:hAnsi="Courier New"/>
          <w:sz w:val="15"/>
          <w:szCs w:val="15"/>
          <w:color w:val="auto"/>
        </w:rPr>
        <w:t>Inventories are valued at the lower of cost, determined on a first-in, first-out basis, and replacement cost.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FIXED ASSETS</w:t>
      </w:r>
    </w:p>
    <w:p>
      <w:pPr>
        <w:spacing w:after="0" w:line="173" w:lineRule="exact"/>
        <w:rPr>
          <w:sz w:val="20"/>
          <w:szCs w:val="20"/>
          <w:color w:val="auto"/>
        </w:rPr>
      </w:pPr>
    </w:p>
    <w:p>
      <w:pPr>
        <w:jc w:val="both"/>
        <w:ind w:left="440" w:right="3399"/>
        <w:spacing w:after="0" w:line="261" w:lineRule="auto"/>
        <w:rPr>
          <w:sz w:val="20"/>
          <w:szCs w:val="20"/>
          <w:color w:val="auto"/>
        </w:rPr>
      </w:pPr>
      <w:r>
        <w:rPr>
          <w:rFonts w:ascii="Courier New" w:cs="Courier New" w:eastAsia="Courier New" w:hAnsi="Courier New"/>
          <w:sz w:val="14"/>
          <w:szCs w:val="14"/>
          <w:color w:val="auto"/>
        </w:rPr>
        <w:t>Landfill sites, preparation costs, and improvements are recorded at cost and amortized on the basis of landfill capacity utilized during the year.</w:t>
      </w:r>
    </w:p>
    <w:p>
      <w:pPr>
        <w:spacing w:after="0" w:line="160" w:lineRule="exact"/>
        <w:rPr>
          <w:sz w:val="20"/>
          <w:szCs w:val="20"/>
          <w:color w:val="auto"/>
        </w:rPr>
      </w:pPr>
    </w:p>
    <w:p>
      <w:pPr>
        <w:jc w:val="both"/>
        <w:ind w:left="440" w:right="3399"/>
        <w:spacing w:after="0" w:line="235" w:lineRule="auto"/>
        <w:rPr>
          <w:sz w:val="20"/>
          <w:szCs w:val="20"/>
          <w:color w:val="auto"/>
        </w:rPr>
      </w:pPr>
      <w:r>
        <w:rPr>
          <w:rFonts w:ascii="Courier New" w:cs="Courier New" w:eastAsia="Courier New" w:hAnsi="Courier New"/>
          <w:sz w:val="15"/>
          <w:szCs w:val="15"/>
          <w:color w:val="auto"/>
        </w:rPr>
        <w:t>Depreciation and amortization of other property and equipment is provided substantially on a straight-line basis over their estimated useful lives which are as follows:</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Vehicles and other</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5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3"/>
              </w:rPr>
              <w:t>years</w:t>
            </w:r>
          </w:p>
        </w:tc>
      </w:tr>
    </w:tbl>
    <w:p>
      <w:pPr>
        <w:spacing w:after="0" w:line="341" w:lineRule="exact"/>
        <w:rPr>
          <w:sz w:val="20"/>
          <w:szCs w:val="20"/>
          <w:color w:val="auto"/>
        </w:rPr>
      </w:pPr>
    </w:p>
    <w:p>
      <w:pPr>
        <w:ind w:left="440" w:right="3319"/>
        <w:spacing w:after="0" w:line="235" w:lineRule="auto"/>
        <w:rPr>
          <w:sz w:val="20"/>
          <w:szCs w:val="20"/>
          <w:color w:val="auto"/>
        </w:rPr>
      </w:pPr>
      <w:r>
        <w:rPr>
          <w:rFonts w:ascii="Courier New" w:cs="Courier New" w:eastAsia="Courier New" w:hAnsi="Courier New"/>
          <w:sz w:val="15"/>
          <w:szCs w:val="15"/>
          <w:color w:val="auto"/>
        </w:rPr>
        <w:t>Management periodically reviews the carrying values of its fixed assets to determine whether such values are recoverable. Any resulting write downs are charged against income.</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LAIDLAW SOLID WASTE MANAGEMENT</w:t>
      </w:r>
    </w:p>
    <w:p>
      <w:pPr>
        <w:spacing w:after="0" w:line="237" w:lineRule="auto"/>
        <w:rPr>
          <w:sz w:val="20"/>
          <w:szCs w:val="20"/>
          <w:color w:val="auto"/>
        </w:rPr>
      </w:pPr>
      <w:r>
        <w:rPr>
          <w:rFonts w:ascii="Courier New" w:cs="Courier New" w:eastAsia="Courier New" w:hAnsi="Courier New"/>
          <w:sz w:val="15"/>
          <w:szCs w:val="15"/>
          <w:color w:val="auto"/>
        </w:rPr>
        <w:t>GROUP - CANADIAN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COMBINED FINANCIAL STATEMENTS (CONT'D)</w:t>
      </w:r>
    </w:p>
    <w:p>
      <w:pPr>
        <w:spacing w:after="0" w:line="237" w:lineRule="auto"/>
        <w:rPr>
          <w:sz w:val="20"/>
          <w:szCs w:val="20"/>
          <w:color w:val="auto"/>
        </w:rPr>
      </w:pPr>
      <w:r>
        <w:rPr>
          <w:rFonts w:ascii="Courier New" w:cs="Courier New" w:eastAsia="Courier New" w:hAnsi="Courier New"/>
          <w:sz w:val="15"/>
          <w:szCs w:val="15"/>
          <w:color w:val="auto"/>
        </w:rPr>
        <w:t>(US $000'S)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ind w:left="440" w:hanging="430"/>
        <w:spacing w:after="0"/>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(CONT'D)</w:t>
      </w:r>
    </w:p>
    <w:p>
      <w:pPr>
        <w:spacing w:after="0" w:line="166" w:lineRule="exact"/>
        <w:rPr>
          <w:sz w:val="20"/>
          <w:szCs w:val="20"/>
          <w:color w:val="auto"/>
        </w:rPr>
      </w:pPr>
    </w:p>
    <w:p>
      <w:pPr>
        <w:ind w:left="980" w:hanging="533"/>
        <w:spacing w:after="0"/>
        <w:tabs>
          <w:tab w:leader="none" w:pos="9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w:t>
      </w:r>
    </w:p>
    <w:p>
      <w:pPr>
        <w:spacing w:after="0" w:line="173" w:lineRule="exact"/>
        <w:rPr>
          <w:sz w:val="20"/>
          <w:szCs w:val="20"/>
          <w:color w:val="auto"/>
        </w:rPr>
      </w:pPr>
    </w:p>
    <w:p>
      <w:pPr>
        <w:ind w:left="440" w:right="3319"/>
        <w:spacing w:after="0" w:line="235" w:lineRule="auto"/>
        <w:rPr>
          <w:sz w:val="20"/>
          <w:szCs w:val="20"/>
          <w:color w:val="auto"/>
        </w:rPr>
      </w:pPr>
      <w:r>
        <w:rPr>
          <w:rFonts w:ascii="Courier New" w:cs="Courier New" w:eastAsia="Courier New" w:hAnsi="Courier New"/>
          <w:sz w:val="15"/>
          <w:szCs w:val="15"/>
          <w:color w:val="auto"/>
        </w:rPr>
        <w:t>Goodwill is amortized on a straight-line basis over forty years. The Group reviews the value assigned to goodwill to determine if its recoverability has been impaired by conditions affecting the Group. The amount of any impairment is charged against income.</w:t>
      </w:r>
    </w:p>
    <w:p>
      <w:pPr>
        <w:spacing w:after="0" w:line="175" w:lineRule="exact"/>
        <w:rPr>
          <w:sz w:val="20"/>
          <w:szCs w:val="20"/>
          <w:color w:val="auto"/>
        </w:rPr>
      </w:pPr>
    </w:p>
    <w:p>
      <w:pPr>
        <w:ind w:left="440" w:right="3319"/>
        <w:spacing w:after="0" w:line="234" w:lineRule="auto"/>
        <w:rPr>
          <w:sz w:val="20"/>
          <w:szCs w:val="20"/>
          <w:color w:val="auto"/>
        </w:rPr>
      </w:pPr>
      <w:r>
        <w:rPr>
          <w:rFonts w:ascii="Courier New" w:cs="Courier New" w:eastAsia="Courier New" w:hAnsi="Courier New"/>
          <w:sz w:val="15"/>
          <w:szCs w:val="15"/>
          <w:color w:val="auto"/>
        </w:rPr>
        <w:t>Deferred charges are amortized on a straight-line basis over a two to nine year period depending on the nature of the deferred costs.</w:t>
      </w:r>
    </w:p>
    <w:p>
      <w:pPr>
        <w:spacing w:after="0" w:line="167" w:lineRule="exact"/>
        <w:rPr>
          <w:sz w:val="20"/>
          <w:szCs w:val="20"/>
          <w:color w:val="auto"/>
        </w:rPr>
      </w:pPr>
    </w:p>
    <w:p>
      <w:pPr>
        <w:ind w:left="980" w:hanging="533"/>
        <w:spacing w:after="0"/>
        <w:tabs>
          <w:tab w:leader="none" w:pos="9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w:t>
      </w:r>
    </w:p>
    <w:p>
      <w:pPr>
        <w:spacing w:after="0" w:line="173" w:lineRule="exact"/>
        <w:rPr>
          <w:sz w:val="20"/>
          <w:szCs w:val="20"/>
          <w:color w:val="auto"/>
        </w:rPr>
      </w:pPr>
    </w:p>
    <w:p>
      <w:pPr>
        <w:ind w:left="440" w:right="3499"/>
        <w:spacing w:after="0" w:line="255" w:lineRule="auto"/>
        <w:rPr>
          <w:sz w:val="20"/>
          <w:szCs w:val="20"/>
          <w:color w:val="auto"/>
        </w:rPr>
      </w:pPr>
      <w:r>
        <w:rPr>
          <w:rFonts w:ascii="Courier New" w:cs="Courier New" w:eastAsia="Courier New" w:hAnsi="Courier New"/>
          <w:sz w:val="14"/>
          <w:szCs w:val="14"/>
          <w:color w:val="auto"/>
        </w:rPr>
        <w:t>The Group's accounts receivable, accounts payable and long-term debt constitute financial instruments. Based on available market information, the carrying value of these instruments approximates their fair value as at August 31, 1996. Concentrations of credit risk in accounts receivable are limited, due to the large number of customers comprising the Group's customer base throughout Canada. The Group performs ongoing credit evaluations of its customers, but does not require collateral to support customer accounts receivable. The Group establishes an allowance for doubtful accounts based on the credit risk applicable to particular customers, historical trends and other relevant information.</w:t>
      </w:r>
    </w:p>
    <w:p>
      <w:pPr>
        <w:spacing w:after="0" w:line="327" w:lineRule="exact"/>
        <w:rPr>
          <w:sz w:val="20"/>
          <w:szCs w:val="20"/>
          <w:color w:val="auto"/>
        </w:rPr>
      </w:pPr>
    </w:p>
    <w:p>
      <w:pPr>
        <w:ind w:left="980" w:hanging="533"/>
        <w:spacing w:after="0"/>
        <w:tabs>
          <w:tab w:leader="none" w:pos="9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w:t>
      </w:r>
    </w:p>
    <w:p>
      <w:pPr>
        <w:spacing w:after="0" w:line="173" w:lineRule="exact"/>
        <w:rPr>
          <w:sz w:val="20"/>
          <w:szCs w:val="20"/>
          <w:color w:val="auto"/>
        </w:rPr>
      </w:pPr>
    </w:p>
    <w:p>
      <w:pPr>
        <w:ind w:left="440" w:right="3579"/>
        <w:spacing w:after="0" w:line="235" w:lineRule="auto"/>
        <w:rPr>
          <w:sz w:val="20"/>
          <w:szCs w:val="20"/>
          <w:color w:val="auto"/>
        </w:rPr>
      </w:pPr>
      <w:r>
        <w:rPr>
          <w:rFonts w:ascii="Courier New" w:cs="Courier New" w:eastAsia="Courier New" w:hAnsi="Courier New"/>
          <w:sz w:val="15"/>
          <w:szCs w:val="15"/>
          <w:color w:val="auto"/>
        </w:rPr>
        <w:t>Amounts billed to customers prior to providing the related services are deferred and later reported as revenues in the period in which the services are rendered.</w:t>
      </w:r>
    </w:p>
    <w:p>
      <w:pPr>
        <w:spacing w:after="0" w:line="167" w:lineRule="exact"/>
        <w:rPr>
          <w:sz w:val="20"/>
          <w:szCs w:val="20"/>
          <w:color w:val="auto"/>
        </w:rPr>
      </w:pPr>
    </w:p>
    <w:p>
      <w:pPr>
        <w:ind w:left="980" w:hanging="533"/>
        <w:spacing w:after="0"/>
        <w:tabs>
          <w:tab w:leader="none" w:pos="9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LIABILITIES</w:t>
      </w:r>
    </w:p>
    <w:p>
      <w:pPr>
        <w:spacing w:after="0" w:line="173" w:lineRule="exact"/>
        <w:rPr>
          <w:sz w:val="20"/>
          <w:szCs w:val="20"/>
          <w:color w:val="auto"/>
        </w:rPr>
      </w:pPr>
    </w:p>
    <w:p>
      <w:pPr>
        <w:ind w:left="440" w:right="3399"/>
        <w:spacing w:after="0" w:line="236" w:lineRule="auto"/>
        <w:rPr>
          <w:sz w:val="20"/>
          <w:szCs w:val="20"/>
          <w:color w:val="auto"/>
        </w:rPr>
      </w:pPr>
      <w:r>
        <w:rPr>
          <w:rFonts w:ascii="Courier New" w:cs="Courier New" w:eastAsia="Courier New" w:hAnsi="Courier New"/>
          <w:sz w:val="15"/>
          <w:szCs w:val="15"/>
          <w:color w:val="auto"/>
        </w:rPr>
        <w:t>Environmental liabilities include accruals for costs associated with closure and post-closure monitoring and maintenance of the Group's landfills and remediation at certain of the Group's facilities. The Group accrues for closure and post-closure costs over the life of the landfill site as airspace is consumed.</w:t>
      </w:r>
    </w:p>
    <w:p>
      <w:pPr>
        <w:spacing w:after="0" w:line="167" w:lineRule="exact"/>
        <w:rPr>
          <w:sz w:val="20"/>
          <w:szCs w:val="20"/>
          <w:color w:val="auto"/>
        </w:rPr>
      </w:pPr>
    </w:p>
    <w:p>
      <w:pPr>
        <w:ind w:left="980" w:hanging="533"/>
        <w:spacing w:after="0"/>
        <w:tabs>
          <w:tab w:leader="none" w:pos="9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TRANSLATION</w:t>
      </w:r>
    </w:p>
    <w:p>
      <w:pPr>
        <w:spacing w:after="0" w:line="173" w:lineRule="exact"/>
        <w:rPr>
          <w:sz w:val="20"/>
          <w:szCs w:val="20"/>
          <w:color w:val="auto"/>
        </w:rPr>
      </w:pPr>
    </w:p>
    <w:p>
      <w:pPr>
        <w:ind w:left="440" w:right="3499"/>
        <w:spacing w:after="0" w:line="235" w:lineRule="auto"/>
        <w:rPr>
          <w:sz w:val="20"/>
          <w:szCs w:val="20"/>
          <w:color w:val="auto"/>
        </w:rPr>
      </w:pPr>
      <w:r>
        <w:rPr>
          <w:rFonts w:ascii="Courier New" w:cs="Courier New" w:eastAsia="Courier New" w:hAnsi="Courier New"/>
          <w:sz w:val="15"/>
          <w:szCs w:val="15"/>
          <w:color w:val="auto"/>
        </w:rPr>
        <w:t>The majority of the Group's transactions and account balances are denominated in Canadian dollars. For the presentation in these combined financial statements, the accounts are translated to U.S. dollars on the following basis:</w:t>
      </w:r>
    </w:p>
    <w:p>
      <w:pPr>
        <w:spacing w:after="0" w:line="175" w:lineRule="exact"/>
        <w:rPr>
          <w:sz w:val="20"/>
          <w:szCs w:val="20"/>
          <w:color w:val="auto"/>
        </w:rPr>
      </w:pPr>
    </w:p>
    <w:p>
      <w:pPr>
        <w:ind w:left="440" w:right="3319"/>
        <w:spacing w:after="0" w:line="235" w:lineRule="auto"/>
        <w:rPr>
          <w:sz w:val="20"/>
          <w:szCs w:val="20"/>
          <w:color w:val="auto"/>
        </w:rPr>
      </w:pPr>
      <w:r>
        <w:rPr>
          <w:rFonts w:ascii="Courier New" w:cs="Courier New" w:eastAsia="Courier New" w:hAnsi="Courier New"/>
          <w:sz w:val="15"/>
          <w:szCs w:val="15"/>
          <w:color w:val="auto"/>
        </w:rPr>
        <w:t>Assets and liabilities at the exchange rate in effect at the balance sheet date and revenue and expenses at weighted monthly average exchange rates for the year.</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LAIDLAW SOLID WASTE MANAGEMENT</w:t>
      </w:r>
    </w:p>
    <w:p>
      <w:pPr>
        <w:spacing w:after="0" w:line="237" w:lineRule="auto"/>
        <w:rPr>
          <w:sz w:val="20"/>
          <w:szCs w:val="20"/>
          <w:color w:val="auto"/>
        </w:rPr>
      </w:pPr>
      <w:r>
        <w:rPr>
          <w:rFonts w:ascii="Courier New" w:cs="Courier New" w:eastAsia="Courier New" w:hAnsi="Courier New"/>
          <w:sz w:val="15"/>
          <w:szCs w:val="15"/>
          <w:color w:val="auto"/>
        </w:rPr>
        <w:t>GROUP - CANADIAN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COMBINED FINANCIAL STATEMENTS (CONT'D)</w:t>
      </w:r>
    </w:p>
    <w:p>
      <w:pPr>
        <w:spacing w:after="0" w:line="237" w:lineRule="auto"/>
        <w:rPr>
          <w:sz w:val="20"/>
          <w:szCs w:val="20"/>
          <w:color w:val="auto"/>
        </w:rPr>
      </w:pPr>
      <w:r>
        <w:rPr>
          <w:rFonts w:ascii="Courier New" w:cs="Courier New" w:eastAsia="Courier New" w:hAnsi="Courier New"/>
          <w:sz w:val="15"/>
          <w:szCs w:val="15"/>
          <w:color w:val="auto"/>
        </w:rPr>
        <w:t>(US $000'S)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ind w:left="440" w:hanging="430"/>
        <w:spacing w:after="0"/>
        <w:tabs>
          <w:tab w:leader="none" w:pos="4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(CONT'D)</w:t>
      </w:r>
    </w:p>
    <w:p>
      <w:pPr>
        <w:spacing w:after="0" w:line="166" w:lineRule="exact"/>
        <w:rPr>
          <w:sz w:val="20"/>
          <w:szCs w:val="20"/>
          <w:color w:val="auto"/>
        </w:rPr>
      </w:pPr>
    </w:p>
    <w:p>
      <w:pPr>
        <w:ind w:left="980" w:hanging="533"/>
        <w:spacing w:after="0"/>
        <w:tabs>
          <w:tab w:leader="none" w:pos="9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PRONOUNCEMENT NOT YET REQUIRED TO BE ADOPTED</w:t>
      </w:r>
    </w:p>
    <w:p>
      <w:pPr>
        <w:spacing w:after="0" w:line="173"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The Group does not expect the adoption of "SFAS" No. 121 "Accounting for Impairment of Long-Lived Assets and for Long-Lived Assets to be Disposed Of" to have a materially adverse effect on the Group's financial position or results of operations. In 1997 the Group is required to adopt SFAS No. 121, issued by the Financial Accounting Standards Board. SFAS No. 121 requires that long-lived assets be reviewed for impairment whenever events or circumstances indicate that the carrying amount of the asset may not be recoverable. If the sum of the expected future cash flows (undiscounted and without interest charges) from an asset to be held and used in operations is less than the carrying value of the asset, an impairment loss must be recognized in the amount of the difference between the carrying value and the fair value. Should events and circumstances indicate that any of the Group's landfills be reviewed for possible impairment, such review for recoverability will be made in accordance with Emerging Issues Task Force Discussion Issue ("EITF") 95-23. The EITF outlines how cash flows for environmental exit costs should be determined and measured.</w:t>
      </w:r>
    </w:p>
    <w:p>
      <w:pPr>
        <w:spacing w:after="0" w:line="163"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SFAS No. 121 has been adopted for the unaudited period ended November 30, 1996. The Group has evaluated these issues and has determined that no events or circumstances have occurred that require the evaluation of any of the Group's landfills for possible impairment.</w:t>
      </w:r>
    </w:p>
    <w:p>
      <w:pPr>
        <w:spacing w:after="0" w:line="169" w:lineRule="exact"/>
        <w:rPr>
          <w:sz w:val="20"/>
          <w:szCs w:val="20"/>
          <w:color w:val="auto"/>
        </w:rPr>
      </w:pPr>
    </w:p>
    <w:p>
      <w:pPr>
        <w:ind w:left="880" w:hanging="433"/>
        <w:spacing w:after="0"/>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INTERIM REPORTING</w:t>
      </w:r>
    </w:p>
    <w:p>
      <w:pPr>
        <w:spacing w:after="0" w:line="173" w:lineRule="exact"/>
        <w:rPr>
          <w:sz w:val="20"/>
          <w:szCs w:val="20"/>
          <w:color w:val="auto"/>
        </w:rPr>
      </w:pPr>
    </w:p>
    <w:p>
      <w:pPr>
        <w:ind w:left="440" w:right="3399"/>
        <w:spacing w:after="0" w:line="255" w:lineRule="auto"/>
        <w:rPr>
          <w:sz w:val="20"/>
          <w:szCs w:val="20"/>
          <w:color w:val="auto"/>
        </w:rPr>
      </w:pPr>
      <w:r>
        <w:rPr>
          <w:rFonts w:ascii="Courier New" w:cs="Courier New" w:eastAsia="Courier New" w:hAnsi="Courier New"/>
          <w:sz w:val="14"/>
          <w:szCs w:val="14"/>
          <w:color w:val="auto"/>
        </w:rPr>
        <w:t>The combined balance sheets of Laidlaw Solid Waste Management Group - Canadian Operations as of November 30, 1996, the related, combined statements of operations for the three months ended November 30, 1996 and the combined statements of cash flows for the three months ended November 30, 1996 are unaudited. In the opinion of management, such financial statements include all adjustments, consisting only of normal recurring adjustments, necessary for a fair presentation of financial position, results of operations, and cash flows for the period presented.</w:t>
      </w:r>
    </w:p>
    <w:p>
      <w:pPr>
        <w:spacing w:after="0" w:line="159" w:lineRule="exact"/>
        <w:rPr>
          <w:sz w:val="20"/>
          <w:szCs w:val="20"/>
          <w:color w:val="auto"/>
        </w:rPr>
      </w:pPr>
    </w:p>
    <w:p>
      <w:pPr>
        <w:ind w:left="440" w:hanging="430"/>
        <w:spacing w:after="0"/>
        <w:tabs>
          <w:tab w:leader="none" w:pos="4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4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6"/>
              </w:rPr>
              <w:t>(Unaudited)</w:t>
            </w:r>
          </w:p>
        </w:tc>
        <w:tc>
          <w:tcPr>
            <w:tcW w:w="108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14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November 30</w:t>
            </w:r>
          </w:p>
        </w:tc>
        <w:tc>
          <w:tcPr>
            <w:tcW w:w="10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3"/>
              </w:rPr>
              <w:t>August 31</w:t>
            </w:r>
          </w:p>
        </w:tc>
      </w:tr>
      <w:tr>
        <w:trPr>
          <w:trHeight w:val="168"/>
        </w:trPr>
        <w:tc>
          <w:tcPr>
            <w:tcW w:w="40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1996</w:t>
            </w:r>
          </w:p>
        </w:tc>
        <w:tc>
          <w:tcPr>
            <w:tcW w:w="10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040" w:type="dxa"/>
            <w:vAlign w:val="bottom"/>
          </w:tcPr>
          <w:p>
            <w:pPr>
              <w:spacing w:after="0"/>
              <w:rPr>
                <w:sz w:val="14"/>
                <w:szCs w:val="14"/>
                <w:color w:val="auto"/>
              </w:rPr>
            </w:pPr>
          </w:p>
        </w:tc>
        <w:tc>
          <w:tcPr>
            <w:tcW w:w="14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Notes due at various dates from 1998 to 2002</w:t>
            </w: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with interest rates from 0% to 8%</w:t>
            </w: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219</w:t>
            </w:r>
          </w:p>
        </w:tc>
        <w:tc>
          <w:tcPr>
            <w:tcW w:w="10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507</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Current portion</w:t>
            </w: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77</w:t>
            </w:r>
          </w:p>
        </w:tc>
        <w:tc>
          <w:tcPr>
            <w:tcW w:w="10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243</w:t>
            </w:r>
          </w:p>
        </w:tc>
      </w:tr>
      <w:tr>
        <w:trPr>
          <w:trHeight w:val="168"/>
        </w:trPr>
        <w:tc>
          <w:tcPr>
            <w:tcW w:w="40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142</w:t>
            </w:r>
          </w:p>
        </w:tc>
        <w:tc>
          <w:tcPr>
            <w:tcW w:w="10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264</w:t>
            </w:r>
          </w:p>
        </w:tc>
      </w:tr>
      <w:tr>
        <w:trPr>
          <w:trHeight w:val="168"/>
        </w:trPr>
        <w:tc>
          <w:tcPr>
            <w:tcW w:w="40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0" w:right="3679"/>
        <w:spacing w:after="0" w:line="234" w:lineRule="auto"/>
        <w:rPr>
          <w:sz w:val="20"/>
          <w:szCs w:val="20"/>
          <w:color w:val="auto"/>
        </w:rPr>
      </w:pPr>
      <w:r>
        <w:rPr>
          <w:rFonts w:ascii="Courier New" w:cs="Courier New" w:eastAsia="Courier New" w:hAnsi="Courier New"/>
          <w:sz w:val="15"/>
          <w:szCs w:val="15"/>
          <w:color w:val="auto"/>
        </w:rPr>
        <w:t>The aggregate amount of minimum payments required on long-term debt in each of the years indicated is as follows:</w:t>
      </w:r>
    </w:p>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6"/>
        </w:trPr>
        <w:tc>
          <w:tcPr>
            <w:tcW w:w="2180" w:type="dxa"/>
            <w:vAlign w:val="bottom"/>
          </w:tcPr>
          <w:p>
            <w:pPr>
              <w:spacing w:after="0"/>
              <w:rPr>
                <w:sz w:val="20"/>
                <w:szCs w:val="20"/>
                <w:color w:val="auto"/>
              </w:rPr>
            </w:pPr>
            <w:r>
              <w:rPr>
                <w:rFonts w:ascii="Courier New" w:cs="Courier New" w:eastAsia="Courier New" w:hAnsi="Courier New"/>
                <w:sz w:val="15"/>
                <w:szCs w:val="15"/>
                <w:color w:val="auto"/>
              </w:rPr>
              <w:t>Year ending August 31,</w:t>
            </w: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243</w:t>
            </w:r>
          </w:p>
        </w:tc>
      </w:tr>
      <w:tr>
        <w:trPr>
          <w:trHeight w:val="168"/>
        </w:trPr>
        <w:tc>
          <w:tcPr>
            <w:tcW w:w="2180" w:type="dxa"/>
            <w:vAlign w:val="bottom"/>
          </w:tcPr>
          <w:p>
            <w:pPr>
              <w:spacing w:after="0"/>
              <w:rPr>
                <w:sz w:val="14"/>
                <w:szCs w:val="14"/>
                <w:color w:val="auto"/>
              </w:rPr>
            </w:pPr>
          </w:p>
        </w:tc>
        <w:tc>
          <w:tcPr>
            <w:tcW w:w="15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w:t>
            </w:r>
          </w:p>
        </w:tc>
      </w:tr>
      <w:tr>
        <w:trPr>
          <w:trHeight w:val="168"/>
        </w:trPr>
        <w:tc>
          <w:tcPr>
            <w:tcW w:w="2180" w:type="dxa"/>
            <w:vAlign w:val="bottom"/>
          </w:tcPr>
          <w:p>
            <w:pPr>
              <w:spacing w:after="0"/>
              <w:rPr>
                <w:sz w:val="14"/>
                <w:szCs w:val="14"/>
                <w:color w:val="auto"/>
              </w:rPr>
            </w:pPr>
          </w:p>
        </w:tc>
        <w:tc>
          <w:tcPr>
            <w:tcW w:w="15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2180" w:type="dxa"/>
            <w:vAlign w:val="bottom"/>
          </w:tcPr>
          <w:p>
            <w:pPr>
              <w:spacing w:after="0"/>
              <w:rPr>
                <w:sz w:val="14"/>
                <w:szCs w:val="14"/>
                <w:color w:val="auto"/>
              </w:rPr>
            </w:pPr>
          </w:p>
        </w:tc>
        <w:tc>
          <w:tcPr>
            <w:tcW w:w="15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2180" w:type="dxa"/>
            <w:vAlign w:val="bottom"/>
          </w:tcPr>
          <w:p>
            <w:pPr>
              <w:spacing w:after="0"/>
              <w:rPr>
                <w:sz w:val="14"/>
                <w:szCs w:val="14"/>
                <w:color w:val="auto"/>
              </w:rPr>
            </w:pPr>
          </w:p>
        </w:tc>
        <w:tc>
          <w:tcPr>
            <w:tcW w:w="15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2001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2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507</w:t>
            </w:r>
          </w:p>
        </w:tc>
      </w:tr>
      <w:tr>
        <w:trPr>
          <w:trHeight w:val="168"/>
        </w:trPr>
        <w:tc>
          <w:tcPr>
            <w:tcW w:w="2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LAIDLAW SOLID WASTE MANAGEMENT</w:t>
      </w:r>
    </w:p>
    <w:p>
      <w:pPr>
        <w:spacing w:after="0" w:line="237" w:lineRule="auto"/>
        <w:rPr>
          <w:sz w:val="20"/>
          <w:szCs w:val="20"/>
          <w:color w:val="auto"/>
        </w:rPr>
      </w:pPr>
      <w:r>
        <w:rPr>
          <w:rFonts w:ascii="Courier New" w:cs="Courier New" w:eastAsia="Courier New" w:hAnsi="Courier New"/>
          <w:sz w:val="15"/>
          <w:szCs w:val="15"/>
          <w:color w:val="auto"/>
        </w:rPr>
        <w:t>GROUP - CANADIAN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COMBINED FINANCIAL STATEMENTS (CONT'D)</w:t>
      </w:r>
    </w:p>
    <w:p>
      <w:pPr>
        <w:spacing w:after="0" w:line="237" w:lineRule="auto"/>
        <w:rPr>
          <w:sz w:val="20"/>
          <w:szCs w:val="20"/>
          <w:color w:val="auto"/>
        </w:rPr>
      </w:pPr>
      <w:r>
        <w:rPr>
          <w:rFonts w:ascii="Courier New" w:cs="Courier New" w:eastAsia="Courier New" w:hAnsi="Courier New"/>
          <w:sz w:val="15"/>
          <w:szCs w:val="15"/>
          <w:color w:val="auto"/>
        </w:rPr>
        <w:t>(US $000'S)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8" w:lineRule="exact"/>
        <w:rPr>
          <w:sz w:val="20"/>
          <w:szCs w:val="20"/>
          <w:color w:val="auto"/>
        </w:rPr>
      </w:pPr>
    </w:p>
    <w:p>
      <w:pPr>
        <w:ind w:left="440" w:hanging="430"/>
        <w:spacing w:after="0"/>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LIABILITIES</w:t>
      </w:r>
    </w:p>
    <w:p>
      <w:pPr>
        <w:spacing w:after="0" w:line="172" w:lineRule="exact"/>
        <w:rPr>
          <w:rFonts w:ascii="Courier New" w:cs="Courier New" w:eastAsia="Courier New" w:hAnsi="Courier New"/>
          <w:sz w:val="15"/>
          <w:szCs w:val="15"/>
          <w:color w:val="auto"/>
        </w:rPr>
      </w:pPr>
    </w:p>
    <w:p>
      <w:pPr>
        <w:ind w:left="440" w:right="33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Group has recorded liabilities for closure and post-closure monitoring and environmental remediation costs as follows:</w:t>
      </w:r>
    </w:p>
    <w:p>
      <w:pPr>
        <w:spacing w:after="0" w:line="167" w:lineRule="exact"/>
        <w:rPr>
          <w:sz w:val="20"/>
          <w:szCs w:val="20"/>
          <w:color w:val="auto"/>
        </w:rPr>
      </w:pPr>
    </w:p>
    <w:p>
      <w:pPr>
        <w:ind w:left="5960"/>
        <w:spacing w:after="0"/>
        <w:rPr>
          <w:sz w:val="20"/>
          <w:szCs w:val="20"/>
          <w:color w:val="auto"/>
        </w:rPr>
      </w:pPr>
      <w:r>
        <w:rPr>
          <w:rFonts w:ascii="Courier New" w:cs="Courier New" w:eastAsia="Courier New" w:hAnsi="Courier New"/>
          <w:sz w:val="15"/>
          <w:szCs w:val="15"/>
          <w:color w:val="auto"/>
        </w:rPr>
        <w:t>August 31</w:t>
      </w:r>
    </w:p>
    <w:p>
      <w:pPr>
        <w:ind w:left="6140"/>
        <w:spacing w:after="0" w:line="237" w:lineRule="auto"/>
        <w:rPr>
          <w:sz w:val="20"/>
          <w:szCs w:val="20"/>
          <w:color w:val="auto"/>
        </w:rPr>
      </w:pPr>
      <w:r>
        <w:rPr>
          <w:rFonts w:ascii="Courier New" w:cs="Courier New" w:eastAsia="Courier New" w:hAnsi="Courier New"/>
          <w:sz w:val="15"/>
          <w:szCs w:val="15"/>
          <w:color w:val="auto"/>
        </w:rPr>
        <w:t>1996</w:t>
      </w:r>
    </w:p>
    <w:p>
      <w:pPr>
        <w:ind w:left="6220"/>
        <w:spacing w:after="0" w:line="238"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281" w:right="1440" w:bottom="1440" w:gutter="0" w:footer="0" w:header="0"/>
        </w:sectPr>
      </w:pPr>
    </w:p>
    <w:p>
      <w:pPr>
        <w:spacing w:after="0" w:line="5" w:lineRule="exact"/>
        <w:rPr>
          <w:sz w:val="20"/>
          <w:szCs w:val="20"/>
          <w:color w:val="auto"/>
        </w:rPr>
      </w:pPr>
    </w:p>
    <w:p>
      <w:pPr>
        <w:ind w:left="620" w:right="600"/>
        <w:spacing w:after="0" w:line="235" w:lineRule="auto"/>
        <w:rPr>
          <w:sz w:val="20"/>
          <w:szCs w:val="20"/>
          <w:color w:val="auto"/>
        </w:rPr>
      </w:pPr>
      <w:r>
        <w:rPr>
          <w:rFonts w:ascii="Courier New" w:cs="Courier New" w:eastAsia="Courier New" w:hAnsi="Courier New"/>
          <w:sz w:val="15"/>
          <w:szCs w:val="15"/>
          <w:color w:val="auto"/>
        </w:rPr>
        <w:t>Current portion of environmental liabilities, included in accrued liabilities Non-current portion of environmental liabilities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748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5,409</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6,157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420" w:space="720"/>
            <w:col w:w="4099"/>
          </w:cols>
          <w:pgMar w:left="220" w:top="281" w:right="1440" w:bottom="1440" w:gutter="0" w:footer="0" w:header="0"/>
          <w:type w:val="continuous"/>
        </w:sectPr>
      </w:pPr>
    </w:p>
    <w:p>
      <w:pPr>
        <w:spacing w:after="0" w:line="314" w:lineRule="exact"/>
        <w:rPr>
          <w:sz w:val="20"/>
          <w:szCs w:val="20"/>
          <w:color w:val="auto"/>
        </w:rPr>
      </w:pPr>
    </w:p>
    <w:p>
      <w:pPr>
        <w:ind w:left="440" w:right="3579"/>
        <w:spacing w:after="0" w:line="236" w:lineRule="auto"/>
        <w:rPr>
          <w:sz w:val="20"/>
          <w:szCs w:val="20"/>
          <w:color w:val="auto"/>
        </w:rPr>
      </w:pPr>
      <w:r>
        <w:rPr>
          <w:rFonts w:ascii="Courier New" w:cs="Courier New" w:eastAsia="Courier New" w:hAnsi="Courier New"/>
          <w:sz w:val="15"/>
          <w:szCs w:val="15"/>
          <w:color w:val="auto"/>
        </w:rPr>
        <w:t>The Group, in the normal course of its business, expends funds for environmental protection and remediation, but does not expect these expenditures to have a materially adverse effect on its financial condition or results of operations, since its business is based upon compliance with environmental laws and regulations and its services are priced accordingly.</w:t>
      </w:r>
    </w:p>
    <w:p>
      <w:pPr>
        <w:spacing w:after="0" w:line="175" w:lineRule="exact"/>
        <w:rPr>
          <w:sz w:val="20"/>
          <w:szCs w:val="20"/>
          <w:color w:val="auto"/>
        </w:rPr>
      </w:pPr>
    </w:p>
    <w:p>
      <w:pPr>
        <w:ind w:left="440" w:right="3319"/>
        <w:spacing w:after="0" w:line="256" w:lineRule="auto"/>
        <w:rPr>
          <w:sz w:val="20"/>
          <w:szCs w:val="20"/>
          <w:color w:val="auto"/>
        </w:rPr>
      </w:pPr>
      <w:r>
        <w:rPr>
          <w:rFonts w:ascii="Courier New" w:cs="Courier New" w:eastAsia="Courier New" w:hAnsi="Courier New"/>
          <w:sz w:val="14"/>
          <w:szCs w:val="14"/>
          <w:color w:val="auto"/>
        </w:rPr>
        <w:t>Closure and post-closure costs for the Group's landfills are based upon the local landfill regulations governing the facility. Costs include such items as final capping of the site, methane gas and leachate management, groundwater monitoring, and operation and maintenance costs to be incurred during the period after the facility closes and ceases to accept waste.</w:t>
      </w:r>
    </w:p>
    <w:p>
      <w:pPr>
        <w:spacing w:after="0" w:line="163" w:lineRule="exact"/>
        <w:rPr>
          <w:sz w:val="20"/>
          <w:szCs w:val="20"/>
          <w:color w:val="auto"/>
        </w:rPr>
      </w:pPr>
    </w:p>
    <w:p>
      <w:pPr>
        <w:ind w:left="440" w:right="3319"/>
        <w:spacing w:after="0" w:line="237" w:lineRule="auto"/>
        <w:rPr>
          <w:sz w:val="20"/>
          <w:szCs w:val="20"/>
          <w:color w:val="auto"/>
        </w:rPr>
      </w:pPr>
      <w:r>
        <w:rPr>
          <w:rFonts w:ascii="Courier New" w:cs="Courier New" w:eastAsia="Courier New" w:hAnsi="Courier New"/>
          <w:sz w:val="15"/>
          <w:szCs w:val="15"/>
          <w:color w:val="auto"/>
        </w:rPr>
        <w:t>The Group has also established procedures to routinely evaluate potential remedial liabilities at sites which it owns or operated, or to which it transported waste. The Group routinely reviews and evaluates sites requiring remediation, giving consideration to the nature (i.e. owner, operator, transporter or generator), and the extent (i.e. amount and nature of waste hauled to the location, number of years of site operation by the Group, or other relevant factors) of the Group's alleged connection with the site, the accuracy and strength of evidence connecting the Group to the location, the number, connection and financial ability of other named and unnamed potentially responsible parties and the nature and estimated cost of the likely remedy. Where the Group concludes that it is probable that a liability has been incurred, provision is made in the financial statements, based upon management's judgement and prior experience, for the Group's best estimate of the liability. Such estimates are subsequently revised as deemed necessary as additional information becomes available.</w:t>
      </w:r>
    </w:p>
    <w:p>
      <w:pPr>
        <w:sectPr>
          <w:pgSz w:w="11900" w:h="16838" w:orient="portrait"/>
          <w:cols w:equalWidth="0" w:num="1">
            <w:col w:w="10239"/>
          </w:cols>
          <w:pgMar w:left="220" w:top="281" w:right="1440" w:bottom="1440"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LAIDLAW SOLID WASTE MANAGEMENT</w:t>
      </w:r>
    </w:p>
    <w:p>
      <w:pPr>
        <w:spacing w:after="0" w:line="237" w:lineRule="auto"/>
        <w:rPr>
          <w:sz w:val="20"/>
          <w:szCs w:val="20"/>
          <w:color w:val="auto"/>
        </w:rPr>
      </w:pPr>
      <w:r>
        <w:rPr>
          <w:rFonts w:ascii="Courier New" w:cs="Courier New" w:eastAsia="Courier New" w:hAnsi="Courier New"/>
          <w:sz w:val="15"/>
          <w:szCs w:val="15"/>
          <w:color w:val="auto"/>
        </w:rPr>
        <w:t>GROUP - CANADIAN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COMBINED FINANCIAL STATEMENTS (CONT'D)</w:t>
      </w:r>
    </w:p>
    <w:p>
      <w:pPr>
        <w:spacing w:after="0" w:line="237" w:lineRule="auto"/>
        <w:rPr>
          <w:sz w:val="20"/>
          <w:szCs w:val="20"/>
          <w:color w:val="auto"/>
        </w:rPr>
      </w:pPr>
      <w:r>
        <w:rPr>
          <w:rFonts w:ascii="Courier New" w:cs="Courier New" w:eastAsia="Courier New" w:hAnsi="Courier New"/>
          <w:sz w:val="15"/>
          <w:szCs w:val="15"/>
          <w:color w:val="auto"/>
        </w:rPr>
        <w:t>(US $000'S)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ind w:left="440" w:hanging="430"/>
        <w:spacing w:after="0"/>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LIABILITIES (CONT'D)</w:t>
      </w:r>
    </w:p>
    <w:p>
      <w:pPr>
        <w:spacing w:after="0" w:line="341" w:lineRule="exact"/>
        <w:rPr>
          <w:rFonts w:ascii="Courier New" w:cs="Courier New" w:eastAsia="Courier New" w:hAnsi="Courier New"/>
          <w:sz w:val="15"/>
          <w:szCs w:val="15"/>
          <w:color w:val="auto"/>
        </w:rPr>
      </w:pPr>
    </w:p>
    <w:p>
      <w:pPr>
        <w:ind w:left="440" w:right="33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Estimates of the extent of the Group's degree of responsibility for remediation of a particular site and the method and ultimate cost of remediation require a number of assumptions and are inherently difficult. The ultimate outcome of these items may differ from current estimates. The Group believes that its extensive experience in the environmental services business provides a reasonable basis for making its estimates. However, these estimates may include a range of possible outcomes. In such cases, the Group provides for the amount within the range that constitutes its best estimate. The Group's best estimate is at the higher range of possible outcomes. While the Group does not currently anticipate that any adjustment to its estimates would be material to its financial statements, it is reasonably possible that technological, regulatory or enforcement developments, the results of environmental studies or other factors could necessitate the recording of additional liabilities that could be material. The impact of such future events cannot be estimated at the current time.</w:t>
      </w:r>
    </w:p>
    <w:p>
      <w:pPr>
        <w:spacing w:after="0" w:line="174" w:lineRule="exact"/>
        <w:rPr>
          <w:rFonts w:ascii="Courier New" w:cs="Courier New" w:eastAsia="Courier New" w:hAnsi="Courier New"/>
          <w:sz w:val="15"/>
          <w:szCs w:val="15"/>
          <w:color w:val="auto"/>
        </w:rPr>
      </w:pPr>
    </w:p>
    <w:p>
      <w:pPr>
        <w:ind w:left="44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Where the Group believes that both the amount of a particular environmental liability and the timing of the payments are reliably determinable, the cost in current dollars is discounted to present value, assuming inflation of 3% and a risk free discount rate of 8%. Had the Group not discounted any portion of its liability, the amount recorded would have been increased by approximately $9.4 million as at August 31, 1996.</w:t>
      </w:r>
    </w:p>
    <w:p>
      <w:pPr>
        <w:spacing w:after="0" w:line="175" w:lineRule="exact"/>
        <w:rPr>
          <w:rFonts w:ascii="Courier New" w:cs="Courier New" w:eastAsia="Courier New" w:hAnsi="Courier New"/>
          <w:sz w:val="15"/>
          <w:szCs w:val="15"/>
          <w:color w:val="auto"/>
        </w:rPr>
      </w:pPr>
    </w:p>
    <w:p>
      <w:pPr>
        <w:ind w:left="44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majority of the Group's active landfill sites have estimated remaining lives ranging from 3 to approximately 23 years based upon current site plans and anticipated annual volumes of waste. As at August 31, 1996, the Group estimates that during this remaining site life, it will provide for an additional $24.0 million of closure and post-closure costs, including accretion for the discount recognized to date.</w:t>
      </w:r>
    </w:p>
    <w:p>
      <w:pPr>
        <w:spacing w:after="0" w:line="166" w:lineRule="exact"/>
        <w:rPr>
          <w:rFonts w:ascii="Courier New" w:cs="Courier New" w:eastAsia="Courier New" w:hAnsi="Courier New"/>
          <w:sz w:val="15"/>
          <w:szCs w:val="15"/>
          <w:color w:val="auto"/>
        </w:rPr>
      </w:pPr>
    </w:p>
    <w:p>
      <w:pPr>
        <w:ind w:left="440" w:right="36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Anticipated payments of environmental liabilities for each of the next five years and thereafter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jc w:val="right"/>
              <w:ind w:right="1067"/>
              <w:spacing w:after="0"/>
              <w:rPr>
                <w:sz w:val="20"/>
                <w:szCs w:val="20"/>
                <w:color w:val="auto"/>
              </w:rPr>
            </w:pPr>
            <w:r>
              <w:rPr>
                <w:rFonts w:ascii="Courier New" w:cs="Courier New" w:eastAsia="Courier New" w:hAnsi="Courier New"/>
                <w:sz w:val="15"/>
                <w:szCs w:val="15"/>
                <w:color w:val="auto"/>
                <w:w w:val="96"/>
              </w:rPr>
              <w:t>Year ending August 31, 1997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748</w:t>
            </w:r>
          </w:p>
        </w:tc>
      </w:tr>
      <w:tr>
        <w:trPr>
          <w:trHeight w:val="168"/>
        </w:trPr>
        <w:tc>
          <w:tcPr>
            <w:tcW w:w="35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w:t>
            </w:r>
          </w:p>
        </w:tc>
      </w:tr>
      <w:tr>
        <w:trPr>
          <w:trHeight w:val="168"/>
        </w:trPr>
        <w:tc>
          <w:tcPr>
            <w:tcW w:w="35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1999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1,154</w:t>
            </w:r>
          </w:p>
        </w:tc>
      </w:tr>
      <w:tr>
        <w:trPr>
          <w:trHeight w:val="168"/>
        </w:trPr>
        <w:tc>
          <w:tcPr>
            <w:tcW w:w="35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804</w:t>
            </w:r>
          </w:p>
        </w:tc>
      </w:tr>
      <w:tr>
        <w:trPr>
          <w:trHeight w:val="168"/>
        </w:trPr>
        <w:tc>
          <w:tcPr>
            <w:tcW w:w="35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2001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663</w:t>
            </w:r>
          </w:p>
        </w:tc>
      </w:tr>
      <w:tr>
        <w:trPr>
          <w:trHeight w:val="168"/>
        </w:trPr>
        <w:tc>
          <w:tcPr>
            <w:tcW w:w="3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Thereafter</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26,625</w:t>
            </w:r>
          </w:p>
        </w:tc>
      </w:tr>
      <w:tr>
        <w:trPr>
          <w:trHeight w:val="168"/>
        </w:trPr>
        <w:tc>
          <w:tcPr>
            <w:tcW w:w="35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30,460</w:t>
            </w:r>
          </w:p>
        </w:tc>
      </w:tr>
      <w:tr>
        <w:trPr>
          <w:trHeight w:val="168"/>
        </w:trPr>
        <w:tc>
          <w:tcPr>
            <w:tcW w:w="35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LAIDLAW SOLID WASTE MANAGEMENT</w:t>
      </w:r>
    </w:p>
    <w:p>
      <w:pPr>
        <w:spacing w:after="0" w:line="237" w:lineRule="auto"/>
        <w:rPr>
          <w:sz w:val="20"/>
          <w:szCs w:val="20"/>
          <w:color w:val="auto"/>
        </w:rPr>
      </w:pPr>
      <w:r>
        <w:rPr>
          <w:rFonts w:ascii="Courier New" w:cs="Courier New" w:eastAsia="Courier New" w:hAnsi="Courier New"/>
          <w:sz w:val="15"/>
          <w:szCs w:val="15"/>
          <w:color w:val="auto"/>
        </w:rPr>
        <w:t>GROUP - CANADIAN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COMBINED FINANCIAL STATEMENTS (CONT'D)</w:t>
      </w:r>
    </w:p>
    <w:p>
      <w:pPr>
        <w:spacing w:after="0" w:line="237" w:lineRule="auto"/>
        <w:rPr>
          <w:sz w:val="20"/>
          <w:szCs w:val="20"/>
          <w:color w:val="auto"/>
        </w:rPr>
      </w:pPr>
      <w:r>
        <w:rPr>
          <w:rFonts w:ascii="Courier New" w:cs="Courier New" w:eastAsia="Courier New" w:hAnsi="Courier New"/>
          <w:sz w:val="15"/>
          <w:szCs w:val="15"/>
          <w:color w:val="auto"/>
        </w:rPr>
        <w:t>(US $000'S)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8" w:lineRule="exact"/>
        <w:rPr>
          <w:sz w:val="20"/>
          <w:szCs w:val="20"/>
          <w:color w:val="auto"/>
        </w:rPr>
      </w:pPr>
    </w:p>
    <w:p>
      <w:pPr>
        <w:ind w:left="440" w:hanging="430"/>
        <w:spacing w:after="0"/>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66" w:lineRule="exact"/>
        <w:rPr>
          <w:rFonts w:ascii="Courier New" w:cs="Courier New" w:eastAsia="Courier New" w:hAnsi="Courier New"/>
          <w:sz w:val="15"/>
          <w:szCs w:val="15"/>
          <w:color w:val="auto"/>
        </w:rPr>
      </w:pPr>
    </w:p>
    <w:p>
      <w:pPr>
        <w:ind w:left="1060" w:hanging="613"/>
        <w:spacing w:after="0"/>
        <w:tabs>
          <w:tab w:leader="none" w:pos="106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COMMITMENTS</w:t>
      </w:r>
    </w:p>
    <w:p>
      <w:pPr>
        <w:spacing w:after="0" w:line="173" w:lineRule="exact"/>
        <w:rPr>
          <w:sz w:val="20"/>
          <w:szCs w:val="20"/>
          <w:color w:val="auto"/>
        </w:rPr>
      </w:pPr>
    </w:p>
    <w:p>
      <w:pPr>
        <w:ind w:left="440" w:right="3499"/>
        <w:spacing w:after="0" w:line="234" w:lineRule="auto"/>
        <w:rPr>
          <w:sz w:val="20"/>
          <w:szCs w:val="20"/>
          <w:color w:val="auto"/>
        </w:rPr>
      </w:pPr>
      <w:r>
        <w:rPr>
          <w:rFonts w:ascii="Courier New" w:cs="Courier New" w:eastAsia="Courier New" w:hAnsi="Courier New"/>
          <w:sz w:val="15"/>
          <w:szCs w:val="15"/>
          <w:color w:val="auto"/>
        </w:rPr>
        <w:t>Rental expense incurred under operating leases amounted to $2,412 in the year ended August 31, 1996.</w:t>
      </w:r>
    </w:p>
    <w:p>
      <w:pPr>
        <w:spacing w:after="0" w:line="173" w:lineRule="exact"/>
        <w:rPr>
          <w:sz w:val="20"/>
          <w:szCs w:val="20"/>
          <w:color w:val="auto"/>
        </w:rPr>
      </w:pPr>
    </w:p>
    <w:p>
      <w:pPr>
        <w:ind w:left="440" w:right="3499"/>
        <w:spacing w:after="0" w:line="234" w:lineRule="auto"/>
        <w:rPr>
          <w:sz w:val="20"/>
          <w:szCs w:val="20"/>
          <w:color w:val="auto"/>
        </w:rPr>
      </w:pPr>
      <w:r>
        <w:rPr>
          <w:rFonts w:ascii="Courier New" w:cs="Courier New" w:eastAsia="Courier New" w:hAnsi="Courier New"/>
          <w:sz w:val="15"/>
          <w:szCs w:val="15"/>
          <w:color w:val="auto"/>
        </w:rPr>
        <w:t>Rentals payable under operating leases for premises and equipment are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6"/>
        </w:trPr>
        <w:tc>
          <w:tcPr>
            <w:tcW w:w="3460" w:type="dxa"/>
            <w:vAlign w:val="bottom"/>
          </w:tcPr>
          <w:p>
            <w:pPr>
              <w:jc w:val="right"/>
              <w:ind w:right="1027"/>
              <w:spacing w:after="0"/>
              <w:rPr>
                <w:sz w:val="20"/>
                <w:szCs w:val="20"/>
                <w:color w:val="auto"/>
              </w:rPr>
            </w:pPr>
            <w:r>
              <w:rPr>
                <w:rFonts w:ascii="Courier New" w:cs="Courier New" w:eastAsia="Courier New" w:hAnsi="Courier New"/>
                <w:sz w:val="15"/>
                <w:szCs w:val="15"/>
                <w:color w:val="auto"/>
                <w:w w:val="96"/>
              </w:rPr>
              <w:t>Year ending August 31, 1997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2,241</w:t>
            </w:r>
          </w:p>
        </w:tc>
      </w:tr>
      <w:tr>
        <w:trPr>
          <w:trHeight w:val="168"/>
        </w:trPr>
        <w:tc>
          <w:tcPr>
            <w:tcW w:w="3460" w:type="dxa"/>
            <w:vAlign w:val="bottom"/>
          </w:tcPr>
          <w:p>
            <w:pPr>
              <w:jc w:val="right"/>
              <w:ind w:right="1027"/>
              <w:spacing w:after="0" w:line="168" w:lineRule="exact"/>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2,031</w:t>
            </w:r>
          </w:p>
        </w:tc>
      </w:tr>
      <w:tr>
        <w:trPr>
          <w:trHeight w:val="168"/>
        </w:trPr>
        <w:tc>
          <w:tcPr>
            <w:tcW w:w="3460" w:type="dxa"/>
            <w:vAlign w:val="bottom"/>
          </w:tcPr>
          <w:p>
            <w:pPr>
              <w:jc w:val="right"/>
              <w:ind w:right="1027"/>
              <w:spacing w:after="0" w:line="168" w:lineRule="exact"/>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1,874</w:t>
            </w:r>
          </w:p>
        </w:tc>
      </w:tr>
      <w:tr>
        <w:trPr>
          <w:trHeight w:val="168"/>
        </w:trPr>
        <w:tc>
          <w:tcPr>
            <w:tcW w:w="3460" w:type="dxa"/>
            <w:vAlign w:val="bottom"/>
          </w:tcPr>
          <w:p>
            <w:pPr>
              <w:jc w:val="right"/>
              <w:ind w:right="1027"/>
              <w:spacing w:after="0" w:line="168" w:lineRule="exact"/>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1,731</w:t>
            </w:r>
          </w:p>
        </w:tc>
      </w:tr>
      <w:tr>
        <w:trPr>
          <w:trHeight w:val="168"/>
        </w:trPr>
        <w:tc>
          <w:tcPr>
            <w:tcW w:w="3460" w:type="dxa"/>
            <w:vAlign w:val="bottom"/>
          </w:tcPr>
          <w:p>
            <w:pPr>
              <w:jc w:val="right"/>
              <w:ind w:right="1027"/>
              <w:spacing w:after="0" w:line="168" w:lineRule="exact"/>
              <w:rPr>
                <w:sz w:val="20"/>
                <w:szCs w:val="20"/>
                <w:color w:val="auto"/>
              </w:rPr>
            </w:pPr>
            <w:r>
              <w:rPr>
                <w:rFonts w:ascii="Courier New" w:cs="Courier New" w:eastAsia="Courier New" w:hAnsi="Courier New"/>
                <w:sz w:val="15"/>
                <w:szCs w:val="15"/>
                <w:color w:val="auto"/>
              </w:rPr>
              <w:t>2001</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1,143</w:t>
            </w:r>
          </w:p>
        </w:tc>
      </w:tr>
      <w:tr>
        <w:trPr>
          <w:trHeight w:val="168"/>
        </w:trPr>
        <w:tc>
          <w:tcPr>
            <w:tcW w:w="34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Thereafter</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5,062</w:t>
            </w:r>
          </w:p>
        </w:tc>
      </w:tr>
      <w:tr>
        <w:trPr>
          <w:trHeight w:val="168"/>
        </w:trPr>
        <w:tc>
          <w:tcPr>
            <w:tcW w:w="34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14,082</w:t>
            </w:r>
          </w:p>
        </w:tc>
      </w:tr>
      <w:tr>
        <w:trPr>
          <w:trHeight w:val="168"/>
        </w:trPr>
        <w:tc>
          <w:tcPr>
            <w:tcW w:w="34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LEGAL PROCEEDINGS</w:t>
      </w:r>
    </w:p>
    <w:p>
      <w:pPr>
        <w:spacing w:after="0" w:line="173" w:lineRule="exact"/>
        <w:rPr>
          <w:sz w:val="20"/>
          <w:szCs w:val="20"/>
          <w:color w:val="auto"/>
        </w:rPr>
      </w:pPr>
    </w:p>
    <w:p>
      <w:pPr>
        <w:ind w:left="440" w:right="3399"/>
        <w:spacing w:after="0" w:line="236" w:lineRule="auto"/>
        <w:rPr>
          <w:sz w:val="20"/>
          <w:szCs w:val="20"/>
          <w:color w:val="auto"/>
        </w:rPr>
      </w:pPr>
      <w:r>
        <w:rPr>
          <w:rFonts w:ascii="Courier New" w:cs="Courier New" w:eastAsia="Courier New" w:hAnsi="Courier New"/>
          <w:sz w:val="15"/>
          <w:szCs w:val="15"/>
          <w:color w:val="auto"/>
        </w:rPr>
        <w:t>The Group is subject to extensive and evolving laws and regulations and has implemented its own environmental safeguards to respond to regulatory requirements. In the normal course of business, the Group provides for closure and post-closure accruals to comply with all governmental regulations.</w:t>
      </w:r>
    </w:p>
    <w:p>
      <w:pPr>
        <w:spacing w:after="0" w:line="174"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In the normal course of conducting its operations, the Group may become involved in certain legal and administrative proceedings. Some of these actions may result in fines, penalties or judgements against the Group which may have an impact on the financial results for a particular period. Management expects that such matters in process at August 31, 1996 will not have a materially adverse effect on this Group's financial position or its results from operations.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 LETTERS OF CREDIT AND GUARANTEES</w:t>
      </w:r>
    </w:p>
    <w:p>
      <w:pPr>
        <w:spacing w:after="0" w:line="173"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At November 30, 1996, the Group has $14,124 (August 31, 1996 - $14,503) in outstanding letters of credit, of which the most significant are in support of the Group's undertakings in respect of landfill closure and post-closure activities required in obtaining regulatory operating permits.</w:t>
      </w:r>
    </w:p>
    <w:p>
      <w:pPr>
        <w:spacing w:after="0" w:line="174" w:lineRule="exact"/>
        <w:rPr>
          <w:sz w:val="20"/>
          <w:szCs w:val="20"/>
          <w:color w:val="auto"/>
        </w:rPr>
      </w:pPr>
    </w:p>
    <w:p>
      <w:pPr>
        <w:ind w:left="440" w:right="3399"/>
        <w:spacing w:after="0" w:line="235" w:lineRule="auto"/>
        <w:rPr>
          <w:sz w:val="20"/>
          <w:szCs w:val="20"/>
          <w:color w:val="auto"/>
        </w:rPr>
      </w:pPr>
      <w:r>
        <w:rPr>
          <w:rFonts w:ascii="Courier New" w:cs="Courier New" w:eastAsia="Courier New" w:hAnsi="Courier New"/>
          <w:sz w:val="15"/>
          <w:szCs w:val="15"/>
          <w:color w:val="auto"/>
        </w:rPr>
        <w:t>In addition, Laidlaw Inc. and its affiliates have provided guarantees and additional letters of credit in the aggregate amount of approximately $40 million (August 31, 1996 - $40 million) for closure and post-closure activities and bid bonds.</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LAIDLAW SOLID WASTE MANAGEMENT</w:t>
      </w:r>
    </w:p>
    <w:p>
      <w:pPr>
        <w:spacing w:after="0" w:line="237" w:lineRule="auto"/>
        <w:rPr>
          <w:sz w:val="20"/>
          <w:szCs w:val="20"/>
          <w:color w:val="auto"/>
        </w:rPr>
      </w:pPr>
      <w:r>
        <w:rPr>
          <w:rFonts w:ascii="Courier New" w:cs="Courier New" w:eastAsia="Courier New" w:hAnsi="Courier New"/>
          <w:sz w:val="15"/>
          <w:szCs w:val="15"/>
          <w:color w:val="auto"/>
        </w:rPr>
        <w:t>GROUP - CANADIAN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COMBINED FINANCIAL STATEMENTS (CONT'D)</w:t>
      </w:r>
    </w:p>
    <w:p>
      <w:pPr>
        <w:spacing w:after="0" w:line="237" w:lineRule="auto"/>
        <w:rPr>
          <w:sz w:val="20"/>
          <w:szCs w:val="20"/>
          <w:color w:val="auto"/>
        </w:rPr>
      </w:pPr>
      <w:r>
        <w:rPr>
          <w:rFonts w:ascii="Courier New" w:cs="Courier New" w:eastAsia="Courier New" w:hAnsi="Courier New"/>
          <w:sz w:val="15"/>
          <w:szCs w:val="15"/>
          <w:color w:val="auto"/>
        </w:rPr>
        <w:t>(US $000'S)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ind w:left="440" w:hanging="430"/>
        <w:spacing w:after="0"/>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2" w:lineRule="exact"/>
        <w:rPr>
          <w:rFonts w:ascii="Courier New" w:cs="Courier New" w:eastAsia="Courier New" w:hAnsi="Courier New"/>
          <w:sz w:val="15"/>
          <w:szCs w:val="15"/>
          <w:color w:val="auto"/>
        </w:rPr>
      </w:pPr>
    </w:p>
    <w:p>
      <w:pPr>
        <w:ind w:left="44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operating expenses and selling, general and administrative expenses are management fee income, insurance premiums and rental charges paid to affiliated companies as follows: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2060" w:type="dxa"/>
            <w:vAlign w:val="bottom"/>
          </w:tcPr>
          <w:p>
            <w:pPr>
              <w:jc w:val="center"/>
              <w:ind w:left="1007"/>
              <w:spacing w:after="0"/>
              <w:rPr>
                <w:sz w:val="20"/>
                <w:szCs w:val="20"/>
                <w:color w:val="auto"/>
              </w:rPr>
            </w:pPr>
            <w:r>
              <w:rPr>
                <w:rFonts w:ascii="Courier New" w:cs="Courier New" w:eastAsia="Courier New" w:hAnsi="Courier New"/>
                <w:sz w:val="15"/>
                <w:szCs w:val="15"/>
                <w:color w:val="auto"/>
                <w:w w:val="98"/>
              </w:rPr>
              <w:t>For the</w:t>
            </w:r>
          </w:p>
        </w:tc>
      </w:tr>
      <w:tr>
        <w:trPr>
          <w:trHeight w:val="168"/>
        </w:trPr>
        <w:tc>
          <w:tcPr>
            <w:tcW w:w="3640" w:type="dxa"/>
            <w:vAlign w:val="bottom"/>
          </w:tcPr>
          <w:p>
            <w:pPr>
              <w:spacing w:after="0"/>
              <w:rPr>
                <w:sz w:val="14"/>
                <w:szCs w:val="14"/>
                <w:color w:val="auto"/>
              </w:rPr>
            </w:pP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 Ended</w:t>
            </w:r>
          </w:p>
        </w:tc>
      </w:tr>
      <w:tr>
        <w:trPr>
          <w:trHeight w:val="168"/>
        </w:trPr>
        <w:tc>
          <w:tcPr>
            <w:tcW w:w="3640" w:type="dxa"/>
            <w:vAlign w:val="bottom"/>
          </w:tcPr>
          <w:p>
            <w:pPr>
              <w:spacing w:after="0"/>
              <w:rPr>
                <w:sz w:val="14"/>
                <w:szCs w:val="14"/>
                <w:color w:val="auto"/>
              </w:rPr>
            </w:pPr>
          </w:p>
        </w:tc>
        <w:tc>
          <w:tcPr>
            <w:tcW w:w="2060" w:type="dxa"/>
            <w:vAlign w:val="bottom"/>
          </w:tcPr>
          <w:p>
            <w:pPr>
              <w:jc w:val="center"/>
              <w:ind w:left="1007"/>
              <w:spacing w:after="0" w:line="168" w:lineRule="exact"/>
              <w:rPr>
                <w:sz w:val="20"/>
                <w:szCs w:val="20"/>
                <w:color w:val="auto"/>
              </w:rPr>
            </w:pPr>
            <w:r>
              <w:rPr>
                <w:rFonts w:ascii="Courier New" w:cs="Courier New" w:eastAsia="Courier New" w:hAnsi="Courier New"/>
                <w:sz w:val="15"/>
                <w:szCs w:val="15"/>
                <w:color w:val="auto"/>
                <w:w w:val="96"/>
              </w:rPr>
              <w:t>August 31</w:t>
            </w:r>
          </w:p>
        </w:tc>
      </w:tr>
      <w:tr>
        <w:trPr>
          <w:trHeight w:val="168"/>
        </w:trPr>
        <w:tc>
          <w:tcPr>
            <w:tcW w:w="3640" w:type="dxa"/>
            <w:vAlign w:val="bottom"/>
          </w:tcPr>
          <w:p>
            <w:pPr>
              <w:spacing w:after="0"/>
              <w:rPr>
                <w:sz w:val="14"/>
                <w:szCs w:val="14"/>
                <w:color w:val="auto"/>
              </w:rPr>
            </w:pPr>
          </w:p>
        </w:tc>
        <w:tc>
          <w:tcPr>
            <w:tcW w:w="2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640" w:type="dxa"/>
            <w:vAlign w:val="bottom"/>
          </w:tcPr>
          <w:p>
            <w:pPr>
              <w:spacing w:after="0"/>
              <w:rPr>
                <w:sz w:val="14"/>
                <w:szCs w:val="14"/>
                <w:color w:val="auto"/>
              </w:rPr>
            </w:pPr>
          </w:p>
        </w:tc>
        <w:tc>
          <w:tcPr>
            <w:tcW w:w="2060" w:type="dxa"/>
            <w:vAlign w:val="bottom"/>
          </w:tcPr>
          <w:p>
            <w:pPr>
              <w:jc w:val="center"/>
              <w:ind w:left="10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Management fees income - net</w:t>
            </w:r>
          </w:p>
        </w:tc>
        <w:tc>
          <w:tcPr>
            <w:tcW w:w="2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3,787</w:t>
            </w:r>
          </w:p>
        </w:tc>
      </w:tr>
      <w:tr>
        <w:trPr>
          <w:trHeight w:val="168"/>
        </w:trPr>
        <w:tc>
          <w:tcPr>
            <w:tcW w:w="3640" w:type="dxa"/>
            <w:vAlign w:val="bottom"/>
          </w:tcPr>
          <w:p>
            <w:pPr>
              <w:spacing w:after="0"/>
              <w:rPr>
                <w:sz w:val="14"/>
                <w:szCs w:val="14"/>
                <w:color w:val="auto"/>
              </w:rPr>
            </w:pPr>
          </w:p>
        </w:tc>
        <w:tc>
          <w:tcPr>
            <w:tcW w:w="2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Insurance premiums expense</w:t>
            </w:r>
          </w:p>
        </w:tc>
        <w:tc>
          <w:tcPr>
            <w:tcW w:w="2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184</w:t>
            </w:r>
          </w:p>
        </w:tc>
      </w:tr>
      <w:tr>
        <w:trPr>
          <w:trHeight w:val="168"/>
        </w:trPr>
        <w:tc>
          <w:tcPr>
            <w:tcW w:w="3640" w:type="dxa"/>
            <w:vAlign w:val="bottom"/>
          </w:tcPr>
          <w:p>
            <w:pPr>
              <w:spacing w:after="0"/>
              <w:rPr>
                <w:sz w:val="14"/>
                <w:szCs w:val="14"/>
                <w:color w:val="auto"/>
              </w:rPr>
            </w:pPr>
          </w:p>
        </w:tc>
        <w:tc>
          <w:tcPr>
            <w:tcW w:w="2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Rental charges expense</w:t>
            </w:r>
          </w:p>
        </w:tc>
        <w:tc>
          <w:tcPr>
            <w:tcW w:w="2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198</w:t>
            </w:r>
          </w:p>
        </w:tc>
      </w:tr>
      <w:tr>
        <w:trPr>
          <w:trHeight w:val="168"/>
        </w:trPr>
        <w:tc>
          <w:tcPr>
            <w:tcW w:w="3640" w:type="dxa"/>
            <w:vAlign w:val="bottom"/>
          </w:tcPr>
          <w:p>
            <w:pPr>
              <w:spacing w:after="0"/>
              <w:rPr>
                <w:sz w:val="14"/>
                <w:szCs w:val="14"/>
                <w:color w:val="auto"/>
              </w:rPr>
            </w:pPr>
          </w:p>
        </w:tc>
        <w:tc>
          <w:tcPr>
            <w:tcW w:w="2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Group directly incurs all of the significant costs of doing business</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LAIDLAW SOLID WASTE MANAGEMENT</w:t>
      </w:r>
    </w:p>
    <w:p>
      <w:pPr>
        <w:spacing w:after="0" w:line="237" w:lineRule="auto"/>
        <w:rPr>
          <w:sz w:val="20"/>
          <w:szCs w:val="20"/>
          <w:color w:val="auto"/>
        </w:rPr>
      </w:pPr>
      <w:r>
        <w:rPr>
          <w:rFonts w:ascii="Courier New" w:cs="Courier New" w:eastAsia="Courier New" w:hAnsi="Courier New"/>
          <w:sz w:val="15"/>
          <w:szCs w:val="15"/>
          <w:color w:val="auto"/>
        </w:rPr>
        <w:t>GROUP - CANADIAN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COMBINED FINANCIAL STATEMENTS (CONT'D)</w:t>
      </w:r>
    </w:p>
    <w:p>
      <w:pPr>
        <w:spacing w:after="0" w:line="237" w:lineRule="auto"/>
        <w:rPr>
          <w:sz w:val="20"/>
          <w:szCs w:val="20"/>
          <w:color w:val="auto"/>
        </w:rPr>
      </w:pPr>
      <w:r>
        <w:rPr>
          <w:rFonts w:ascii="Courier New" w:cs="Courier New" w:eastAsia="Courier New" w:hAnsi="Courier New"/>
          <w:sz w:val="15"/>
          <w:szCs w:val="15"/>
          <w:color w:val="auto"/>
        </w:rPr>
        <w:t>(US $000'S)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ind w:left="440" w:hanging="430"/>
        <w:spacing w:after="0"/>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w:t>
      </w:r>
    </w:p>
    <w:p>
      <w:pPr>
        <w:spacing w:after="0" w:line="172" w:lineRule="exact"/>
        <w:rPr>
          <w:rFonts w:ascii="Courier New" w:cs="Courier New" w:eastAsia="Courier New" w:hAnsi="Courier New"/>
          <w:sz w:val="15"/>
          <w:szCs w:val="15"/>
          <w:color w:val="auto"/>
        </w:rPr>
      </w:pPr>
    </w:p>
    <w:p>
      <w:pPr>
        <w:ind w:left="44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summary of the Group's acquisitions of solid waste management companies for the year ended August 31, 1996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505"/>
        </w:trPr>
        <w:tc>
          <w:tcPr>
            <w:tcW w:w="4040" w:type="dxa"/>
            <w:vAlign w:val="bottom"/>
          </w:tcPr>
          <w:p>
            <w:pPr>
              <w:spacing w:after="0"/>
              <w:rPr>
                <w:sz w:val="20"/>
                <w:szCs w:val="20"/>
                <w:color w:val="auto"/>
              </w:rPr>
            </w:pPr>
            <w:r>
              <w:rPr>
                <w:rFonts w:ascii="Courier New" w:cs="Courier New" w:eastAsia="Courier New" w:hAnsi="Courier New"/>
                <w:sz w:val="15"/>
                <w:szCs w:val="15"/>
                <w:color w:val="auto"/>
              </w:rPr>
              <w:t>Assets acquired - at fair value:</w:t>
            </w:r>
          </w:p>
        </w:tc>
        <w:tc>
          <w:tcPr>
            <w:tcW w:w="1120" w:type="dxa"/>
            <w:vAlign w:val="bottom"/>
          </w:tcPr>
          <w:p>
            <w:pPr>
              <w:spacing w:after="0"/>
              <w:rPr>
                <w:sz w:val="24"/>
                <w:szCs w:val="2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assets</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10,661</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34,336</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investments and other assets</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6,606</w:t>
            </w:r>
          </w:p>
        </w:tc>
      </w:tr>
      <w:tr>
        <w:trPr>
          <w:trHeight w:val="168"/>
        </w:trPr>
        <w:tc>
          <w:tcPr>
            <w:tcW w:w="404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51,603</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liabilities assumed</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7,397</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1,840</w:t>
            </w:r>
          </w:p>
        </w:tc>
      </w:tr>
      <w:tr>
        <w:trPr>
          <w:trHeight w:val="168"/>
        </w:trPr>
        <w:tc>
          <w:tcPr>
            <w:tcW w:w="404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Expended in acquisitions</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46,046</w:t>
            </w:r>
          </w:p>
        </w:tc>
      </w:tr>
      <w:tr>
        <w:trPr>
          <w:trHeight w:val="168"/>
        </w:trPr>
        <w:tc>
          <w:tcPr>
            <w:tcW w:w="404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of businesses acquired</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04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Annualized revenue acquired (unaudited)</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38,000</w:t>
            </w:r>
          </w:p>
        </w:tc>
      </w:tr>
      <w:tr>
        <w:trPr>
          <w:trHeight w:val="168"/>
        </w:trPr>
        <w:tc>
          <w:tcPr>
            <w:tcW w:w="404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 FORMA DATA (UNAUDITED)</w:t>
      </w:r>
    </w:p>
    <w:p>
      <w:pPr>
        <w:spacing w:after="0" w:line="173" w:lineRule="exact"/>
        <w:rPr>
          <w:sz w:val="20"/>
          <w:szCs w:val="20"/>
          <w:color w:val="auto"/>
        </w:rPr>
      </w:pPr>
    </w:p>
    <w:p>
      <w:pPr>
        <w:ind w:left="440" w:right="3499"/>
        <w:spacing w:after="0" w:line="235" w:lineRule="auto"/>
        <w:rPr>
          <w:sz w:val="20"/>
          <w:szCs w:val="20"/>
          <w:color w:val="auto"/>
        </w:rPr>
      </w:pPr>
      <w:r>
        <w:rPr>
          <w:rFonts w:ascii="Courier New" w:cs="Courier New" w:eastAsia="Courier New" w:hAnsi="Courier New"/>
          <w:sz w:val="15"/>
          <w:szCs w:val="15"/>
          <w:color w:val="auto"/>
        </w:rPr>
        <w:t>The condensed pro forma statement of operations data, as if acquisitions for the year ended August 31, 1996 had occurred at the beginning of the year, is as follows:</w:t>
      </w:r>
    </w:p>
    <w:p>
      <w:pPr>
        <w:spacing w:after="0" w:line="200" w:lineRule="exact"/>
        <w:rPr>
          <w:sz w:val="20"/>
          <w:szCs w:val="20"/>
          <w:color w:val="auto"/>
        </w:rPr>
      </w:pPr>
    </w:p>
    <w:p>
      <w:pPr>
        <w:spacing w:after="0" w:line="30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220" w:type="dxa"/>
            <w:vAlign w:val="bottom"/>
          </w:tcPr>
          <w:p>
            <w:pPr>
              <w:spacing w:after="0"/>
              <w:rPr>
                <w:sz w:val="24"/>
                <w:szCs w:val="2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275,170</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6,915</w:t>
            </w:r>
          </w:p>
        </w:tc>
      </w:tr>
    </w:tbl>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LAIDLAW SOLID WASTE MANAGEMENT</w:t>
      </w:r>
    </w:p>
    <w:p>
      <w:pPr>
        <w:spacing w:after="0" w:line="237" w:lineRule="auto"/>
        <w:rPr>
          <w:sz w:val="20"/>
          <w:szCs w:val="20"/>
          <w:color w:val="auto"/>
        </w:rPr>
      </w:pPr>
      <w:r>
        <w:rPr>
          <w:rFonts w:ascii="Courier New" w:cs="Courier New" w:eastAsia="Courier New" w:hAnsi="Courier New"/>
          <w:sz w:val="15"/>
          <w:szCs w:val="15"/>
          <w:color w:val="auto"/>
        </w:rPr>
        <w:t>GROUP - CANADIAN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COMBINED FINANCIAL STATEMENTS (CONT'D)</w:t>
      </w:r>
    </w:p>
    <w:p>
      <w:pPr>
        <w:spacing w:after="0" w:line="237" w:lineRule="auto"/>
        <w:rPr>
          <w:sz w:val="20"/>
          <w:szCs w:val="20"/>
          <w:color w:val="auto"/>
        </w:rPr>
      </w:pPr>
      <w:r>
        <w:rPr>
          <w:rFonts w:ascii="Courier New" w:cs="Courier New" w:eastAsia="Courier New" w:hAnsi="Courier New"/>
          <w:sz w:val="15"/>
          <w:szCs w:val="15"/>
          <w:color w:val="auto"/>
        </w:rPr>
        <w:t>(US $000'S)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8.</w:t>
        <w:tab/>
        <w:t>INCOME TAXES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Company's effective income tax rates are as follows: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(Unaudited)</w:t>
      </w:r>
    </w:p>
    <w:p>
      <w:pPr>
        <w:ind w:left="4200"/>
        <w:spacing w:after="0" w:line="237" w:lineRule="auto"/>
        <w:rPr>
          <w:sz w:val="20"/>
          <w:szCs w:val="20"/>
          <w:color w:val="auto"/>
        </w:rPr>
      </w:pPr>
      <w:r>
        <w:rPr>
          <w:rFonts w:ascii="Courier New" w:cs="Courier New" w:eastAsia="Courier New" w:hAnsi="Courier New"/>
          <w:sz w:val="15"/>
          <w:szCs w:val="15"/>
          <w:color w:val="auto"/>
        </w:rPr>
        <w:t>For the</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Three Months</w:t>
      </w:r>
    </w:p>
    <w:p>
      <w:pPr>
        <w:spacing w:after="0" w:line="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Ended</w:t>
      </w:r>
    </w:p>
    <w:p>
      <w:pPr>
        <w:ind w:left="4040"/>
        <w:spacing w:after="0" w:line="237" w:lineRule="auto"/>
        <w:rPr>
          <w:sz w:val="20"/>
          <w:szCs w:val="20"/>
          <w:color w:val="auto"/>
        </w:rPr>
      </w:pPr>
      <w:r>
        <w:rPr>
          <w:rFonts w:ascii="Courier New" w:cs="Courier New" w:eastAsia="Courier New" w:hAnsi="Courier New"/>
          <w:sz w:val="15"/>
          <w:szCs w:val="15"/>
          <w:color w:val="auto"/>
        </w:rPr>
        <w:t>November 30</w:t>
      </w:r>
    </w:p>
    <w:p>
      <w:pPr>
        <w:ind w:left="4380"/>
        <w:spacing w:after="0" w:line="238" w:lineRule="auto"/>
        <w:rPr>
          <w:sz w:val="20"/>
          <w:szCs w:val="20"/>
          <w:color w:val="auto"/>
        </w:rPr>
      </w:pPr>
      <w:r>
        <w:rPr>
          <w:rFonts w:ascii="Courier New" w:cs="Courier New" w:eastAsia="Courier New" w:hAnsi="Courier New"/>
          <w:sz w:val="15"/>
          <w:szCs w:val="15"/>
          <w:color w:val="auto"/>
        </w:rPr>
        <w:t>1996</w:t>
      </w:r>
    </w:p>
    <w:p>
      <w:pPr>
        <w:ind w:left="456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31</w:t>
      </w:r>
    </w:p>
    <w:p>
      <w:pPr>
        <w:ind w:left="260"/>
        <w:spacing w:after="0" w:line="237" w:lineRule="auto"/>
        <w:rPr>
          <w:sz w:val="20"/>
          <w:szCs w:val="20"/>
          <w:color w:val="auto"/>
        </w:rPr>
      </w:pPr>
      <w:r>
        <w:rPr>
          <w:rFonts w:ascii="Courier New" w:cs="Courier New" w:eastAsia="Courier New" w:hAnsi="Courier New"/>
          <w:sz w:val="15"/>
          <w:szCs w:val="15"/>
          <w:color w:val="auto"/>
        </w:rPr>
        <w:t>1996</w:t>
      </w:r>
    </w:p>
    <w:p>
      <w:pPr>
        <w:ind w:left="440"/>
        <w:spacing w:after="0" w:line="238"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080" w:space="180"/>
            <w:col w:w="4979"/>
          </w:cols>
          <w:pgMar w:left="220" w:top="281" w:right="1440" w:bottom="1440" w:gutter="0" w:footer="0" w:header="0"/>
          <w:type w:val="continuous"/>
        </w:sectPr>
      </w:pPr>
    </w:p>
    <w:p>
      <w:pPr>
        <w:spacing w:after="0" w:line="14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Statutory Canadian federal income tax</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provincial income taxes</w:t>
      </w:r>
    </w:p>
    <w:p>
      <w:pPr>
        <w:ind w:left="440"/>
        <w:spacing w:after="0" w:line="237" w:lineRule="auto"/>
        <w:rPr>
          <w:sz w:val="20"/>
          <w:szCs w:val="20"/>
          <w:color w:val="auto"/>
        </w:rPr>
      </w:pPr>
      <w:r>
        <w:rPr>
          <w:rFonts w:ascii="Courier New" w:cs="Courier New" w:eastAsia="Courier New" w:hAnsi="Courier New"/>
          <w:sz w:val="15"/>
          <w:szCs w:val="15"/>
          <w:color w:val="auto"/>
        </w:rPr>
        <w:t>Expenses not deductible</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jc w:val="right"/>
        <w:ind w:right="60"/>
        <w:spacing w:after="0"/>
        <w:rPr>
          <w:sz w:val="20"/>
          <w:szCs w:val="20"/>
          <w:color w:val="auto"/>
        </w:rPr>
      </w:pPr>
      <w:r>
        <w:rPr>
          <w:rFonts w:ascii="Courier New" w:cs="Courier New" w:eastAsia="Courier New" w:hAnsi="Courier New"/>
          <w:sz w:val="14"/>
          <w:szCs w:val="14"/>
          <w:color w:val="auto"/>
        </w:rPr>
        <w:t>29.1</w:t>
      </w:r>
    </w:p>
    <w:p>
      <w:pPr>
        <w:spacing w:after="0" w:line="10" w:lineRule="exact"/>
        <w:rPr>
          <w:sz w:val="20"/>
          <w:szCs w:val="20"/>
          <w:color w:val="auto"/>
        </w:rPr>
      </w:pPr>
    </w:p>
    <w:p>
      <w:pPr>
        <w:jc w:val="right"/>
        <w:ind w:right="60"/>
        <w:spacing w:after="0"/>
        <w:rPr>
          <w:sz w:val="20"/>
          <w:szCs w:val="20"/>
          <w:color w:val="auto"/>
        </w:rPr>
      </w:pPr>
      <w:r>
        <w:rPr>
          <w:rFonts w:ascii="Courier New" w:cs="Courier New" w:eastAsia="Courier New" w:hAnsi="Courier New"/>
          <w:sz w:val="14"/>
          <w:szCs w:val="14"/>
          <w:color w:val="auto"/>
        </w:rPr>
        <w:t>14.4</w:t>
      </w:r>
    </w:p>
    <w:p>
      <w:pPr>
        <w:spacing w:after="0" w:line="3" w:lineRule="exact"/>
        <w:rPr>
          <w:sz w:val="20"/>
          <w:szCs w:val="20"/>
          <w:color w:val="auto"/>
        </w:rPr>
      </w:pPr>
    </w:p>
    <w:p>
      <w:pPr>
        <w:jc w:val="right"/>
        <w:ind w:right="60"/>
        <w:spacing w:after="0"/>
        <w:rPr>
          <w:sz w:val="20"/>
          <w:szCs w:val="20"/>
          <w:color w:val="auto"/>
        </w:rPr>
      </w:pPr>
      <w:r>
        <w:rPr>
          <w:rFonts w:ascii="Courier New" w:cs="Courier New" w:eastAsia="Courier New" w:hAnsi="Courier New"/>
          <w:sz w:val="15"/>
          <w:szCs w:val="15"/>
          <w:color w:val="auto"/>
        </w:rPr>
        <w:t>6.9</w:t>
      </w:r>
    </w:p>
    <w:p>
      <w:pPr>
        <w:spacing w:after="0" w:line="5" w:lineRule="exact"/>
        <w:rPr>
          <w:sz w:val="20"/>
          <w:szCs w:val="20"/>
          <w:color w:val="auto"/>
        </w:rPr>
      </w:pPr>
    </w:p>
    <w:p>
      <w:pPr>
        <w:jc w:val="right"/>
        <w:ind w:right="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jc w:val="right"/>
        <w:ind w:right="60"/>
        <w:spacing w:after="0"/>
        <w:rPr>
          <w:sz w:val="20"/>
          <w:szCs w:val="20"/>
          <w:color w:val="auto"/>
        </w:rPr>
      </w:pPr>
      <w:r>
        <w:rPr>
          <w:rFonts w:ascii="Courier New" w:cs="Courier New" w:eastAsia="Courier New" w:hAnsi="Courier New"/>
          <w:sz w:val="14"/>
          <w:szCs w:val="14"/>
          <w:color w:val="auto"/>
        </w:rPr>
        <w:t>50.4</w:t>
      </w:r>
    </w:p>
    <w:p>
      <w:pPr>
        <w:spacing w:after="0" w:line="10" w:lineRule="exact"/>
        <w:rPr>
          <w:sz w:val="20"/>
          <w:szCs w:val="20"/>
          <w:color w:val="auto"/>
        </w:rPr>
      </w:pPr>
    </w:p>
    <w:p>
      <w:pPr>
        <w:jc w:val="right"/>
        <w:ind w:right="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right"/>
        <w:ind w:right="4279"/>
        <w:spacing w:after="0"/>
        <w:rPr>
          <w:sz w:val="20"/>
          <w:szCs w:val="20"/>
          <w:color w:val="auto"/>
        </w:rPr>
      </w:pPr>
      <w:r>
        <w:rPr>
          <w:rFonts w:ascii="Courier New" w:cs="Courier New" w:eastAsia="Courier New" w:hAnsi="Courier New"/>
          <w:sz w:val="15"/>
          <w:szCs w:val="15"/>
          <w:color w:val="auto"/>
        </w:rPr>
        <w:t>29.1</w:t>
      </w:r>
    </w:p>
    <w:p>
      <w:pPr>
        <w:jc w:val="right"/>
        <w:ind w:right="4279"/>
        <w:spacing w:after="0" w:line="237" w:lineRule="auto"/>
        <w:rPr>
          <w:sz w:val="20"/>
          <w:szCs w:val="20"/>
          <w:color w:val="auto"/>
        </w:rPr>
      </w:pPr>
      <w:r>
        <w:rPr>
          <w:rFonts w:ascii="Courier New" w:cs="Courier New" w:eastAsia="Courier New" w:hAnsi="Courier New"/>
          <w:sz w:val="15"/>
          <w:szCs w:val="15"/>
          <w:color w:val="auto"/>
        </w:rPr>
        <w:t>14.4</w:t>
      </w:r>
    </w:p>
    <w:p>
      <w:pPr>
        <w:jc w:val="right"/>
        <w:ind w:right="4279"/>
        <w:spacing w:after="0" w:line="238" w:lineRule="auto"/>
        <w:rPr>
          <w:sz w:val="20"/>
          <w:szCs w:val="20"/>
          <w:color w:val="auto"/>
        </w:rPr>
      </w:pPr>
      <w:r>
        <w:rPr>
          <w:rFonts w:ascii="Courier New" w:cs="Courier New" w:eastAsia="Courier New" w:hAnsi="Courier New"/>
          <w:sz w:val="15"/>
          <w:szCs w:val="15"/>
          <w:color w:val="auto"/>
        </w:rPr>
        <w:t>7.2</w:t>
      </w:r>
    </w:p>
    <w:p>
      <w:pPr>
        <w:spacing w:after="0" w:line="5" w:lineRule="exact"/>
        <w:rPr>
          <w:sz w:val="20"/>
          <w:szCs w:val="20"/>
          <w:color w:val="auto"/>
        </w:rPr>
      </w:pPr>
    </w:p>
    <w:p>
      <w:pPr>
        <w:jc w:val="right"/>
        <w:ind w:right="427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right"/>
        <w:ind w:right="4279"/>
        <w:spacing w:after="0"/>
        <w:rPr>
          <w:sz w:val="20"/>
          <w:szCs w:val="20"/>
          <w:color w:val="auto"/>
        </w:rPr>
      </w:pPr>
      <w:r>
        <w:rPr>
          <w:rFonts w:ascii="Courier New" w:cs="Courier New" w:eastAsia="Courier New" w:hAnsi="Courier New"/>
          <w:sz w:val="15"/>
          <w:szCs w:val="15"/>
          <w:color w:val="auto"/>
        </w:rPr>
        <w:t>50.7</w:t>
      </w:r>
    </w:p>
    <w:p>
      <w:pPr>
        <w:jc w:val="right"/>
        <w:ind w:right="4279"/>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3760" w:space="720"/>
            <w:col w:w="400" w:space="720"/>
            <w:col w:w="4639"/>
          </w:cols>
          <w:pgMar w:left="220" w:top="281" w:right="1440" w:bottom="1440" w:gutter="0" w:footer="0" w:header="0"/>
          <w:type w:val="continuous"/>
        </w:sectPr>
      </w:pPr>
    </w:p>
    <w:p>
      <w:pPr>
        <w:spacing w:after="0" w:line="142" w:lineRule="exact"/>
        <w:rPr>
          <w:sz w:val="20"/>
          <w:szCs w:val="20"/>
          <w:color w:val="auto"/>
        </w:rPr>
      </w:pPr>
    </w:p>
    <w:p>
      <w:pPr>
        <w:ind w:left="440" w:right="3679"/>
        <w:spacing w:after="0" w:line="234" w:lineRule="auto"/>
        <w:rPr>
          <w:sz w:val="20"/>
          <w:szCs w:val="20"/>
          <w:color w:val="auto"/>
        </w:rPr>
      </w:pPr>
      <w:r>
        <w:rPr>
          <w:rFonts w:ascii="Courier New" w:cs="Courier New" w:eastAsia="Courier New" w:hAnsi="Courier New"/>
          <w:sz w:val="15"/>
          <w:szCs w:val="15"/>
          <w:color w:val="auto"/>
        </w:rPr>
        <w:t>The tax effect of temporary differences which comprise deferred income taxes shown on the balance sheet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32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(Unaudited)</w:t>
            </w:r>
          </w:p>
        </w:tc>
        <w:tc>
          <w:tcPr>
            <w:tcW w:w="920" w:type="dxa"/>
            <w:vAlign w:val="bottom"/>
          </w:tcPr>
          <w:p>
            <w:pPr>
              <w:spacing w:after="0"/>
              <w:rPr>
                <w:sz w:val="14"/>
                <w:szCs w:val="14"/>
                <w:color w:val="auto"/>
              </w:rPr>
            </w:pPr>
          </w:p>
        </w:tc>
      </w:tr>
      <w:tr>
        <w:trPr>
          <w:trHeight w:val="168"/>
        </w:trPr>
        <w:tc>
          <w:tcPr>
            <w:tcW w:w="3460" w:type="dxa"/>
            <w:vAlign w:val="bottom"/>
          </w:tcPr>
          <w:p>
            <w:pPr>
              <w:spacing w:after="0"/>
              <w:rPr>
                <w:sz w:val="14"/>
                <w:szCs w:val="14"/>
                <w:color w:val="auto"/>
              </w:rPr>
            </w:pPr>
          </w:p>
        </w:tc>
        <w:tc>
          <w:tcPr>
            <w:tcW w:w="1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November 30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August 31</w:t>
            </w:r>
          </w:p>
        </w:tc>
      </w:tr>
      <w:tr>
        <w:trPr>
          <w:trHeight w:val="168"/>
        </w:trPr>
        <w:tc>
          <w:tcPr>
            <w:tcW w:w="3460" w:type="dxa"/>
            <w:vAlign w:val="bottom"/>
          </w:tcPr>
          <w:p>
            <w:pPr>
              <w:spacing w:after="0"/>
              <w:rPr>
                <w:sz w:val="14"/>
                <w:szCs w:val="14"/>
                <w:color w:val="auto"/>
              </w:rPr>
            </w:pP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460" w:type="dxa"/>
            <w:vAlign w:val="bottom"/>
          </w:tcPr>
          <w:p>
            <w:pPr>
              <w:spacing w:after="0"/>
              <w:rPr>
                <w:sz w:val="14"/>
                <w:szCs w:val="14"/>
                <w:color w:val="auto"/>
              </w:rPr>
            </w:pPr>
          </w:p>
        </w:tc>
        <w:tc>
          <w:tcPr>
            <w:tcW w:w="1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Accrued remediation and closure costs</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2,659</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2,621</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1,221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1,204</w:t>
            </w:r>
          </w:p>
        </w:tc>
      </w:tr>
      <w:tr>
        <w:trPr>
          <w:trHeight w:val="168"/>
        </w:trPr>
        <w:tc>
          <w:tcPr>
            <w:tcW w:w="346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deferred tax assets</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3,880</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3,825</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of tax over book depreciation</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25,115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24,955</w:t>
            </w:r>
          </w:p>
        </w:tc>
      </w:tr>
      <w:tr>
        <w:trPr>
          <w:trHeight w:val="168"/>
        </w:trPr>
        <w:tc>
          <w:tcPr>
            <w:tcW w:w="346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deferred tax liability</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21,235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21,130</w:t>
            </w:r>
          </w:p>
        </w:tc>
      </w:tr>
      <w:tr>
        <w:trPr>
          <w:trHeight w:val="168"/>
        </w:trPr>
        <w:tc>
          <w:tcPr>
            <w:tcW w:w="346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As per the Laidlaw Agreement and the Agreement, any loss carryforwards, loss carry backs, and income tax credits for tax purposes, included in income taxes recoverable which result in tax benefits to the Group, must ultimately be refunded to Laidlaw Inc. As at November 30, 1996, the entire income tax recoverable balance of $47,536 (August 31, 1996 - $49,236) consisted of such items.</w:t>
      </w:r>
    </w:p>
    <w:p>
      <w:pPr>
        <w:sectPr>
          <w:pgSz w:w="11900" w:h="16838" w:orient="portrait"/>
          <w:cols w:equalWidth="0" w:num="1">
            <w:col w:w="10239"/>
          </w:cols>
          <w:pgMar w:left="220" w:top="281" w:right="1440" w:bottom="1440" w:gutter="0" w:footer="0" w:header="0"/>
          <w:type w:val="continuous"/>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335" w:lineRule="exact"/>
        <w:rPr>
          <w:sz w:val="20"/>
          <w:szCs w:val="20"/>
          <w:color w:val="auto"/>
        </w:rPr>
      </w:pPr>
    </w:p>
    <w:p>
      <w:pPr>
        <w:ind w:left="5600"/>
        <w:spacing w:after="0"/>
        <w:rPr>
          <w:sz w:val="20"/>
          <w:szCs w:val="20"/>
          <w:color w:val="auto"/>
        </w:rPr>
      </w:pPr>
      <w:r>
        <w:rPr>
          <w:rFonts w:ascii="Courier New" w:cs="Courier New" w:eastAsia="Courier New" w:hAnsi="Courier New"/>
          <w:sz w:val="15"/>
          <w:szCs w:val="15"/>
          <w:color w:val="auto"/>
        </w:rPr>
        <w:t>ATTACHMENT B</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USA WASTE SERVICES,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PRO FORMA CONDENSED CONSOLIDATED FINANCIAL STATEMENTS</w:t>
      </w:r>
    </w:p>
    <w:p>
      <w:pPr>
        <w:jc w:val="center"/>
        <w:ind w:right="331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On March 12, 1997, USA Waste Services, Inc. (the "Company") acquired all of Canadian solid waste subsidiaries of Allied Waste Industries, Inc. ("Allied") for US $518,000,000 in a transaction accounted for as a purchase. The acquired businesses ("Allied-Canada") include seven landfills, 41 collection operations, and eight transfer stations. Allied purchased these Canadian solid waste subsidiaries under the terms of a Stock Purchase Agreement dated September 17, 1996 (the "Laidlaw Agreement") between Allied and Laidlaw Inc. ("Laidlaw"), in which Allied purchased all the sold waste management business of Laidlaw. The Pro Forma Condensed Consolidated Financial Statements give effect to the purchase of the Canadian operations of the Laidlaw Solid Waste Management Group ("Laidlaw Solid Waste Management Group - Canadian Operations").</w:t>
      </w:r>
    </w:p>
    <w:p>
      <w:pPr>
        <w:spacing w:after="0" w:line="16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February 7, 1997, the Company issued $535,275,000 of 4% convertible subordinated notes, due on February 1, 2002 ("Notes Offering"). The notes are convertible into shares of the Company's common stock at a conversion price of $43.56 per share. Concurrent with the Notes Offering, the Company completed a public offering of 11,500,000 shares of its common stock, priced at $35.125 per share ("Equity Offering") for net proceeds of approximately $387,438,000. The proceeds from the Notes Offering and Equity Offering were primarily used to repay debt under the Company's Credit Facility and for general corporate purposes.</w:t>
      </w:r>
    </w:p>
    <w:p>
      <w:pPr>
        <w:spacing w:after="0" w:line="178"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accompanying pro forma condensed consolidated balance sheet as of December 31, 1996 has been prepared as if the acquisition, Notes Offering and Equity Offering which occurred after December 31, 1996 were consummated as of that date. The accompanying pro forma condensed consolidated statements of operations for the year ended December 31, 1996 present the pro forma results of operation of the Company as if the acquisition, Notes Offering and Equity Offering had occurred on January 1, 1996. The accompanying pro forma condensed consolidated financial statements should be read in conjunction with the Company's Consolidated Financial Statements and related notes thereto included in the Company's Annual Report on Form 10-K for the year ended December 31, 1996 as amended by Form 10-K/A filed April 30, 1997.</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303"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5"/>
          <w:szCs w:val="15"/>
          <w:color w:val="auto"/>
        </w:rPr>
        <w:t>USA WASTE SERVICES, INC.</w:t>
      </w:r>
    </w:p>
    <w:p>
      <w:pPr>
        <w:jc w:val="center"/>
        <w:ind w:right="3760"/>
        <w:spacing w:after="0" w:line="237" w:lineRule="auto"/>
        <w:rPr>
          <w:sz w:val="20"/>
          <w:szCs w:val="20"/>
          <w:color w:val="auto"/>
        </w:rPr>
      </w:pPr>
      <w:r>
        <w:rPr>
          <w:rFonts w:ascii="Courier New" w:cs="Courier New" w:eastAsia="Courier New" w:hAnsi="Courier New"/>
          <w:sz w:val="15"/>
          <w:szCs w:val="15"/>
          <w:color w:val="auto"/>
        </w:rPr>
        <w:t>PRO FORMA CONDENSED CONSOLIDATED BALANCE SHEET</w:t>
      </w:r>
    </w:p>
    <w:p>
      <w:pPr>
        <w:jc w:val="center"/>
        <w:ind w:right="3760"/>
        <w:spacing w:after="0" w:line="238" w:lineRule="auto"/>
        <w:rPr>
          <w:sz w:val="20"/>
          <w:szCs w:val="20"/>
          <w:color w:val="auto"/>
        </w:rPr>
      </w:pPr>
      <w:r>
        <w:rPr>
          <w:rFonts w:ascii="Courier New" w:cs="Courier New" w:eastAsia="Courier New" w:hAnsi="Courier New"/>
          <w:sz w:val="15"/>
          <w:szCs w:val="15"/>
          <w:color w:val="auto"/>
        </w:rPr>
        <w:t>(In Thousands, Except Share and Par Value Amounts)</w:t>
      </w:r>
    </w:p>
    <w:p>
      <w:pPr>
        <w:jc w:val="center"/>
        <w:ind w:right="3840"/>
        <w:spacing w:after="0" w:line="237" w:lineRule="auto"/>
        <w:rPr>
          <w:sz w:val="20"/>
          <w:szCs w:val="20"/>
          <w:color w:val="auto"/>
        </w:rPr>
      </w:pPr>
      <w:r>
        <w:rPr>
          <w:rFonts w:ascii="Courier New" w:cs="Courier New" w:eastAsia="Courier New" w:hAnsi="Courier New"/>
          <w:sz w:val="15"/>
          <w:szCs w:val="15"/>
          <w:color w:val="auto"/>
        </w:rPr>
        <w:t>(Unaudited)</w:t>
      </w:r>
    </w:p>
    <w:p>
      <w:pPr>
        <w:ind w:left="2640"/>
        <w:spacing w:after="0" w:line="238" w:lineRule="auto"/>
        <w:rPr>
          <w:sz w:val="20"/>
          <w:szCs w:val="20"/>
          <w:color w:val="auto"/>
        </w:rPr>
      </w:pPr>
      <w:r>
        <w:rPr>
          <w:rFonts w:ascii="Courier New" w:cs="Courier New" w:eastAsia="Courier New" w:hAnsi="Courier New"/>
          <w:sz w:val="15"/>
          <w:szCs w:val="15"/>
          <w:color w:val="auto"/>
        </w:rPr>
        <w:t>December 31,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Pro Forma</w:t>
            </w:r>
          </w:p>
        </w:tc>
        <w:tc>
          <w:tcPr>
            <w:tcW w:w="320" w:type="dxa"/>
            <w:vAlign w:val="bottom"/>
          </w:tcPr>
          <w:p>
            <w:pPr>
              <w:spacing w:after="0"/>
              <w:rPr>
                <w:sz w:val="14"/>
                <w:szCs w:val="14"/>
                <w:color w:val="auto"/>
              </w:rPr>
            </w:pPr>
          </w:p>
        </w:tc>
      </w:tr>
      <w:tr>
        <w:trPr>
          <w:trHeight w:val="168"/>
        </w:trPr>
        <w:tc>
          <w:tcPr>
            <w:tcW w:w="5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Allied-Canada</w:t>
            </w:r>
          </w:p>
        </w:tc>
        <w:tc>
          <w:tcPr>
            <w:tcW w:w="260" w:type="dxa"/>
            <w:vAlign w:val="bottom"/>
          </w:tcPr>
          <w:p>
            <w:pPr>
              <w:spacing w:after="0"/>
              <w:rPr>
                <w:sz w:val="14"/>
                <w:szCs w:val="14"/>
                <w:color w:val="auto"/>
              </w:rPr>
            </w:pP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Adjustments</w:t>
            </w:r>
          </w:p>
        </w:tc>
        <w:tc>
          <w:tcPr>
            <w:tcW w:w="320" w:type="dxa"/>
            <w:vAlign w:val="bottom"/>
          </w:tcPr>
          <w:p>
            <w:pPr>
              <w:spacing w:after="0"/>
              <w:rPr>
                <w:sz w:val="14"/>
                <w:szCs w:val="14"/>
                <w:color w:val="auto"/>
              </w:rPr>
            </w:pP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4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USA Waste</w:t>
            </w:r>
          </w:p>
        </w:tc>
        <w:tc>
          <w:tcPr>
            <w:tcW w:w="140" w:type="dxa"/>
            <w:vAlign w:val="bottom"/>
          </w:tcPr>
          <w:p>
            <w:pPr>
              <w:spacing w:after="0"/>
              <w:rPr>
                <w:sz w:val="14"/>
                <w:szCs w:val="14"/>
                <w:color w:val="auto"/>
              </w:rPr>
            </w:pP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(Note 2)</w:t>
            </w:r>
          </w:p>
        </w:tc>
        <w:tc>
          <w:tcPr>
            <w:tcW w:w="260" w:type="dxa"/>
            <w:vAlign w:val="bottom"/>
          </w:tcPr>
          <w:p>
            <w:pPr>
              <w:spacing w:after="0"/>
              <w:rPr>
                <w:sz w:val="14"/>
                <w:szCs w:val="14"/>
                <w:color w:val="auto"/>
              </w:rPr>
            </w:pP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(Note 2)</w:t>
            </w:r>
          </w:p>
        </w:tc>
        <w:tc>
          <w:tcPr>
            <w:tcW w:w="320" w:type="dxa"/>
            <w:vAlign w:val="bottom"/>
          </w:tcPr>
          <w:p>
            <w:pPr>
              <w:spacing w:after="0"/>
              <w:rPr>
                <w:sz w:val="14"/>
                <w:szCs w:val="14"/>
                <w:color w:val="auto"/>
              </w:rPr>
            </w:pPr>
          </w:p>
        </w:tc>
      </w:tr>
      <w:tr>
        <w:trPr>
          <w:trHeight w:val="168"/>
        </w:trPr>
        <w:tc>
          <w:tcPr>
            <w:tcW w:w="5180" w:type="dxa"/>
            <w:vAlign w:val="bottom"/>
          </w:tcPr>
          <w:p>
            <w:pPr>
              <w:spacing w:after="0"/>
              <w:rPr>
                <w:sz w:val="14"/>
                <w:szCs w:val="14"/>
                <w:color w:val="auto"/>
              </w:rPr>
            </w:pPr>
          </w:p>
        </w:tc>
        <w:tc>
          <w:tcPr>
            <w:tcW w:w="1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r>
      <w:tr>
        <w:trPr>
          <w:trHeight w:val="336"/>
        </w:trPr>
        <w:tc>
          <w:tcPr>
            <w:tcW w:w="51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cash equivalent</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23,511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42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210,038</w:t>
            </w:r>
          </w:p>
        </w:tc>
        <w:tc>
          <w:tcPr>
            <w:tcW w:w="14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36,673</w:t>
            </w:r>
          </w:p>
        </w:tc>
        <w:tc>
          <w:tcPr>
            <w:tcW w:w="260" w:type="dxa"/>
            <w:vAlign w:val="bottom"/>
          </w:tcPr>
          <w:p>
            <w:pPr>
              <w:spacing w:after="0"/>
              <w:rPr>
                <w:sz w:val="14"/>
                <w:szCs w:val="14"/>
                <w:color w:val="auto"/>
              </w:rPr>
            </w:pP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(1,600) (a)</w:t>
            </w: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Notes and other receivables</w:t>
            </w:r>
          </w:p>
        </w:tc>
        <w:tc>
          <w:tcPr>
            <w:tcW w:w="42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25,579</w:t>
            </w:r>
          </w:p>
        </w:tc>
        <w:tc>
          <w:tcPr>
            <w:tcW w:w="14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7,900</w:t>
            </w:r>
          </w:p>
        </w:tc>
        <w:tc>
          <w:tcPr>
            <w:tcW w:w="260" w:type="dxa"/>
            <w:vAlign w:val="bottom"/>
          </w:tcPr>
          <w:p>
            <w:pPr>
              <w:spacing w:after="0"/>
              <w:rPr>
                <w:sz w:val="14"/>
                <w:szCs w:val="14"/>
                <w:color w:val="auto"/>
              </w:rPr>
            </w:pP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(400) (a)</w:t>
            </w: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42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39,714</w:t>
            </w:r>
          </w:p>
        </w:tc>
        <w:tc>
          <w:tcPr>
            <w:tcW w:w="14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47,536</w:t>
            </w:r>
          </w:p>
        </w:tc>
        <w:tc>
          <w:tcPr>
            <w:tcW w:w="260" w:type="dxa"/>
            <w:vAlign w:val="bottom"/>
          </w:tcPr>
          <w:p>
            <w:pPr>
              <w:spacing w:after="0"/>
              <w:rPr>
                <w:sz w:val="14"/>
                <w:szCs w:val="14"/>
                <w:color w:val="auto"/>
              </w:rPr>
            </w:pP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(47,536) (a)</w:t>
            </w: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42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41,139</w:t>
            </w:r>
          </w:p>
        </w:tc>
        <w:tc>
          <w:tcPr>
            <w:tcW w:w="14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7,837</w:t>
            </w:r>
          </w:p>
        </w:tc>
        <w:tc>
          <w:tcPr>
            <w:tcW w:w="26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w:t>
            </w:r>
          </w:p>
        </w:tc>
        <w:tc>
          <w:tcPr>
            <w:tcW w:w="320" w:type="dxa"/>
            <w:vAlign w:val="bottom"/>
          </w:tcPr>
          <w:p>
            <w:pPr>
              <w:spacing w:after="0"/>
              <w:rPr>
                <w:sz w:val="14"/>
                <w:szCs w:val="14"/>
                <w:color w:val="auto"/>
              </w:rPr>
            </w:pPr>
          </w:p>
        </w:tc>
      </w:tr>
      <w:tr>
        <w:trPr>
          <w:trHeight w:val="168"/>
        </w:trPr>
        <w:tc>
          <w:tcPr>
            <w:tcW w:w="5180" w:type="dxa"/>
            <w:vAlign w:val="bottom"/>
          </w:tcPr>
          <w:p>
            <w:pPr>
              <w:spacing w:after="0"/>
              <w:rPr>
                <w:sz w:val="14"/>
                <w:szCs w:val="14"/>
                <w:color w:val="auto"/>
              </w:rPr>
            </w:pPr>
          </w:p>
        </w:tc>
        <w:tc>
          <w:tcPr>
            <w:tcW w:w="1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r>
      <w:tr>
        <w:trPr>
          <w:trHeight w:val="168"/>
        </w:trPr>
        <w:tc>
          <w:tcPr>
            <w:tcW w:w="51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42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339,981</w:t>
            </w:r>
          </w:p>
        </w:tc>
        <w:tc>
          <w:tcPr>
            <w:tcW w:w="14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99,946</w:t>
            </w:r>
          </w:p>
        </w:tc>
        <w:tc>
          <w:tcPr>
            <w:tcW w:w="26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(49,736)</w:t>
            </w:r>
          </w:p>
        </w:tc>
        <w:tc>
          <w:tcPr>
            <w:tcW w:w="320" w:type="dxa"/>
            <w:vAlign w:val="bottom"/>
          </w:tcPr>
          <w:p>
            <w:pPr>
              <w:spacing w:after="0"/>
              <w:rPr>
                <w:sz w:val="14"/>
                <w:szCs w:val="14"/>
                <w:color w:val="auto"/>
              </w:rPr>
            </w:pP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and other receivables</w:t>
            </w:r>
          </w:p>
        </w:tc>
        <w:tc>
          <w:tcPr>
            <w:tcW w:w="42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49,059</w:t>
            </w:r>
          </w:p>
        </w:tc>
        <w:tc>
          <w:tcPr>
            <w:tcW w:w="14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42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1,810,251</w:t>
            </w:r>
          </w:p>
        </w:tc>
        <w:tc>
          <w:tcPr>
            <w:tcW w:w="14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172,007</w:t>
            </w:r>
          </w:p>
        </w:tc>
        <w:tc>
          <w:tcPr>
            <w:tcW w:w="260" w:type="dxa"/>
            <w:vAlign w:val="bottom"/>
          </w:tcPr>
          <w:p>
            <w:pPr>
              <w:spacing w:after="0"/>
              <w:rPr>
                <w:sz w:val="14"/>
                <w:szCs w:val="14"/>
                <w:color w:val="auto"/>
              </w:rPr>
            </w:pP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105,250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of cost over net assets of acquired</w:t>
            </w: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businesses, net</w:t>
            </w:r>
          </w:p>
        </w:tc>
        <w:tc>
          <w:tcPr>
            <w:tcW w:w="42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433,913</w:t>
            </w:r>
          </w:p>
        </w:tc>
        <w:tc>
          <w:tcPr>
            <w:tcW w:w="14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116,566</w:t>
            </w:r>
          </w:p>
        </w:tc>
        <w:tc>
          <w:tcPr>
            <w:tcW w:w="260" w:type="dxa"/>
            <w:vAlign w:val="bottom"/>
          </w:tcPr>
          <w:p>
            <w:pPr>
              <w:spacing w:after="0"/>
              <w:rPr>
                <w:sz w:val="14"/>
                <w:szCs w:val="14"/>
                <w:color w:val="auto"/>
              </w:rPr>
            </w:pP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203,434</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intangibles, net</w:t>
            </w:r>
          </w:p>
        </w:tc>
        <w:tc>
          <w:tcPr>
            <w:tcW w:w="42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83,486</w:t>
            </w:r>
          </w:p>
        </w:tc>
        <w:tc>
          <w:tcPr>
            <w:tcW w:w="14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5,000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42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113,815</w:t>
            </w:r>
          </w:p>
        </w:tc>
        <w:tc>
          <w:tcPr>
            <w:tcW w:w="14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12,787</w:t>
            </w:r>
          </w:p>
        </w:tc>
        <w:tc>
          <w:tcPr>
            <w:tcW w:w="260" w:type="dxa"/>
            <w:vAlign w:val="bottom"/>
          </w:tcPr>
          <w:p>
            <w:pPr>
              <w:spacing w:after="0"/>
              <w:rPr>
                <w:sz w:val="14"/>
                <w:szCs w:val="14"/>
                <w:color w:val="auto"/>
              </w:rPr>
            </w:pP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(11,399) (a)</w:t>
            </w:r>
          </w:p>
        </w:tc>
      </w:tr>
      <w:tr>
        <w:trPr>
          <w:trHeight w:val="168"/>
        </w:trPr>
        <w:tc>
          <w:tcPr>
            <w:tcW w:w="51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assets</w:t>
            </w:r>
          </w:p>
        </w:tc>
        <w:tc>
          <w:tcPr>
            <w:tcW w:w="1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r>
      <w:tr>
        <w:trPr>
          <w:trHeight w:val="168"/>
        </w:trPr>
        <w:tc>
          <w:tcPr>
            <w:tcW w:w="518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2,830,505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401,306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252,549</w:t>
            </w:r>
          </w:p>
        </w:tc>
        <w:tc>
          <w:tcPr>
            <w:tcW w:w="320" w:type="dxa"/>
            <w:vAlign w:val="bottom"/>
          </w:tcPr>
          <w:p>
            <w:pPr>
              <w:spacing w:after="0"/>
              <w:rPr>
                <w:sz w:val="14"/>
                <w:szCs w:val="14"/>
                <w:color w:val="auto"/>
              </w:rPr>
            </w:pPr>
          </w:p>
        </w:tc>
      </w:tr>
      <w:tr>
        <w:trPr>
          <w:trHeight w:val="168"/>
        </w:trPr>
        <w:tc>
          <w:tcPr>
            <w:tcW w:w="5180" w:type="dxa"/>
            <w:vAlign w:val="bottom"/>
          </w:tcPr>
          <w:p>
            <w:pPr>
              <w:spacing w:after="0"/>
              <w:rPr>
                <w:sz w:val="14"/>
                <w:szCs w:val="14"/>
                <w:color w:val="auto"/>
              </w:rPr>
            </w:pPr>
          </w:p>
        </w:tc>
        <w:tc>
          <w:tcPr>
            <w:tcW w:w="1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r>
      <w:tr>
        <w:trPr>
          <w:trHeight w:val="336"/>
        </w:trPr>
        <w:tc>
          <w:tcPr>
            <w:tcW w:w="518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94,900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28,425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42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172,916</w:t>
            </w:r>
          </w:p>
        </w:tc>
        <w:tc>
          <w:tcPr>
            <w:tcW w:w="14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9,727</w:t>
            </w:r>
          </w:p>
        </w:tc>
        <w:tc>
          <w:tcPr>
            <w:tcW w:w="260" w:type="dxa"/>
            <w:vAlign w:val="bottom"/>
          </w:tcPr>
          <w:p>
            <w:pPr>
              <w:spacing w:after="0"/>
              <w:rPr>
                <w:sz w:val="14"/>
                <w:szCs w:val="14"/>
                <w:color w:val="auto"/>
              </w:rPr>
            </w:pP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12,058</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w:t>
            </w: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revenues</w:t>
            </w:r>
          </w:p>
        </w:tc>
        <w:tc>
          <w:tcPr>
            <w:tcW w:w="42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23,450</w:t>
            </w:r>
          </w:p>
        </w:tc>
        <w:tc>
          <w:tcPr>
            <w:tcW w:w="14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Current maturities of long-term debt</w:t>
            </w:r>
          </w:p>
        </w:tc>
        <w:tc>
          <w:tcPr>
            <w:tcW w:w="42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28,695</w:t>
            </w:r>
          </w:p>
        </w:tc>
        <w:tc>
          <w:tcPr>
            <w:tcW w:w="14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w:t>
            </w:r>
          </w:p>
        </w:tc>
        <w:tc>
          <w:tcPr>
            <w:tcW w:w="260" w:type="dxa"/>
            <w:vAlign w:val="bottom"/>
          </w:tcPr>
          <w:p>
            <w:pPr>
              <w:spacing w:after="0"/>
              <w:rPr>
                <w:sz w:val="14"/>
                <w:szCs w:val="14"/>
                <w:color w:val="auto"/>
              </w:rPr>
            </w:pP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(77) (a)</w:t>
            </w:r>
          </w:p>
        </w:tc>
      </w:tr>
      <w:tr>
        <w:trPr>
          <w:trHeight w:val="168"/>
        </w:trPr>
        <w:tc>
          <w:tcPr>
            <w:tcW w:w="5180" w:type="dxa"/>
            <w:vAlign w:val="bottom"/>
          </w:tcPr>
          <w:p>
            <w:pPr>
              <w:spacing w:after="0"/>
              <w:rPr>
                <w:sz w:val="14"/>
                <w:szCs w:val="14"/>
                <w:color w:val="auto"/>
              </w:rPr>
            </w:pPr>
          </w:p>
        </w:tc>
        <w:tc>
          <w:tcPr>
            <w:tcW w:w="1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r>
      <w:tr>
        <w:trPr>
          <w:trHeight w:val="168"/>
        </w:trPr>
        <w:tc>
          <w:tcPr>
            <w:tcW w:w="51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42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319,961</w:t>
            </w:r>
          </w:p>
        </w:tc>
        <w:tc>
          <w:tcPr>
            <w:tcW w:w="14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38,229</w:t>
            </w:r>
          </w:p>
        </w:tc>
        <w:tc>
          <w:tcPr>
            <w:tcW w:w="260" w:type="dxa"/>
            <w:vAlign w:val="bottom"/>
          </w:tcPr>
          <w:p>
            <w:pPr>
              <w:spacing w:after="0"/>
              <w:rPr>
                <w:sz w:val="14"/>
                <w:szCs w:val="14"/>
                <w:color w:val="auto"/>
              </w:rPr>
            </w:pP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11,981</w:t>
            </w:r>
          </w:p>
        </w:tc>
        <w:tc>
          <w:tcPr>
            <w:tcW w:w="320" w:type="dxa"/>
            <w:vAlign w:val="bottom"/>
          </w:tcPr>
          <w:p>
            <w:pPr>
              <w:spacing w:after="0"/>
              <w:rPr>
                <w:sz w:val="14"/>
                <w:szCs w:val="14"/>
                <w:color w:val="auto"/>
              </w:rPr>
            </w:pP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42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1,158,305</w:t>
            </w:r>
          </w:p>
        </w:tc>
        <w:tc>
          <w:tcPr>
            <w:tcW w:w="14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142</w:t>
            </w:r>
          </w:p>
        </w:tc>
        <w:tc>
          <w:tcPr>
            <w:tcW w:w="260" w:type="dxa"/>
            <w:vAlign w:val="bottom"/>
          </w:tcPr>
          <w:p>
            <w:pPr>
              <w:spacing w:after="0"/>
              <w:rPr>
                <w:sz w:val="14"/>
                <w:szCs w:val="14"/>
                <w:color w:val="auto"/>
              </w:rPr>
            </w:pP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(142) (a)</w:t>
            </w:r>
          </w:p>
        </w:tc>
      </w:tr>
      <w:tr>
        <w:trPr>
          <w:trHeight w:val="168"/>
        </w:trPr>
        <w:tc>
          <w:tcPr>
            <w:tcW w:w="5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518,000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w:t>
            </w:r>
          </w:p>
        </w:tc>
      </w:tr>
      <w:tr>
        <w:trPr>
          <w:trHeight w:val="336"/>
        </w:trPr>
        <w:tc>
          <w:tcPr>
            <w:tcW w:w="518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420" w:type="dxa"/>
            <w:vAlign w:val="bottom"/>
          </w:tcPr>
          <w:p>
            <w:pPr>
              <w:spacing w:after="0"/>
              <w:rPr>
                <w:sz w:val="24"/>
                <w:szCs w:val="2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8,786</w:t>
            </w:r>
          </w:p>
        </w:tc>
        <w:tc>
          <w:tcPr>
            <w:tcW w:w="140" w:type="dxa"/>
            <w:vAlign w:val="bottom"/>
          </w:tcPr>
          <w:p>
            <w:pPr>
              <w:spacing w:after="0"/>
              <w:rPr>
                <w:sz w:val="24"/>
                <w:szCs w:val="24"/>
                <w:color w:val="auto"/>
              </w:rPr>
            </w:pPr>
          </w:p>
        </w:tc>
        <w:tc>
          <w:tcPr>
            <w:tcW w:w="1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21,235</w:t>
            </w:r>
          </w:p>
        </w:tc>
        <w:tc>
          <w:tcPr>
            <w:tcW w:w="260" w:type="dxa"/>
            <w:vAlign w:val="bottom"/>
          </w:tcPr>
          <w:p>
            <w:pPr>
              <w:spacing w:after="0"/>
              <w:rPr>
                <w:sz w:val="24"/>
                <w:szCs w:val="24"/>
                <w:color w:val="auto"/>
              </w:rPr>
            </w:pPr>
          </w:p>
        </w:tc>
        <w:tc>
          <w:tcPr>
            <w:tcW w:w="1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43,765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(a)</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Closure, post-closure and other liabilities</w:t>
            </w:r>
          </w:p>
        </w:tc>
        <w:tc>
          <w:tcPr>
            <w:tcW w:w="42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188,177</w:t>
            </w:r>
          </w:p>
        </w:tc>
        <w:tc>
          <w:tcPr>
            <w:tcW w:w="14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8,497</w:t>
            </w:r>
          </w:p>
        </w:tc>
        <w:tc>
          <w:tcPr>
            <w:tcW w:w="260" w:type="dxa"/>
            <w:vAlign w:val="bottom"/>
          </w:tcPr>
          <w:p>
            <w:pPr>
              <w:spacing w:after="0"/>
              <w:rPr>
                <w:sz w:val="14"/>
                <w:szCs w:val="14"/>
                <w:color w:val="auto"/>
              </w:rPr>
            </w:pP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12,148</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w:t>
            </w:r>
          </w:p>
        </w:tc>
      </w:tr>
      <w:tr>
        <w:trPr>
          <w:trHeight w:val="168"/>
        </w:trPr>
        <w:tc>
          <w:tcPr>
            <w:tcW w:w="5180" w:type="dxa"/>
            <w:vAlign w:val="bottom"/>
          </w:tcPr>
          <w:p>
            <w:pPr>
              <w:spacing w:after="0"/>
              <w:rPr>
                <w:sz w:val="14"/>
                <w:szCs w:val="14"/>
                <w:color w:val="auto"/>
              </w:rPr>
            </w:pPr>
          </w:p>
        </w:tc>
        <w:tc>
          <w:tcPr>
            <w:tcW w:w="1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r>
      <w:tr>
        <w:trPr>
          <w:trHeight w:val="168"/>
        </w:trPr>
        <w:tc>
          <w:tcPr>
            <w:tcW w:w="5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1,675,229</w:t>
            </w:r>
          </w:p>
        </w:tc>
        <w:tc>
          <w:tcPr>
            <w:tcW w:w="14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68,103</w:t>
            </w:r>
          </w:p>
        </w:tc>
        <w:tc>
          <w:tcPr>
            <w:tcW w:w="260" w:type="dxa"/>
            <w:vAlign w:val="bottom"/>
          </w:tcPr>
          <w:p>
            <w:pPr>
              <w:spacing w:after="0"/>
              <w:rPr>
                <w:sz w:val="14"/>
                <w:szCs w:val="14"/>
                <w:color w:val="auto"/>
              </w:rPr>
            </w:pP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585,752</w:t>
            </w:r>
          </w:p>
        </w:tc>
        <w:tc>
          <w:tcPr>
            <w:tcW w:w="320" w:type="dxa"/>
            <w:vAlign w:val="bottom"/>
          </w:tcPr>
          <w:p>
            <w:pPr>
              <w:spacing w:after="0"/>
              <w:rPr>
                <w:sz w:val="14"/>
                <w:szCs w:val="14"/>
                <w:color w:val="auto"/>
              </w:rPr>
            </w:pPr>
          </w:p>
        </w:tc>
      </w:tr>
      <w:tr>
        <w:trPr>
          <w:trHeight w:val="168"/>
        </w:trPr>
        <w:tc>
          <w:tcPr>
            <w:tcW w:w="5180" w:type="dxa"/>
            <w:vAlign w:val="bottom"/>
          </w:tcPr>
          <w:p>
            <w:pPr>
              <w:spacing w:after="0"/>
              <w:rPr>
                <w:sz w:val="14"/>
                <w:szCs w:val="14"/>
                <w:color w:val="auto"/>
              </w:rPr>
            </w:pPr>
          </w:p>
        </w:tc>
        <w:tc>
          <w:tcPr>
            <w:tcW w:w="1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r>
      <w:tr>
        <w:trPr>
          <w:trHeight w:val="336"/>
        </w:trPr>
        <w:tc>
          <w:tcPr>
            <w:tcW w:w="51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420" w:type="dxa"/>
            <w:vAlign w:val="bottom"/>
          </w:tcPr>
          <w:p>
            <w:pPr>
              <w:spacing w:after="0"/>
              <w:rPr>
                <w:sz w:val="24"/>
                <w:szCs w:val="24"/>
                <w:color w:val="auto"/>
              </w:rPr>
            </w:pP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r>
      <w:tr>
        <w:trPr>
          <w:trHeight w:val="336"/>
        </w:trPr>
        <w:tc>
          <w:tcPr>
            <w:tcW w:w="51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Preferred stock, $1.00 par value; 10,000,000 shares</w:t>
            </w: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authorized: none issued</w:t>
            </w:r>
          </w:p>
        </w:tc>
        <w:tc>
          <w:tcPr>
            <w:tcW w:w="42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$.01 par value; 300,000,000 shares</w:t>
            </w: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authorized; 139,609,250 historical shares issued and</w:t>
            </w: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outstanding (151,109,250) pro forma shares issued and</w:t>
            </w: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outstanding</w:t>
            </w:r>
          </w:p>
        </w:tc>
        <w:tc>
          <w:tcPr>
            <w:tcW w:w="42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1,396</w:t>
            </w:r>
          </w:p>
        </w:tc>
        <w:tc>
          <w:tcPr>
            <w:tcW w:w="14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42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1,255,856</w:t>
            </w:r>
          </w:p>
        </w:tc>
        <w:tc>
          <w:tcPr>
            <w:tcW w:w="14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333,203</w:t>
            </w:r>
          </w:p>
        </w:tc>
        <w:tc>
          <w:tcPr>
            <w:tcW w:w="260" w:type="dxa"/>
            <w:vAlign w:val="bottom"/>
          </w:tcPr>
          <w:p>
            <w:pPr>
              <w:spacing w:after="0"/>
              <w:rPr>
                <w:sz w:val="14"/>
                <w:szCs w:val="14"/>
                <w:color w:val="auto"/>
              </w:rPr>
            </w:pP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(333,203) (c)</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 (accumulated deficit)</w:t>
            </w:r>
          </w:p>
        </w:tc>
        <w:tc>
          <w:tcPr>
            <w:tcW w:w="42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(85,649)</w:t>
            </w:r>
          </w:p>
        </w:tc>
        <w:tc>
          <w:tcPr>
            <w:tcW w:w="14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currency translation adjustment</w:t>
            </w:r>
          </w:p>
        </w:tc>
        <w:tc>
          <w:tcPr>
            <w:tcW w:w="42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(15,843)</w:t>
            </w:r>
          </w:p>
        </w:tc>
        <w:tc>
          <w:tcPr>
            <w:tcW w:w="14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treasury stock at cost</w:t>
            </w:r>
          </w:p>
        </w:tc>
        <w:tc>
          <w:tcPr>
            <w:tcW w:w="42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(484)</w:t>
            </w:r>
          </w:p>
        </w:tc>
        <w:tc>
          <w:tcPr>
            <w:tcW w:w="14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r>
      <w:tr>
        <w:trPr>
          <w:trHeight w:val="168"/>
        </w:trPr>
        <w:tc>
          <w:tcPr>
            <w:tcW w:w="5180" w:type="dxa"/>
            <w:vAlign w:val="bottom"/>
          </w:tcPr>
          <w:p>
            <w:pPr>
              <w:spacing w:after="0"/>
              <w:rPr>
                <w:sz w:val="14"/>
                <w:szCs w:val="14"/>
                <w:color w:val="auto"/>
              </w:rPr>
            </w:pPr>
          </w:p>
        </w:tc>
        <w:tc>
          <w:tcPr>
            <w:tcW w:w="1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r>
      <w:tr>
        <w:trPr>
          <w:trHeight w:val="168"/>
        </w:trPr>
        <w:tc>
          <w:tcPr>
            <w:tcW w:w="51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42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1,155,276</w:t>
            </w:r>
          </w:p>
        </w:tc>
        <w:tc>
          <w:tcPr>
            <w:tcW w:w="14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333,203</w:t>
            </w:r>
          </w:p>
        </w:tc>
        <w:tc>
          <w:tcPr>
            <w:tcW w:w="26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(333,203)</w:t>
            </w:r>
          </w:p>
        </w:tc>
        <w:tc>
          <w:tcPr>
            <w:tcW w:w="320" w:type="dxa"/>
            <w:vAlign w:val="bottom"/>
          </w:tcPr>
          <w:p>
            <w:pPr>
              <w:spacing w:after="0"/>
              <w:rPr>
                <w:sz w:val="14"/>
                <w:szCs w:val="14"/>
                <w:color w:val="auto"/>
              </w:rPr>
            </w:pPr>
          </w:p>
        </w:tc>
      </w:tr>
      <w:tr>
        <w:trPr>
          <w:trHeight w:val="168"/>
        </w:trPr>
        <w:tc>
          <w:tcPr>
            <w:tcW w:w="5180" w:type="dxa"/>
            <w:vAlign w:val="bottom"/>
          </w:tcPr>
          <w:p>
            <w:pPr>
              <w:spacing w:after="0"/>
              <w:rPr>
                <w:sz w:val="14"/>
                <w:szCs w:val="14"/>
                <w:color w:val="auto"/>
              </w:rPr>
            </w:pPr>
          </w:p>
        </w:tc>
        <w:tc>
          <w:tcPr>
            <w:tcW w:w="1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r>
      <w:tr>
        <w:trPr>
          <w:trHeight w:val="168"/>
        </w:trPr>
        <w:tc>
          <w:tcPr>
            <w:tcW w:w="51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2,830,505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401,306</w:t>
            </w:r>
          </w:p>
        </w:tc>
        <w:tc>
          <w:tcPr>
            <w:tcW w:w="260" w:type="dxa"/>
            <w:vAlign w:val="bottom"/>
          </w:tcPr>
          <w:p>
            <w:pPr>
              <w:spacing w:after="0"/>
              <w:rPr>
                <w:sz w:val="14"/>
                <w:szCs w:val="14"/>
                <w:color w:val="auto"/>
              </w:rPr>
            </w:pP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252,549</w:t>
            </w:r>
          </w:p>
        </w:tc>
        <w:tc>
          <w:tcPr>
            <w:tcW w:w="320" w:type="dxa"/>
            <w:vAlign w:val="bottom"/>
          </w:tcPr>
          <w:p>
            <w:pPr>
              <w:spacing w:after="0"/>
              <w:rPr>
                <w:sz w:val="14"/>
                <w:szCs w:val="14"/>
                <w:color w:val="auto"/>
              </w:rPr>
            </w:pPr>
          </w:p>
        </w:tc>
      </w:tr>
      <w:tr>
        <w:trPr>
          <w:trHeight w:val="168"/>
        </w:trPr>
        <w:tc>
          <w:tcPr>
            <w:tcW w:w="5180" w:type="dxa"/>
            <w:vAlign w:val="bottom"/>
          </w:tcPr>
          <w:p>
            <w:pPr>
              <w:spacing w:after="0"/>
              <w:rPr>
                <w:sz w:val="14"/>
                <w:szCs w:val="14"/>
                <w:color w:val="auto"/>
              </w:rPr>
            </w:pPr>
          </w:p>
        </w:tc>
        <w:tc>
          <w:tcPr>
            <w:tcW w:w="1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220" w:type="dxa"/>
            <w:vAlign w:val="bottom"/>
          </w:tcPr>
          <w:p>
            <w:pPr>
              <w:ind w:left="700"/>
              <w:spacing w:after="0"/>
              <w:rPr>
                <w:sz w:val="20"/>
                <w:szCs w:val="20"/>
                <w:color w:val="auto"/>
              </w:rPr>
            </w:pPr>
            <w:r>
              <w:rPr>
                <w:rFonts w:ascii="Courier New" w:cs="Courier New" w:eastAsia="Courier New" w:hAnsi="Courier New"/>
                <w:sz w:val="15"/>
                <w:szCs w:val="15"/>
                <w:color w:val="auto"/>
              </w:rPr>
              <w:t>Other</w:t>
            </w:r>
          </w:p>
        </w:tc>
        <w:tc>
          <w:tcPr>
            <w:tcW w:w="1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Pro Forma</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Adjustments</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122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(Note 3)</w:t>
            </w:r>
          </w:p>
        </w:tc>
        <w:tc>
          <w:tcPr>
            <w:tcW w:w="5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4380" w:type="dxa"/>
            <w:vAlign w:val="bottom"/>
          </w:tcPr>
          <w:p>
            <w:pPr>
              <w:spacing w:after="0"/>
              <w:rPr>
                <w:sz w:val="14"/>
                <w:szCs w:val="14"/>
                <w:color w:val="auto"/>
              </w:rPr>
            </w:pPr>
          </w:p>
        </w:tc>
        <w:tc>
          <w:tcPr>
            <w:tcW w:w="2760" w:type="dxa"/>
            <w:vAlign w:val="bottom"/>
            <w:gridSpan w:val="2"/>
          </w:tcPr>
          <w:p>
            <w:pPr>
              <w:ind w:left="106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cash equivalent</w:t>
            </w:r>
          </w:p>
        </w:tc>
        <w:tc>
          <w:tcPr>
            <w:tcW w:w="12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23,511</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122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245,111</w:t>
            </w: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Notes and other receivables</w:t>
            </w:r>
          </w:p>
        </w:tc>
        <w:tc>
          <w:tcPr>
            <w:tcW w:w="122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33,079</w:t>
            </w: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22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39,714</w:t>
            </w: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122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48,776</w:t>
            </w:r>
          </w:p>
        </w:tc>
      </w:tr>
      <w:tr>
        <w:trPr>
          <w:trHeight w:val="168"/>
        </w:trPr>
        <w:tc>
          <w:tcPr>
            <w:tcW w:w="4380" w:type="dxa"/>
            <w:vAlign w:val="bottom"/>
          </w:tcPr>
          <w:p>
            <w:pPr>
              <w:spacing w:after="0"/>
              <w:rPr>
                <w:sz w:val="14"/>
                <w:szCs w:val="14"/>
                <w:color w:val="auto"/>
              </w:rPr>
            </w:pPr>
          </w:p>
        </w:tc>
        <w:tc>
          <w:tcPr>
            <w:tcW w:w="2760" w:type="dxa"/>
            <w:vAlign w:val="bottom"/>
            <w:gridSpan w:val="2"/>
          </w:tcPr>
          <w:p>
            <w:pPr>
              <w:ind w:left="106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22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390,191</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and other receivables</w:t>
            </w:r>
          </w:p>
        </w:tc>
        <w:tc>
          <w:tcPr>
            <w:tcW w:w="122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49,059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122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2,087,508</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of cost over net assets of acquired</w:t>
            </w: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businesses, net</w:t>
            </w:r>
          </w:p>
        </w:tc>
        <w:tc>
          <w:tcPr>
            <w:tcW w:w="122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753,913</w:t>
            </w:r>
          </w:p>
        </w:tc>
      </w:tr>
    </w:tbl>
    <w:p>
      <w:pPr>
        <w:sectPr>
          <w:pgSz w:w="11900" w:h="16838" w:orient="portrait"/>
          <w:cols w:equalWidth="0" w:num="1">
            <w:col w:w="10600"/>
          </w:cols>
          <w:pgMar w:left="220" w:top="281" w:right="107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20"/>
                <w:szCs w:val="20"/>
                <w:color w:val="auto"/>
              </w:rPr>
            </w:pPr>
            <w:r>
              <w:rPr>
                <w:rFonts w:ascii="Courier New" w:cs="Courier New" w:eastAsia="Courier New" w:hAnsi="Courier New"/>
                <w:sz w:val="15"/>
                <w:szCs w:val="15"/>
                <w:color w:val="auto"/>
              </w:rPr>
              <w:t>Other intangibles, net</w:t>
            </w:r>
          </w:p>
        </w:tc>
        <w:tc>
          <w:tcPr>
            <w:tcW w:w="64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88,486</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64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14,000</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w:t>
            </w:r>
          </w:p>
        </w:tc>
        <w:tc>
          <w:tcPr>
            <w:tcW w:w="4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129,203</w:t>
            </w:r>
          </w:p>
        </w:tc>
      </w:tr>
      <w:tr>
        <w:trPr>
          <w:trHeight w:val="168"/>
        </w:trPr>
        <w:tc>
          <w:tcPr>
            <w:tcW w:w="51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assets</w:t>
            </w:r>
          </w:p>
        </w:tc>
        <w:tc>
          <w:tcPr>
            <w:tcW w:w="1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5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rPr>
                <w:sz w:val="14"/>
                <w:szCs w:val="14"/>
                <w:color w:val="auto"/>
              </w:rPr>
            </w:pPr>
          </w:p>
        </w:tc>
        <w:tc>
          <w:tcPr>
            <w:tcW w:w="6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14,000</w:t>
            </w:r>
          </w:p>
        </w:tc>
        <w:tc>
          <w:tcPr>
            <w:tcW w:w="400" w:type="dxa"/>
            <w:vAlign w:val="bottom"/>
          </w:tcPr>
          <w:p>
            <w:pPr>
              <w:spacing w:after="0"/>
              <w:rPr>
                <w:sz w:val="14"/>
                <w:szCs w:val="14"/>
                <w:color w:val="auto"/>
              </w:rPr>
            </w:pP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3,498,360</w:t>
            </w:r>
          </w:p>
        </w:tc>
      </w:tr>
      <w:tr>
        <w:trPr>
          <w:trHeight w:val="168"/>
        </w:trPr>
        <w:tc>
          <w:tcPr>
            <w:tcW w:w="5180" w:type="dxa"/>
            <w:vAlign w:val="bottom"/>
          </w:tcPr>
          <w:p>
            <w:pPr>
              <w:spacing w:after="0"/>
              <w:rPr>
                <w:sz w:val="14"/>
                <w:szCs w:val="14"/>
                <w:color w:val="auto"/>
              </w:rPr>
            </w:pPr>
          </w:p>
        </w:tc>
        <w:tc>
          <w:tcPr>
            <w:tcW w:w="1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5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8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6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123,325</w:t>
            </w: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6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194,701</w:t>
            </w: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revenues</w:t>
            </w:r>
          </w:p>
        </w:tc>
        <w:tc>
          <w:tcPr>
            <w:tcW w:w="6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23,450</w:t>
            </w: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Current maturities of long-term debt</w:t>
            </w:r>
          </w:p>
        </w:tc>
        <w:tc>
          <w:tcPr>
            <w:tcW w:w="6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28,695</w:t>
            </w:r>
          </w:p>
        </w:tc>
      </w:tr>
      <w:tr>
        <w:trPr>
          <w:trHeight w:val="168"/>
        </w:trPr>
        <w:tc>
          <w:tcPr>
            <w:tcW w:w="5180" w:type="dxa"/>
            <w:vAlign w:val="bottom"/>
          </w:tcPr>
          <w:p>
            <w:pPr>
              <w:spacing w:after="0"/>
              <w:rPr>
                <w:sz w:val="14"/>
                <w:szCs w:val="14"/>
                <w:color w:val="auto"/>
              </w:rPr>
            </w:pPr>
          </w:p>
        </w:tc>
        <w:tc>
          <w:tcPr>
            <w:tcW w:w="1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5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6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370,171</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640" w:type="dxa"/>
            <w:vAlign w:val="bottom"/>
          </w:tcPr>
          <w:p>
            <w:pPr>
              <w:spacing w:after="0"/>
              <w:rPr>
                <w:sz w:val="14"/>
                <w:szCs w:val="14"/>
                <w:color w:val="auto"/>
              </w:rPr>
            </w:pP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(383,438) (d)</w:t>
            </w:r>
          </w:p>
        </w:tc>
        <w:tc>
          <w:tcPr>
            <w:tcW w:w="4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1,302,867</w:t>
            </w:r>
          </w:p>
        </w:tc>
      </w:tr>
      <w:tr>
        <w:trPr>
          <w:trHeight w:val="505"/>
        </w:trPr>
        <w:tc>
          <w:tcPr>
            <w:tcW w:w="518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640" w:type="dxa"/>
            <w:vAlign w:val="bottom"/>
          </w:tcPr>
          <w:p>
            <w:pPr>
              <w:spacing w:after="0"/>
              <w:rPr>
                <w:sz w:val="24"/>
                <w:szCs w:val="2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73,786</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Closure, post-closure and other liabilities</w:t>
            </w:r>
          </w:p>
        </w:tc>
        <w:tc>
          <w:tcPr>
            <w:tcW w:w="6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208,822</w:t>
            </w:r>
          </w:p>
        </w:tc>
      </w:tr>
      <w:tr>
        <w:trPr>
          <w:trHeight w:val="168"/>
        </w:trPr>
        <w:tc>
          <w:tcPr>
            <w:tcW w:w="5180" w:type="dxa"/>
            <w:vAlign w:val="bottom"/>
          </w:tcPr>
          <w:p>
            <w:pPr>
              <w:spacing w:after="0"/>
              <w:rPr>
                <w:sz w:val="14"/>
                <w:szCs w:val="14"/>
                <w:color w:val="auto"/>
              </w:rPr>
            </w:pPr>
          </w:p>
        </w:tc>
        <w:tc>
          <w:tcPr>
            <w:tcW w:w="1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5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(383,438)</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1,955,646</w:t>
            </w:r>
          </w:p>
        </w:tc>
      </w:tr>
      <w:tr>
        <w:trPr>
          <w:trHeight w:val="168"/>
        </w:trPr>
        <w:tc>
          <w:tcPr>
            <w:tcW w:w="5180" w:type="dxa"/>
            <w:vAlign w:val="bottom"/>
          </w:tcPr>
          <w:p>
            <w:pPr>
              <w:spacing w:after="0"/>
              <w:rPr>
                <w:sz w:val="14"/>
                <w:szCs w:val="14"/>
                <w:color w:val="auto"/>
              </w:rPr>
            </w:pPr>
          </w:p>
        </w:tc>
        <w:tc>
          <w:tcPr>
            <w:tcW w:w="1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5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640" w:type="dxa"/>
            <w:vAlign w:val="bottom"/>
          </w:tcPr>
          <w:p>
            <w:pPr>
              <w:spacing w:after="0"/>
              <w:rPr>
                <w:sz w:val="24"/>
                <w:szCs w:val="2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505"/>
        </w:trPr>
        <w:tc>
          <w:tcPr>
            <w:tcW w:w="51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Preferred stock, $1.00 par value; 10,000,000 shares</w:t>
            </w: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authorized: none issued</w:t>
            </w:r>
          </w:p>
        </w:tc>
        <w:tc>
          <w:tcPr>
            <w:tcW w:w="6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$.01 par value; 300,000,000 shares</w:t>
            </w: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authorized; 139,609,250 historical shares issued and</w:t>
            </w: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outstanding (151,109,250) pro forma shares issued and</w:t>
            </w: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outstanding</w:t>
            </w:r>
          </w:p>
        </w:tc>
        <w:tc>
          <w:tcPr>
            <w:tcW w:w="64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115</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w:t>
            </w:r>
          </w:p>
        </w:tc>
        <w:tc>
          <w:tcPr>
            <w:tcW w:w="4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1,511</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64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387,323</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w:t>
            </w:r>
          </w:p>
        </w:tc>
        <w:tc>
          <w:tcPr>
            <w:tcW w:w="4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1,643,179</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 (accumulated deficit)</w:t>
            </w:r>
          </w:p>
        </w:tc>
        <w:tc>
          <w:tcPr>
            <w:tcW w:w="6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(85,649)</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currency translation adjustment</w:t>
            </w:r>
          </w:p>
        </w:tc>
        <w:tc>
          <w:tcPr>
            <w:tcW w:w="6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(15,843)</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treasury stock at cost</w:t>
            </w:r>
          </w:p>
        </w:tc>
        <w:tc>
          <w:tcPr>
            <w:tcW w:w="6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(484)</w:t>
            </w:r>
          </w:p>
        </w:tc>
      </w:tr>
      <w:tr>
        <w:trPr>
          <w:trHeight w:val="168"/>
        </w:trPr>
        <w:tc>
          <w:tcPr>
            <w:tcW w:w="5180" w:type="dxa"/>
            <w:vAlign w:val="bottom"/>
          </w:tcPr>
          <w:p>
            <w:pPr>
              <w:spacing w:after="0"/>
              <w:rPr>
                <w:sz w:val="14"/>
                <w:szCs w:val="14"/>
                <w:color w:val="auto"/>
              </w:rPr>
            </w:pPr>
          </w:p>
        </w:tc>
        <w:tc>
          <w:tcPr>
            <w:tcW w:w="1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5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64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387,438</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1,542,714</w:t>
            </w:r>
          </w:p>
        </w:tc>
      </w:tr>
      <w:tr>
        <w:trPr>
          <w:trHeight w:val="168"/>
        </w:trPr>
        <w:tc>
          <w:tcPr>
            <w:tcW w:w="5180" w:type="dxa"/>
            <w:vAlign w:val="bottom"/>
          </w:tcPr>
          <w:p>
            <w:pPr>
              <w:spacing w:after="0"/>
              <w:rPr>
                <w:sz w:val="14"/>
                <w:szCs w:val="14"/>
                <w:color w:val="auto"/>
              </w:rPr>
            </w:pPr>
          </w:p>
        </w:tc>
        <w:tc>
          <w:tcPr>
            <w:tcW w:w="1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5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6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14,000</w:t>
            </w:r>
          </w:p>
        </w:tc>
        <w:tc>
          <w:tcPr>
            <w:tcW w:w="400" w:type="dxa"/>
            <w:vAlign w:val="bottom"/>
          </w:tcPr>
          <w:p>
            <w:pPr>
              <w:spacing w:after="0"/>
              <w:rPr>
                <w:sz w:val="14"/>
                <w:szCs w:val="14"/>
                <w:color w:val="auto"/>
              </w:rPr>
            </w:pP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3,498,360</w:t>
            </w:r>
          </w:p>
        </w:tc>
      </w:tr>
      <w:tr>
        <w:trPr>
          <w:trHeight w:val="168"/>
        </w:trPr>
        <w:tc>
          <w:tcPr>
            <w:tcW w:w="5180" w:type="dxa"/>
            <w:vAlign w:val="bottom"/>
          </w:tcPr>
          <w:p>
            <w:pPr>
              <w:spacing w:after="0"/>
              <w:rPr>
                <w:sz w:val="14"/>
                <w:szCs w:val="14"/>
                <w:color w:val="auto"/>
              </w:rPr>
            </w:pPr>
          </w:p>
        </w:tc>
        <w:tc>
          <w:tcPr>
            <w:tcW w:w="1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5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See notes to pro forma condensed consolidated financial statements</w:t>
      </w:r>
    </w:p>
    <w:p>
      <w:pPr>
        <w:sectPr>
          <w:pgSz w:w="11900" w:h="16838" w:orient="portrait"/>
          <w:cols w:equalWidth="0" w:num="1">
            <w:col w:w="10239"/>
          </w:cols>
          <w:pgMar w:left="220" w:top="135"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22</w:t>
      </w:r>
    </w:p>
    <w:p>
      <w:pPr>
        <w:spacing w:after="0" w:line="166"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USA WASTE SERVICES, INC.</w:t>
      </w:r>
    </w:p>
    <w:p>
      <w:pPr>
        <w:ind w:left="1060"/>
        <w:spacing w:after="0" w:line="237" w:lineRule="auto"/>
        <w:rPr>
          <w:sz w:val="20"/>
          <w:szCs w:val="20"/>
          <w:color w:val="auto"/>
        </w:rPr>
      </w:pPr>
      <w:r>
        <w:rPr>
          <w:rFonts w:ascii="Courier New" w:cs="Courier New" w:eastAsia="Courier New" w:hAnsi="Courier New"/>
          <w:sz w:val="15"/>
          <w:szCs w:val="15"/>
          <w:color w:val="auto"/>
        </w:rPr>
        <w:t>PRO FORMA CONDENSED CONSOLIDATED STATEMENT OF OPERATIONS</w:t>
      </w:r>
    </w:p>
    <w:p>
      <w:pPr>
        <w:ind w:left="1680"/>
        <w:spacing w:after="0" w:line="238" w:lineRule="auto"/>
        <w:rPr>
          <w:sz w:val="20"/>
          <w:szCs w:val="20"/>
          <w:color w:val="auto"/>
        </w:rPr>
      </w:pPr>
      <w:r>
        <w:rPr>
          <w:rFonts w:ascii="Courier New" w:cs="Courier New" w:eastAsia="Courier New" w:hAnsi="Courier New"/>
          <w:sz w:val="15"/>
          <w:szCs w:val="15"/>
          <w:color w:val="auto"/>
        </w:rPr>
        <w:t>(In Thousands, Except Per Share Amounts)</w:t>
      </w:r>
    </w:p>
    <w:p>
      <w:pPr>
        <w:jc w:val="center"/>
        <w:ind w:right="4380"/>
        <w:spacing w:after="0" w:line="237" w:lineRule="auto"/>
        <w:rPr>
          <w:sz w:val="20"/>
          <w:szCs w:val="20"/>
          <w:color w:val="auto"/>
        </w:rPr>
      </w:pPr>
      <w:r>
        <w:rPr>
          <w:rFonts w:ascii="Courier New" w:cs="Courier New" w:eastAsia="Courier New" w:hAnsi="Courier New"/>
          <w:sz w:val="15"/>
          <w:szCs w:val="15"/>
          <w:color w:val="auto"/>
        </w:rPr>
        <w:t>(Unaudited)</w:t>
      </w:r>
    </w:p>
    <w:p>
      <w:pPr>
        <w:jc w:val="center"/>
        <w:ind w:right="4280"/>
        <w:spacing w:after="0" w:line="238" w:lineRule="auto"/>
        <w:rPr>
          <w:sz w:val="20"/>
          <w:szCs w:val="20"/>
          <w:color w:val="auto"/>
        </w:rPr>
      </w:pPr>
      <w:r>
        <w:rPr>
          <w:rFonts w:ascii="Courier New" w:cs="Courier New" w:eastAsia="Courier New" w:hAnsi="Courier New"/>
          <w:sz w:val="15"/>
          <w:szCs w:val="15"/>
          <w:color w:val="auto"/>
        </w:rPr>
        <w:t>For the year ended December 31,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6"/>
              </w:rPr>
              <w:t>PREACQUISITION</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OTHER</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PERIOD</w:t>
            </w:r>
          </w:p>
        </w:tc>
        <w:tc>
          <w:tcPr>
            <w:tcW w:w="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3"/>
              </w:rPr>
              <w:t>PRO FORMA</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PRO FORMA</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ALLIED-CANADA</w:t>
            </w:r>
          </w:p>
        </w:tc>
        <w:tc>
          <w:tcPr>
            <w:tcW w:w="130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ADJUSTMENTS</w:t>
            </w:r>
          </w:p>
        </w:tc>
        <w:tc>
          <w:tcPr>
            <w:tcW w:w="11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ADJUSTMENTS</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USA WASTE</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(NOTE 2)</w:t>
            </w:r>
          </w:p>
        </w:tc>
        <w:tc>
          <w:tcPr>
            <w:tcW w:w="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(NOTE 2)</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(NOTE 3)</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PRO FORMA</w:t>
            </w:r>
          </w:p>
        </w:tc>
      </w:tr>
      <w:tr>
        <w:trPr>
          <w:trHeight w:val="168"/>
        </w:trPr>
        <w:tc>
          <w:tcPr>
            <w:tcW w:w="434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5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$ 1,313,388</w:t>
            </w:r>
          </w:p>
        </w:tc>
        <w:tc>
          <w:tcPr>
            <w:tcW w:w="14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$ 268,698</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$ 1,582,086</w:t>
            </w:r>
          </w:p>
        </w:tc>
      </w:tr>
      <w:tr>
        <w:trPr>
          <w:trHeight w:val="168"/>
        </w:trPr>
        <w:tc>
          <w:tcPr>
            <w:tcW w:w="434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Operating (exclusive of depreciation and</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amortization shown below)</w:t>
            </w:r>
          </w:p>
        </w:tc>
        <w:tc>
          <w:tcPr>
            <w:tcW w:w="4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704,917</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194,225</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899,142</w:t>
            </w:r>
          </w:p>
        </w:tc>
      </w:tr>
      <w:tr>
        <w:trPr>
          <w:trHeight w:val="168"/>
        </w:trPr>
        <w:tc>
          <w:tcPr>
            <w:tcW w:w="4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4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160,539</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19,478</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180,017</w:t>
            </w:r>
          </w:p>
        </w:tc>
      </w:tr>
      <w:tr>
        <w:trPr>
          <w:trHeight w:val="168"/>
        </w:trPr>
        <w:tc>
          <w:tcPr>
            <w:tcW w:w="4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4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153,168</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30,334</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6,013</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(e)</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195,601</w:t>
            </w:r>
          </w:p>
        </w:tc>
      </w:tr>
      <w:tr>
        <w:trPr>
          <w:trHeight w:val="168"/>
        </w:trPr>
        <w:tc>
          <w:tcPr>
            <w:tcW w:w="4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6,086</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(f)</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Merger costs</w:t>
            </w:r>
          </w:p>
        </w:tc>
        <w:tc>
          <w:tcPr>
            <w:tcW w:w="4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120,656</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120,656</w:t>
            </w:r>
          </w:p>
        </w:tc>
      </w:tr>
      <w:tr>
        <w:trPr>
          <w:trHeight w:val="168"/>
        </w:trPr>
        <w:tc>
          <w:tcPr>
            <w:tcW w:w="4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Unusual items</w:t>
            </w:r>
          </w:p>
        </w:tc>
        <w:tc>
          <w:tcPr>
            <w:tcW w:w="4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63,800</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63,800</w:t>
            </w:r>
          </w:p>
        </w:tc>
      </w:tr>
      <w:tr>
        <w:trPr>
          <w:trHeight w:val="168"/>
        </w:trPr>
        <w:tc>
          <w:tcPr>
            <w:tcW w:w="434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1,203,080</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244,037</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12,099</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1,459,216</w:t>
            </w:r>
          </w:p>
        </w:tc>
      </w:tr>
      <w:tr>
        <w:trPr>
          <w:trHeight w:val="168"/>
        </w:trPr>
        <w:tc>
          <w:tcPr>
            <w:tcW w:w="434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48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110,308</w:t>
            </w:r>
          </w:p>
        </w:tc>
        <w:tc>
          <w:tcPr>
            <w:tcW w:w="14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24,661</w:t>
            </w: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(12,099)</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122,870</w:t>
            </w:r>
          </w:p>
        </w:tc>
      </w:tr>
      <w:tr>
        <w:trPr>
          <w:trHeight w:val="168"/>
        </w:trPr>
        <w:tc>
          <w:tcPr>
            <w:tcW w:w="434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48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(45,547)</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(11,404)</w:t>
            </w:r>
          </w:p>
        </w:tc>
        <w:tc>
          <w:tcPr>
            <w:tcW w:w="26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11,404</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(g)</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33,112</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(j)</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(43,515)</w:t>
            </w:r>
          </w:p>
        </w:tc>
      </w:tr>
      <w:tr>
        <w:trPr>
          <w:trHeight w:val="168"/>
        </w:trPr>
        <w:tc>
          <w:tcPr>
            <w:tcW w:w="4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(31,080)(h)</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4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5,267</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5,267</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w:t>
            </w:r>
          </w:p>
        </w:tc>
        <w:tc>
          <w:tcPr>
            <w:tcW w:w="4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8,060</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703</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8,763</w:t>
            </w:r>
          </w:p>
        </w:tc>
      </w:tr>
      <w:tr>
        <w:trPr>
          <w:trHeight w:val="168"/>
        </w:trPr>
        <w:tc>
          <w:tcPr>
            <w:tcW w:w="434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(32,220)</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(10,701)</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(19,676)</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33,112</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(29,485)</w:t>
            </w:r>
          </w:p>
        </w:tc>
      </w:tr>
      <w:tr>
        <w:trPr>
          <w:trHeight w:val="168"/>
        </w:trPr>
        <w:tc>
          <w:tcPr>
            <w:tcW w:w="434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4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78,088</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13,960</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(31,775)</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33,112</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93,385</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4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45,142</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7,034</w:t>
            </w:r>
          </w:p>
        </w:tc>
        <w:tc>
          <w:tcPr>
            <w:tcW w:w="26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(13,076)(i)</w:t>
            </w: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13,245</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(k)</w:t>
            </w: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52,345</w:t>
            </w:r>
          </w:p>
        </w:tc>
      </w:tr>
      <w:tr>
        <w:trPr>
          <w:trHeight w:val="168"/>
        </w:trPr>
        <w:tc>
          <w:tcPr>
            <w:tcW w:w="434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32,946</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6,926</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$(18,699)</w:t>
            </w:r>
          </w:p>
        </w:tc>
        <w:tc>
          <w:tcPr>
            <w:tcW w:w="34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19,867</w:t>
            </w:r>
          </w:p>
        </w:tc>
        <w:tc>
          <w:tcPr>
            <w:tcW w:w="40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41,040</w:t>
            </w:r>
          </w:p>
        </w:tc>
      </w:tr>
      <w:tr>
        <w:trPr>
          <w:trHeight w:val="168"/>
        </w:trPr>
        <w:tc>
          <w:tcPr>
            <w:tcW w:w="434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0.24</w:t>
            </w: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0.27</w:t>
            </w:r>
          </w:p>
        </w:tc>
      </w:tr>
      <w:tr>
        <w:trPr>
          <w:trHeight w:val="168"/>
        </w:trPr>
        <w:tc>
          <w:tcPr>
            <w:tcW w:w="434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common and</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equivalent shares outstanding</w:t>
            </w:r>
          </w:p>
        </w:tc>
        <w:tc>
          <w:tcPr>
            <w:tcW w:w="4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139,740</w:t>
            </w: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11,500</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w:t>
            </w: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151,240</w:t>
            </w:r>
          </w:p>
        </w:tc>
      </w:tr>
      <w:tr>
        <w:trPr>
          <w:trHeight w:val="168"/>
        </w:trPr>
        <w:tc>
          <w:tcPr>
            <w:tcW w:w="434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See notes to proforma condensed consolidated financial statements.</w:t>
      </w:r>
    </w:p>
    <w:p>
      <w:pPr>
        <w:sectPr>
          <w:pgSz w:w="11900" w:h="16838" w:orient="portrait"/>
          <w:cols w:equalWidth="0" w:num="1">
            <w:col w:w="11300"/>
          </w:cols>
          <w:pgMar w:left="220" w:top="281" w:right="379"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23</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USA WASTE SERVICES,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PRO FORMA CONDENSED</w:t>
      </w:r>
    </w:p>
    <w:p>
      <w:pPr>
        <w:jc w:val="center"/>
        <w:ind w:right="3319"/>
        <w:spacing w:after="0" w:line="238" w:lineRule="auto"/>
        <w:rPr>
          <w:sz w:val="20"/>
          <w:szCs w:val="20"/>
          <w:color w:val="auto"/>
        </w:rPr>
      </w:pPr>
      <w:r>
        <w:rPr>
          <w:rFonts w:ascii="Courier New" w:cs="Courier New" w:eastAsia="Courier New" w:hAnsi="Courier New"/>
          <w:sz w:val="15"/>
          <w:szCs w:val="15"/>
          <w:color w:val="auto"/>
        </w:rPr>
        <w:t>CONSOLIDATED FINANCIAL STATEMENTS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BASIS OF PRESENTATION</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accompanying unaudited pro forma condensed consolidated financial statements (the "Pro Forma Financial Statements") for USA Waste Services, Inc. (the "Company") have been prepared based upon certain pro forma adjustments to the historical consolidated financial statements of the Company set forth in its previously filed Annual Report on Form 10-K for the year ended December 31, 1996, as amended by Form 10-K/A filed April 30, 1997.</w:t>
      </w:r>
    </w:p>
    <w:p>
      <w:pPr>
        <w:spacing w:after="0" w:line="16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Pro Forma Financial Statements are based on certain assumptions and preliminary estimates which are subject to change, but management does not believe any possible deviations will be material to the Pro Forma Financial Statements. The Pro Forma Financial Statements do not purport to be indicative of the results which would actually have been obtained had the acquisition, Notes Offering and Equity Offering been completed on the dates indicated or which may be obtained in the future.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BUSINESS ACQUIRED</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On March 12, 1997, USA Waste Service, Inc. (the "Company") acquired all of the Canadian solid waste subsidiaries of Allied Waste Industries, Inc. ("Allied") for US $518,000,000 in a transaction accounted for as a purchase. The acquired businesses ("Allied-Canada") include seven landfills, 41 collection operations, and eight transfer stations. Allied purchased these Canadian solid waste subsidiaries under the terms of a Stock Purchase Agreement dated September 17, 1996 (the "Laidlaw Agreement") between Allied and Laidlaw Inc. ("Laidlaw"), in which Allied purchased all the solid waste management business of Laidlaw. The Pro Forma Condensed Consolidated Financial Statements give effect to the purchase of the Canadian operations of Laidlaw Solid Waste Management Group ("Laidlaw Solid Waste Management Group - Canadian Operations").</w:t>
      </w:r>
    </w:p>
    <w:p>
      <w:pPr>
        <w:spacing w:after="0" w:line="16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pro forma adjustments which have been made to the acquired business are described below:</w:t>
      </w:r>
    </w:p>
    <w:p>
      <w:pPr>
        <w:spacing w:after="0" w:line="173" w:lineRule="exact"/>
        <w:rPr>
          <w:sz w:val="20"/>
          <w:szCs w:val="20"/>
          <w:color w:val="auto"/>
        </w:rPr>
      </w:pPr>
    </w:p>
    <w:p>
      <w:pPr>
        <w:ind w:left="1400" w:right="3239" w:hanging="691"/>
        <w:spacing w:after="0" w:line="237" w:lineRule="auto"/>
        <w:tabs>
          <w:tab w:leader="none" w:pos="14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adjustments to the historical balance sheet of the business acquired for the purchase price allocation. The Company has allocated the cost of the acquired business to the assets acquired and liabilities assumed based on estimates of fair values thereof. The increase in accrued liabilities and closure, post-closure, and other liabilities is due to a working capital purchase price adjustment included in the purchase agreement to be paid to the previous owners of approximately $8,200,000 in addition to the original $518,000,000 purchase price, based on working capital information as if the transaction had occurred on December 31, 1996. The increase also includes approximately $10,000,000 for unfavorable contracts assumed by USA Waste, and approximately $6,000,000 of other liabilities and exit costs, including</w:t>
      </w:r>
    </w:p>
    <w:p>
      <w:pPr>
        <w:sectPr>
          <w:pgSz w:w="11900" w:h="16838" w:orient="portrait"/>
          <w:cols w:equalWidth="0" w:num="1">
            <w:col w:w="10239"/>
          </w:cols>
          <w:pgMar w:left="220" w:top="281"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24</w:t>
      </w:r>
    </w:p>
    <w:p>
      <w:pPr>
        <w:spacing w:after="0" w:line="173" w:lineRule="exact"/>
        <w:rPr>
          <w:sz w:val="20"/>
          <w:szCs w:val="20"/>
          <w:color w:val="auto"/>
        </w:rPr>
      </w:pPr>
    </w:p>
    <w:p>
      <w:pPr>
        <w:ind w:left="1120" w:right="3319"/>
        <w:spacing w:after="0" w:line="256" w:lineRule="auto"/>
        <w:rPr>
          <w:sz w:val="20"/>
          <w:szCs w:val="20"/>
          <w:color w:val="auto"/>
        </w:rPr>
      </w:pPr>
      <w:r>
        <w:rPr>
          <w:rFonts w:ascii="Courier New" w:cs="Courier New" w:eastAsia="Courier New" w:hAnsi="Courier New"/>
          <w:sz w:val="14"/>
          <w:szCs w:val="14"/>
          <w:color w:val="auto"/>
        </w:rPr>
        <w:t>severance costs, legal fees, and other transaction costs relating to the acquisition. Management does not believe that any possible deviations of estimated fair value and actual fair value will be material to the Pro Forma financial statements.</w:t>
      </w:r>
    </w:p>
    <w:p>
      <w:pPr>
        <w:spacing w:after="0" w:line="164" w:lineRule="exact"/>
        <w:rPr>
          <w:sz w:val="20"/>
          <w:szCs w:val="20"/>
          <w:color w:val="auto"/>
        </w:rPr>
      </w:pPr>
    </w:p>
    <w:p>
      <w:pPr>
        <w:ind w:left="1120" w:right="3239" w:hanging="691"/>
        <w:spacing w:after="0" w:line="255" w:lineRule="auto"/>
        <w:tabs>
          <w:tab w:leader="none" w:pos="11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financing of the US $518,000,000 purchase price of the acquisition from the Company's credit facility, as if the transaction had occurred January 1, 1996. In connection with the actual financing of the acquisition, the Company entered into a $350,000,000 note bearing interest at the bankers' acceptance rate plus 0.45%, maturing in seven years. Of the remaining balance of the purchase price, $80,000,000 was borrowed by the Company under its existing credit senior revolving credit facility and $88,000,000 was from the proceeds of the Company's Notes Offering and Equity Offering in February, 1997.</w:t>
      </w:r>
    </w:p>
    <w:p>
      <w:pPr>
        <w:spacing w:after="0" w:line="165" w:lineRule="exact"/>
        <w:rPr>
          <w:rFonts w:ascii="Courier New" w:cs="Courier New" w:eastAsia="Courier New" w:hAnsi="Courier New"/>
          <w:sz w:val="14"/>
          <w:szCs w:val="14"/>
          <w:color w:val="auto"/>
        </w:rPr>
      </w:pPr>
    </w:p>
    <w:p>
      <w:pPr>
        <w:ind w:left="1120" w:hanging="691"/>
        <w:spacing w:after="0"/>
        <w:tabs>
          <w:tab w:leader="none" w:pos="11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elimination of the equity of the business acquired.</w:t>
      </w:r>
    </w:p>
    <w:p>
      <w:pPr>
        <w:spacing w:after="0" w:line="177" w:lineRule="exact"/>
        <w:rPr>
          <w:rFonts w:ascii="Courier New" w:cs="Courier New" w:eastAsia="Courier New" w:hAnsi="Courier New"/>
          <w:sz w:val="14"/>
          <w:szCs w:val="14"/>
          <w:color w:val="auto"/>
        </w:rPr>
      </w:pPr>
    </w:p>
    <w:p>
      <w:pPr>
        <w:ind w:left="1120" w:right="3239" w:hanging="691"/>
        <w:spacing w:after="0" w:line="256" w:lineRule="auto"/>
        <w:tabs>
          <w:tab w:leader="none" w:pos="11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decrease in long-term debt for the effects of the assumed utilization of net proceeds from the Equity Offering and Notes Offering and the issuance of $535,275,000 of 4% Convertible Subordinated Debt under the Notes Offering, as if such transactions had occurred on December 31, 1996, as follows:</w:t>
      </w:r>
    </w:p>
    <w:p>
      <w:pPr>
        <w:spacing w:after="0" w:line="200" w:lineRule="exact"/>
        <w:rPr>
          <w:sz w:val="20"/>
          <w:szCs w:val="20"/>
          <w:color w:val="auto"/>
        </w:rPr>
      </w:pPr>
    </w:p>
    <w:p>
      <w:pPr>
        <w:spacing w:after="0" w:line="293" w:lineRule="exact"/>
        <w:rPr>
          <w:sz w:val="20"/>
          <w:szCs w:val="20"/>
          <w:color w:val="auto"/>
        </w:rPr>
      </w:pPr>
    </w:p>
    <w:tbl>
      <w:tblPr>
        <w:tblLayout w:type="fixed"/>
        <w:tblInd w:w="1120" w:type="dxa"/>
        <w:tblCellMar>
          <w:top w:w="0" w:type="dxa"/>
          <w:left w:w="0" w:type="dxa"/>
          <w:bottom w:w="0" w:type="dxa"/>
          <w:right w:w="0" w:type="dxa"/>
        </w:tblCellMar>
      </w:tblPr>
      <w:tr>
        <w:trPr>
          <w:trHeight w:val="170"/>
        </w:trPr>
        <w:tc>
          <w:tcPr>
            <w:tcW w:w="3760" w:type="dxa"/>
            <w:vAlign w:val="bottom"/>
          </w:tcPr>
          <w:p>
            <w:pPr>
              <w:spacing w:after="0"/>
              <w:rPr>
                <w:sz w:val="20"/>
                <w:szCs w:val="20"/>
                <w:color w:val="auto"/>
              </w:rPr>
            </w:pPr>
            <w:r>
              <w:rPr>
                <w:rFonts w:ascii="Courier New" w:cs="Courier New" w:eastAsia="Courier New" w:hAnsi="Courier New"/>
                <w:sz w:val="15"/>
                <w:szCs w:val="15"/>
                <w:color w:val="auto"/>
              </w:rPr>
              <w:t>Proceeds from Equity Offering</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$387,438,000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Notes Offering</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535,275,000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Notes Offering Transaction Costs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(14,000,000)</w:t>
            </w:r>
          </w:p>
        </w:tc>
      </w:tr>
      <w:tr>
        <w:trPr>
          <w:trHeight w:val="168"/>
        </w:trPr>
        <w:tc>
          <w:tcPr>
            <w:tcW w:w="3760" w:type="dxa"/>
            <w:vAlign w:val="bottom"/>
          </w:tcPr>
          <w:p>
            <w:pPr>
              <w:spacing w:after="0"/>
              <w:rPr>
                <w:sz w:val="14"/>
                <w:szCs w:val="14"/>
                <w:color w:val="auto"/>
              </w:rPr>
            </w:pP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Proceeds</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908,713,000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4% Convertible Subordinated Debt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(535,275,000)</w:t>
            </w:r>
          </w:p>
        </w:tc>
      </w:tr>
      <w:tr>
        <w:trPr>
          <w:trHeight w:val="168"/>
        </w:trPr>
        <w:tc>
          <w:tcPr>
            <w:tcW w:w="3760" w:type="dxa"/>
            <w:vAlign w:val="bottom"/>
          </w:tcPr>
          <w:p>
            <w:pPr>
              <w:spacing w:after="0"/>
              <w:rPr>
                <w:sz w:val="14"/>
                <w:szCs w:val="14"/>
                <w:color w:val="auto"/>
              </w:rPr>
            </w:pP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Long-term debt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$373,438,000</w:t>
            </w:r>
          </w:p>
        </w:tc>
      </w:tr>
      <w:tr>
        <w:trPr>
          <w:trHeight w:val="168"/>
        </w:trPr>
        <w:tc>
          <w:tcPr>
            <w:tcW w:w="3760" w:type="dxa"/>
            <w:vAlign w:val="bottom"/>
          </w:tcPr>
          <w:p>
            <w:pPr>
              <w:spacing w:after="0"/>
              <w:rPr>
                <w:sz w:val="14"/>
                <w:szCs w:val="14"/>
                <w:color w:val="auto"/>
              </w:rPr>
            </w:pP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1120" w:right="3399" w:hanging="691"/>
        <w:spacing w:after="0" w:line="235" w:lineRule="auto"/>
        <w:tabs>
          <w:tab w:leader="none" w:pos="11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additional depletion due to the allocation of the purchase price of the acquisition. Landfill costs are depleted over the anticipated life of the site on a units-of-production basis.</w:t>
      </w:r>
    </w:p>
    <w:p>
      <w:pPr>
        <w:spacing w:after="0" w:line="175" w:lineRule="exact"/>
        <w:rPr>
          <w:rFonts w:ascii="Courier New" w:cs="Courier New" w:eastAsia="Courier New" w:hAnsi="Courier New"/>
          <w:sz w:val="15"/>
          <w:szCs w:val="15"/>
          <w:color w:val="auto"/>
        </w:rPr>
      </w:pPr>
    </w:p>
    <w:p>
      <w:pPr>
        <w:ind w:left="1120" w:right="3319" w:hanging="691"/>
        <w:spacing w:after="0" w:line="236" w:lineRule="auto"/>
        <w:tabs>
          <w:tab w:leader="none" w:pos="11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additional amortization of goodwill and customer lists due to the allocation of the purchase price of the acquisition. Goodwill is amortized over a 40 year period on a straight-line basis. Customer lists are amortized from 5 to 7 years on a straight-line basis.</w:t>
      </w:r>
    </w:p>
    <w:p>
      <w:pPr>
        <w:spacing w:after="0" w:line="173" w:lineRule="exact"/>
        <w:rPr>
          <w:rFonts w:ascii="Courier New" w:cs="Courier New" w:eastAsia="Courier New" w:hAnsi="Courier New"/>
          <w:sz w:val="15"/>
          <w:szCs w:val="15"/>
          <w:color w:val="auto"/>
        </w:rPr>
      </w:pPr>
    </w:p>
    <w:p>
      <w:pPr>
        <w:ind w:left="1120" w:right="3319" w:hanging="691"/>
        <w:spacing w:after="0" w:line="235" w:lineRule="auto"/>
        <w:tabs>
          <w:tab w:leader="none" w:pos="11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all the acquired business' interest expense that was allocated from its previous corporate affiliate.</w:t>
      </w:r>
    </w:p>
    <w:p>
      <w:pPr>
        <w:spacing w:after="0" w:line="173" w:lineRule="exact"/>
        <w:rPr>
          <w:rFonts w:ascii="Courier New" w:cs="Courier New" w:eastAsia="Courier New" w:hAnsi="Courier New"/>
          <w:sz w:val="15"/>
          <w:szCs w:val="15"/>
          <w:color w:val="auto"/>
        </w:rPr>
      </w:pPr>
    </w:p>
    <w:p>
      <w:pPr>
        <w:ind w:left="1120" w:right="3239" w:hanging="691"/>
        <w:spacing w:after="0" w:line="258" w:lineRule="auto"/>
        <w:tabs>
          <w:tab w:leader="none" w:pos="11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interest expense at a rate of 6% on the $518,000,000 of indebtedness incurred in connection with financing the business acquired as if the acquisition had occurred on January 1, 1996.</w:t>
      </w:r>
    </w:p>
    <w:p>
      <w:pPr>
        <w:spacing w:after="0" w:line="161" w:lineRule="exact"/>
        <w:rPr>
          <w:rFonts w:ascii="Courier New" w:cs="Courier New" w:eastAsia="Courier New" w:hAnsi="Courier New"/>
          <w:sz w:val="14"/>
          <w:szCs w:val="14"/>
          <w:color w:val="auto"/>
        </w:rPr>
      </w:pPr>
    </w:p>
    <w:p>
      <w:pPr>
        <w:ind w:left="1120" w:right="3239" w:hanging="691"/>
        <w:spacing w:after="0" w:line="235" w:lineRule="auto"/>
        <w:tabs>
          <w:tab w:leader="none" w:pos="11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income tax effect related to the above adjustments to the operations of the business acquired using the measurement principles contained in SFAS 109.</w:t>
      </w:r>
    </w:p>
    <w:p>
      <w:pPr>
        <w:sectPr>
          <w:pgSz w:w="11900" w:h="16838" w:orient="portrait"/>
          <w:cols w:equalWidth="0" w:num="1">
            <w:col w:w="9959"/>
          </w:cols>
          <w:pgMar w:left="500" w:top="281" w:right="1440" w:bottom="1440" w:gutter="0" w:footer="0" w:header="0"/>
        </w:sectPr>
      </w:pPr>
    </w:p>
    <w:bookmarkStart w:id="25" w:name="page26"/>
    <w:bookmarkEnd w:id="25"/>
    <w:p>
      <w:pPr>
        <w:ind w:left="270"/>
        <w:spacing w:after="0"/>
        <w:rPr>
          <w:sz w:val="20"/>
          <w:szCs w:val="20"/>
          <w:color w:val="auto"/>
        </w:rPr>
      </w:pPr>
      <w:r>
        <w:rPr>
          <w:rFonts w:ascii="Courier New" w:cs="Courier New" w:eastAsia="Courier New" w:hAnsi="Courier New"/>
          <w:sz w:val="15"/>
          <w:szCs w:val="15"/>
          <w:color w:val="auto"/>
        </w:rPr>
        <w:t>25</w:t>
      </w:r>
    </w:p>
    <w:p>
      <w:pPr>
        <w:spacing w:after="0" w:line="166" w:lineRule="exact"/>
        <w:rPr>
          <w:sz w:val="20"/>
          <w:szCs w:val="20"/>
          <w:color w:val="auto"/>
        </w:rPr>
      </w:pPr>
    </w:p>
    <w:p>
      <w:pPr>
        <w:ind w:left="270" w:hanging="270"/>
        <w:spacing w:after="0"/>
        <w:tabs>
          <w:tab w:leader="none" w:pos="27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PRO FORMA ADJUSTMENTS</w:t>
      </w:r>
    </w:p>
    <w:p>
      <w:pPr>
        <w:spacing w:after="0" w:line="172" w:lineRule="exact"/>
        <w:rPr>
          <w:rFonts w:ascii="Courier New" w:cs="Courier New" w:eastAsia="Courier New" w:hAnsi="Courier New"/>
          <w:sz w:val="15"/>
          <w:szCs w:val="15"/>
          <w:color w:val="auto"/>
        </w:rPr>
      </w:pPr>
    </w:p>
    <w:p>
      <w:pPr>
        <w:ind w:left="1390" w:right="3499" w:hanging="691"/>
        <w:spacing w:after="0" w:line="235" w:lineRule="auto"/>
        <w:tabs>
          <w:tab w:leader="none" w:pos="139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changes in interest expense as a result of the following financing transactions as if these transactions had occurred on January 1, 1996:</w:t>
      </w:r>
    </w:p>
    <w:p>
      <w:pPr>
        <w:spacing w:after="0" w:line="173" w:lineRule="exact"/>
        <w:rPr>
          <w:rFonts w:ascii="Courier New" w:cs="Courier New" w:eastAsia="Courier New" w:hAnsi="Courier New"/>
          <w:sz w:val="15"/>
          <w:szCs w:val="15"/>
          <w:color w:val="auto"/>
        </w:rPr>
      </w:pPr>
    </w:p>
    <w:p>
      <w:pPr>
        <w:ind w:left="2090" w:right="3239" w:hanging="70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oReduction in interest expense of $54,523,000 due to the use of net proceeds of $908,713,000 from the sale of Common Stock and 4% Subordinated Debt to finance the $518,000,000 purchase price of the business acquired and to repay $366,488,000 under the revolving line of credit that existed at January 1, 1996, and to repay $24,225,000 of other indebtedness that existed at January 1, 1996, all with an average interest rate of 6%.</w:t>
      </w:r>
    </w:p>
    <w:p>
      <w:pPr>
        <w:spacing w:after="0" w:line="178" w:lineRule="exact"/>
        <w:rPr>
          <w:rFonts w:ascii="Courier New" w:cs="Courier New" w:eastAsia="Courier New" w:hAnsi="Courier New"/>
          <w:sz w:val="15"/>
          <w:szCs w:val="15"/>
          <w:color w:val="auto"/>
        </w:rPr>
      </w:pPr>
    </w:p>
    <w:p>
      <w:pPr>
        <w:ind w:left="2090" w:right="3319" w:hanging="70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oIncrease in interest expense of $21,411,000 due to the issuance of $535,275,000 of 4% Convertible Subordinated Debt.</w:t>
      </w:r>
    </w:p>
    <w:p>
      <w:pPr>
        <w:spacing w:after="0" w:line="173" w:lineRule="exact"/>
        <w:rPr>
          <w:rFonts w:ascii="Courier New" w:cs="Courier New" w:eastAsia="Courier New" w:hAnsi="Courier New"/>
          <w:sz w:val="15"/>
          <w:szCs w:val="15"/>
          <w:color w:val="auto"/>
        </w:rPr>
      </w:pPr>
    </w:p>
    <w:p>
      <w:pPr>
        <w:ind w:left="1390" w:right="3239" w:hanging="691"/>
        <w:spacing w:after="0" w:line="261" w:lineRule="auto"/>
        <w:tabs>
          <w:tab w:leader="none" w:pos="1390"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income tax effect of the above pro forma adjustment using the measurement principles contained in SFAS 109.</w:t>
      </w:r>
    </w:p>
    <w:p>
      <w:pPr>
        <w:spacing w:after="0" w:line="159" w:lineRule="exact"/>
        <w:rPr>
          <w:rFonts w:ascii="Courier New" w:cs="Courier New" w:eastAsia="Courier New" w:hAnsi="Courier New"/>
          <w:sz w:val="14"/>
          <w:szCs w:val="14"/>
          <w:color w:val="auto"/>
        </w:rPr>
      </w:pPr>
    </w:p>
    <w:p>
      <w:pPr>
        <w:ind w:left="1390" w:right="3579" w:hanging="691"/>
        <w:spacing w:after="0" w:line="235" w:lineRule="auto"/>
        <w:tabs>
          <w:tab w:leader="none" w:pos="139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additional weighted average common and common equivalent shares outstanding which have been included to reflect the Equity Offering as if it had occurred January 1, 1996.</w:t>
      </w:r>
    </w:p>
    <w:p>
      <w:pPr>
        <w:sectPr>
          <w:pgSz w:w="11900" w:h="16838" w:orient="portrait"/>
          <w:cols w:equalWidth="0" w:num="1">
            <w:col w:w="10229"/>
          </w:cols>
          <w:pgMar w:left="23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309"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USA WASTE SERVICES, INC.</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39"/>
          </w:cols>
          <w:pgMar w:left="220" w:top="281" w:right="1440" w:bottom="1440" w:gutter="0" w:footer="0" w:header="0"/>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237" w:lineRule="auto"/>
        <w:rPr>
          <w:sz w:val="20"/>
          <w:szCs w:val="20"/>
          <w:color w:val="auto"/>
        </w:rPr>
      </w:pPr>
      <w:r>
        <w:rPr>
          <w:rFonts w:ascii="Courier New" w:cs="Courier New" w:eastAsia="Courier New" w:hAnsi="Courier New"/>
          <w:sz w:val="15"/>
          <w:szCs w:val="15"/>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EXHIBIT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1920" w:space="720"/>
            <w:col w:w="7599"/>
          </w:cols>
          <w:pgMar w:left="220" w:top="281" w:right="1440" w:bottom="1440" w:gutter="0" w:footer="0" w:header="0"/>
          <w:type w:val="continuous"/>
        </w:sectPr>
      </w:pPr>
    </w:p>
    <w:p>
      <w:pPr>
        <w:spacing w:after="0"/>
        <w:tabs>
          <w:tab w:leader="none" w:pos="122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Independent Accountants</w:t>
      </w:r>
    </w:p>
    <w:p>
      <w:pPr>
        <w:sectPr>
          <w:pgSz w:w="11900" w:h="16838" w:orient="portrait"/>
          <w:cols w:equalWidth="0" w:num="1">
            <w:col w:w="10239"/>
          </w:cols>
          <w:pgMar w:left="220" w:top="281" w:right="1440" w:bottom="1440" w:gutter="0" w:footer="0" w:header="0"/>
          <w:type w:val="continuous"/>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303"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EXHIBIT 23.1</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41"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of USA Waste Services, Inc. on Form S-3 (File Nos. 33-42988, 33-43809, 33-76226, 33-85018, 333-00097, 333-08573, 333-17421, 333-17453, and 333-21035), on Form S-4 (File Nos. 33-77110, 33-59259, 33-60103, 33-63981, 333-02181, 333-08161, and 333-14109), and on Form S-8 (File Nos. 33-43619, 33-72436, 33-84988,</w:t>
      </w:r>
    </w:p>
    <w:p>
      <w:pPr>
        <w:spacing w:after="0" w:line="2"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33-84990, 33-59807, 33-61621, 33-61625, 33-61627, 333-14115, and 333-14613), of our report dated October 16, 1996 (except for Notes 1 and 8 which are as at January 15, 1997), on our audit of the financial statements of Laidlaw Solid Waste Management Group - Canadian Operations as at August 31, 1996 and for the year then ended, which is included in this Current Report on Form 8-K/A.</w:t>
      </w:r>
    </w:p>
    <w:p>
      <w:pPr>
        <w:spacing w:after="0" w:line="157"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COOPERS &amp; LYBRAND</w:t>
      </w:r>
    </w:p>
    <w:p>
      <w:pPr>
        <w:ind w:left="4120"/>
        <w:spacing w:after="0" w:line="237" w:lineRule="auto"/>
        <w:rPr>
          <w:sz w:val="20"/>
          <w:szCs w:val="20"/>
          <w:color w:val="auto"/>
        </w:rPr>
      </w:pPr>
      <w:r>
        <w:rPr>
          <w:rFonts w:ascii="Courier New" w:cs="Courier New" w:eastAsia="Courier New" w:hAnsi="Courier New"/>
          <w:sz w:val="15"/>
          <w:szCs w:val="15"/>
          <w:color w:val="auto"/>
        </w:rPr>
        <w:t>Chartered Accountants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Hamilton, Canada</w:t>
      </w:r>
    </w:p>
    <w:p>
      <w:pPr>
        <w:spacing w:after="0" w:line="237" w:lineRule="auto"/>
        <w:rPr>
          <w:sz w:val="20"/>
          <w:szCs w:val="20"/>
          <w:color w:val="auto"/>
        </w:rPr>
      </w:pPr>
      <w:r>
        <w:rPr>
          <w:rFonts w:ascii="Courier New" w:cs="Courier New" w:eastAsia="Courier New" w:hAnsi="Courier New"/>
          <w:sz w:val="15"/>
          <w:szCs w:val="15"/>
          <w:color w:val="auto"/>
        </w:rPr>
        <w:t>July 22, 1997</w:t>
      </w:r>
    </w:p>
    <w:sectPr>
      <w:pgSz w:w="11900" w:h="16838" w:orient="portrait"/>
      <w:cols w:equalWidth="0" w:num="1">
        <w:col w:w="10239"/>
      </w:cols>
      <w:pgMar w:left="2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lowerLetter"/>
      <w:start w:val="1"/>
    </w:lvl>
  </w:abstractNum>
  <w:abstractNum w:abstractNumId="1">
    <w:nsid w:val="519B500D"/>
    <w:multiLevelType w:val="hybridMultilevel"/>
    <w:lvl w:ilvl="0">
      <w:lvlJc w:val="left"/>
      <w:lvlText w:val="(%1)"/>
      <w:numFmt w:val="lowerLetter"/>
      <w:start w:val="2"/>
    </w:lvl>
  </w:abstractNum>
  <w:abstractNum w:abstractNumId="2">
    <w:nsid w:val="431BD7B7"/>
    <w:multiLevelType w:val="hybridMultilevel"/>
    <w:lvl w:ilvl="0">
      <w:lvlJc w:val="left"/>
      <w:lvlText w:val="(%1)"/>
      <w:numFmt w:val="lowerLetter"/>
      <w:start w:val="3"/>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2"/>
    </w:lvl>
  </w:abstractNum>
  <w:abstractNum w:abstractNumId="14">
    <w:nsid w:val="75A2A8D4"/>
    <w:multiLevelType w:val="hybridMultilevel"/>
    <w:lvl w:ilvl="0">
      <w:lvlJc w:val="left"/>
      <w:lvlText w:val="%1."/>
      <w:numFmt w:val="decimal"/>
      <w:start w:val="2"/>
    </w:lvl>
  </w:abstractNum>
  <w:abstractNum w:abstractNumId="15">
    <w:nsid w:val="8EDBDAB"/>
    <w:multiLevelType w:val="hybridMultilevel"/>
    <w:lvl w:ilvl="0">
      <w:lvlJc w:val="left"/>
      <w:lvlText w:val="(%1)"/>
      <w:numFmt w:val="lowerLetter"/>
      <w:start w:val="3"/>
    </w:lvl>
  </w:abstractNum>
  <w:abstractNum w:abstractNumId="16">
    <w:nsid w:val="79838CB2"/>
    <w:multiLevelType w:val="hybridMultilevel"/>
    <w:lvl w:ilvl="0">
      <w:lvlJc w:val="left"/>
      <w:lvlText w:val="(%1)"/>
      <w:numFmt w:val="lowerLetter"/>
      <w:start w:val="4"/>
    </w:lvl>
  </w:abstractNum>
  <w:abstractNum w:abstractNumId="17">
    <w:nsid w:val="4353D0CD"/>
    <w:multiLevelType w:val="hybridMultilevel"/>
    <w:lvl w:ilvl="0">
      <w:lvlJc w:val="left"/>
      <w:lvlText w:val="(%1)"/>
      <w:numFmt w:val="lowerLetter"/>
      <w:start w:val="5"/>
    </w:lvl>
  </w:abstractNum>
  <w:abstractNum w:abstractNumId="18">
    <w:nsid w:val="B03E0C6"/>
    <w:multiLevelType w:val="hybridMultilevel"/>
    <w:lvl w:ilvl="0">
      <w:lvlJc w:val="left"/>
      <w:lvlText w:val="(%1)"/>
      <w:numFmt w:val="lowerLetter"/>
      <w:start w:val="6"/>
    </w:lvl>
  </w:abstractNum>
  <w:abstractNum w:abstractNumId="19">
    <w:nsid w:val="189A769B"/>
    <w:multiLevelType w:val="hybridMultilevel"/>
    <w:lvl w:ilvl="0">
      <w:lvlJc w:val="left"/>
      <w:lvlText w:val="(%1)"/>
      <w:numFmt w:val="lowerLetter"/>
      <w:start w:val="7"/>
    </w:lvl>
  </w:abstractNum>
  <w:abstractNum w:abstractNumId="20">
    <w:nsid w:val="54E49EB4"/>
    <w:multiLevelType w:val="hybridMultilevel"/>
    <w:lvl w:ilvl="0">
      <w:lvlJc w:val="left"/>
      <w:lvlText w:val="%1."/>
      <w:numFmt w:val="decimal"/>
      <w:start w:val="2"/>
    </w:lvl>
  </w:abstractNum>
  <w:abstractNum w:abstractNumId="21">
    <w:nsid w:val="71F32454"/>
    <w:multiLevelType w:val="hybridMultilevel"/>
    <w:lvl w:ilvl="0">
      <w:lvlJc w:val="left"/>
      <w:lvlText w:val="(%1)"/>
      <w:numFmt w:val="lowerLetter"/>
      <w:start w:val="8"/>
    </w:lvl>
  </w:abstractNum>
  <w:abstractNum w:abstractNumId="22">
    <w:nsid w:val="2CA88611"/>
    <w:multiLevelType w:val="hybridMultilevel"/>
    <w:lvl w:ilvl="0">
      <w:lvlJc w:val="left"/>
      <w:lvlText w:val="(%1)"/>
      <w:numFmt w:val="lowerRoman"/>
      <w:start w:val="1"/>
    </w:lvl>
  </w:abstractNum>
  <w:abstractNum w:abstractNumId="23">
    <w:nsid w:val="836C40E"/>
    <w:multiLevelType w:val="hybridMultilevel"/>
    <w:lvl w:ilvl="0">
      <w:lvlJc w:val="left"/>
      <w:lvlText w:val="%1."/>
      <w:numFmt w:val="decimal"/>
      <w:start w:val="3"/>
    </w:lvl>
  </w:abstractNum>
  <w:abstractNum w:abstractNumId="24">
    <w:nsid w:val="2901D82"/>
    <w:multiLevelType w:val="hybridMultilevel"/>
    <w:lvl w:ilvl="0">
      <w:lvlJc w:val="left"/>
      <w:lvlText w:val="%1."/>
      <w:numFmt w:val="decimal"/>
      <w:start w:val="4"/>
    </w:lvl>
  </w:abstractNum>
  <w:abstractNum w:abstractNumId="25">
    <w:nsid w:val="3A95F874"/>
    <w:multiLevelType w:val="hybridMultilevel"/>
    <w:lvl w:ilvl="0">
      <w:lvlJc w:val="left"/>
      <w:lvlText w:val="%1."/>
      <w:numFmt w:val="decimal"/>
      <w:start w:val="4"/>
    </w:lvl>
  </w:abstractNum>
  <w:abstractNum w:abstractNumId="26">
    <w:nsid w:val="8138641"/>
    <w:multiLevelType w:val="hybridMultilevel"/>
    <w:lvl w:ilvl="0">
      <w:lvlJc w:val="left"/>
      <w:lvlText w:val="%1."/>
      <w:numFmt w:val="decimal"/>
      <w:start w:val="5"/>
    </w:lvl>
    <w:lvl w:ilvl="1">
      <w:lvlJc w:val="left"/>
      <w:lvlText w:val="(%2)"/>
      <w:numFmt w:val="lowerLetter"/>
      <w:start w:val="1"/>
    </w:lvl>
  </w:abstractNum>
  <w:abstractNum w:abstractNumId="27">
    <w:nsid w:val="1E7FF521"/>
    <w:multiLevelType w:val="hybridMultilevel"/>
    <w:lvl w:ilvl="0">
      <w:lvlJc w:val="left"/>
      <w:lvlText w:val="%1."/>
      <w:numFmt w:val="decimal"/>
      <w:start w:val="6"/>
    </w:lvl>
  </w:abstractNum>
  <w:abstractNum w:abstractNumId="28">
    <w:nsid w:val="7C3DBD3D"/>
    <w:multiLevelType w:val="hybridMultilevel"/>
    <w:lvl w:ilvl="0">
      <w:lvlJc w:val="left"/>
      <w:lvlText w:val="%1."/>
      <w:numFmt w:val="decimal"/>
      <w:start w:val="7"/>
    </w:lvl>
  </w:abstractNum>
  <w:abstractNum w:abstractNumId="29">
    <w:nsid w:val="737B8DDC"/>
    <w:multiLevelType w:val="hybridMultilevel"/>
    <w:lvl w:ilvl="0">
      <w:lvlJc w:val="left"/>
      <w:lvlText w:val="%1)"/>
      <w:numFmt w:val="lowerLetter"/>
      <w:start w:val="1"/>
    </w:lvl>
  </w:abstractNum>
  <w:abstractNum w:abstractNumId="30">
    <w:nsid w:val="6CEAF087"/>
    <w:multiLevelType w:val="hybridMultilevel"/>
    <w:lvl w:ilvl="0">
      <w:lvlJc w:val="left"/>
      <w:lvlText w:val="%1)"/>
      <w:numFmt w:val="lowerLetter"/>
      <w:start w:val="2"/>
    </w:lvl>
  </w:abstractNum>
  <w:abstractNum w:abstractNumId="31">
    <w:nsid w:val="22221A70"/>
    <w:multiLevelType w:val="hybridMultilevel"/>
    <w:lvl w:ilvl="0">
      <w:lvlJc w:val="left"/>
      <w:lvlText w:val="%1)"/>
      <w:numFmt w:val="lowerLetter"/>
      <w:start w:val="5"/>
    </w:lvl>
  </w:abstractNum>
  <w:abstractNum w:abstractNumId="32">
    <w:nsid w:val="4516DDE9"/>
    <w:multiLevelType w:val="hybridMultilevel"/>
    <w:lvl w:ilvl="0">
      <w:lvlJc w:val="left"/>
      <w:lvlText w:val="%1."/>
      <w:numFmt w:val="decimal"/>
      <w:start w:val="3"/>
    </w:lvl>
    <w:lvl w:ilvl="1">
      <w:lvlJc w:val="left"/>
      <w:lvlText w:val="%2)"/>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2019-12-20T04:11:25Z</dcterms:created>
  <dcterms:modified xsi:type="dcterms:W3CDTF">2019-12-20T04:11:25Z</dcterms:modified>
</cp:coreProperties>
</file>