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4"/>
          <w:szCs w:val="24"/>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4"/>
          <w:szCs w:val="24"/>
          <w:color w:val="auto"/>
        </w:rPr>
      </w:pPr>
    </w:p>
    <w:p>
      <w:pPr>
        <w:jc w:val="center"/>
        <w:ind w:left="380" w:right="620"/>
        <w:spacing w:after="0" w:line="276" w:lineRule="auto"/>
        <w:rPr>
          <w:sz w:val="20"/>
          <w:szCs w:val="20"/>
          <w:color w:val="auto"/>
        </w:rPr>
      </w:pPr>
      <w:r>
        <w:rPr>
          <w:rFonts w:ascii="Arial" w:cs="Arial" w:eastAsia="Arial" w:hAnsi="Arial"/>
          <w:sz w:val="43"/>
          <w:szCs w:val="43"/>
          <w:b w:val="1"/>
          <w:bCs w:val="1"/>
          <w:color w:val="auto"/>
        </w:rPr>
        <w:t>WASTE MANAGEMENT RETIREMENT SAVINGS PLAN FOR BARGAINING UNIT EMPLOYEES</w:t>
      </w:r>
    </w:p>
    <w:p>
      <w:pPr>
        <w:spacing w:after="0" w:line="10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u w:val="single" w:color="auto"/>
          <w:color w:val="auto"/>
        </w:rPr>
        <w:t>WASTE MANAGEMENT RETIREMENT SAVINGS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 BARGAINING UNIT EMPLOYEES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u w:val="single" w:color="auto"/>
          <w:color w:val="auto"/>
        </w:rPr>
        <w:t>INDEX TO FINANCIAL STATEMENTS AND SUPPLEMENTAL SCHEDULE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Audited Financial Statements</w:t>
            </w:r>
          </w:p>
        </w:tc>
        <w:tc>
          <w:tcPr>
            <w:tcW w:w="4980" w:type="dxa"/>
            <w:vAlign w:val="bottom"/>
            <w:gridSpan w:val="4"/>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898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2008 and 2007</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98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2008</w:t>
              </w:r>
            </w:hyperlink>
          </w:p>
        </w:tc>
        <w:tc>
          <w:tcPr>
            <w:tcW w:w="2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70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920" w:type="dxa"/>
            <w:vAlign w:val="bottom"/>
          </w:tcPr>
          <w:p>
            <w:pPr>
              <w:spacing w:after="0"/>
              <w:rPr>
                <w:sz w:val="17"/>
                <w:szCs w:val="17"/>
                <w:color w:val="auto"/>
              </w:rPr>
            </w:pPr>
          </w:p>
        </w:tc>
        <w:tc>
          <w:tcPr>
            <w:tcW w:w="2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53"/>
        </w:trPr>
        <w:tc>
          <w:tcPr>
            <w:tcW w:w="920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8980" w:type="dxa"/>
            <w:vAlign w:val="bottom"/>
            <w:gridSpan w:val="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652"/>
        </w:trPr>
        <w:tc>
          <w:tcPr>
            <w:tcW w:w="220" w:type="dxa"/>
            <w:vAlign w:val="bottom"/>
            <w:tcBorders>
              <w:bottom w:val="single" w:sz="8" w:color="808080"/>
            </w:tcBorders>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860" w:type="dxa"/>
            <w:vAlign w:val="bottom"/>
            <w:tcBorders>
              <w:top w:val="single" w:sz="8" w:color="0000EE"/>
              <w:bottom w:val="single" w:sz="8" w:color="808080"/>
            </w:tcBorders>
          </w:tcPr>
          <w:p>
            <w:pPr>
              <w:spacing w:after="0"/>
              <w:rPr>
                <w:sz w:val="24"/>
                <w:szCs w:val="24"/>
                <w:color w:val="auto"/>
              </w:rPr>
            </w:pPr>
          </w:p>
        </w:tc>
        <w:tc>
          <w:tcPr>
            <w:tcW w:w="840" w:type="dxa"/>
            <w:vAlign w:val="bottom"/>
            <w:tcBorders>
              <w:top w:val="single" w:sz="8" w:color="0000EE"/>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2008 and 2007, and the related statement of changes in net assets available for benefits for the year ended December 31, 2008. These financial statements are the responsibility of the Plan’s management. Our responsibility is to express an opinion on these financial statements based on our audits.</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December 31, 2008 and 2007, and the changes in its net assets available for benefits for the year ended December 31, 2008, in conformity with US generally accepted accounting principles.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2008,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19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$ 3,777,684</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$ 4,126,470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Participant loans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150,601</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3,928,285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4,283,472</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receivables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3,928,373</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4,295,456</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Refund of employee contributions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3,928,373</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4,282,120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6,282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$ 3,934,655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$ 4,289,783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60" w:type="dxa"/>
            <w:vAlign w:val="bottom"/>
          </w:tcPr>
          <w:p>
            <w:pPr>
              <w:jc w:val="center"/>
              <w:ind w:left="85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92"/>
              </w:rPr>
              <w:t>For Bargaining Unit Employees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89"/>
              </w:rPr>
              <w:t>Year Ended December 31, 2008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1,167,188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1,180,095</w:t>
            </w: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 from the Master Trust (Note 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1,122,333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NET DECREASE IN NET ASSETS AVAILABLE FOR BENEFITS</w:t>
            </w: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(355,128)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4,289,783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3,934,655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and subsidiaries (“Waste Management”), and its affiliates (as defined in the Plan).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board of directors of Waste Management, Inc. (“WMI” or the “Company”), the parent of Waste Management,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or the Company other than the Waste Management Pension Plan for Collectively Bargained Employees or such other plans as may from time to time be determined by the Administrative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Participants may also contribute amounts representing distributions from other qualified plans (“Rollover Contribution”). The Plan was amended in 2008 to permit employer contributions by participating subsidiaries, subject to the terms of the applicable collective bargaining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Plan, through its investments in the Master Trust, currently offers participants (a) six common/collective trust funds; (b) a Company common stock fund;</w:t>
      </w:r>
    </w:p>
    <w:p>
      <w:pPr>
        <w:spacing w:after="0" w:line="46" w:lineRule="exact"/>
        <w:rPr>
          <w:sz w:val="20"/>
          <w:szCs w:val="20"/>
          <w:color w:val="auto"/>
        </w:rPr>
      </w:pPr>
    </w:p>
    <w:p>
      <w:pPr>
        <w:ind w:left="5660" w:right="3960" w:hanging="5652"/>
        <w:spacing w:after="0" w:line="480" w:lineRule="auto"/>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self-managed account, which allows participants to select various securities sold on the New York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Stock Exchange, American Stock Exchange and NASDAQ; and (d) six target retirement-date funds, which are also common/collective trust funds. Several restrictions apply, and a minimum balance is required to participate in the self-managed account. The Plan utilizes cash equivalents to temporarily hold monies pending settlement for transactions initiated by participants.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the participant’s account based upon the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right="200" w:firstLine="8"/>
        <w:spacing w:after="0" w:line="271"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be made in equal periodic payments over the term of the loan and applied to principal using a level amortization over the repayment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2008, the Company elected to pay certain audit and legal fees of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70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8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paid to participants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cannot be calculated with a high degree of precision from available data or simply cannot be readily calculated based on generally accepted methodologies.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and the Company. The Master Trust’s assets are allocated among participating plans by assigning to each plan those transactions (primarily contributions, benefit payments and certain administrative expenses) which can be specifically identified, and by allocating among participating plans, in proportion to the fair value of the assets assigned to each plan, income and expenses resulting from the collective investment of the assets of the Master Trust.</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common/collective trust funds held by the Master Trust include a Stable Value Fund that invests in fully benefit-responsive guaranteed investment contracts (“GICs”) and synthetic investment contracts (“Synthetic GICs”). In accordance with FASB Staff Position AAG INV-1 and SOP 94-4-1, </w:t>
      </w:r>
      <w:r>
        <w:rPr>
          <w:rFonts w:ascii="Arial" w:cs="Arial" w:eastAsia="Arial" w:hAnsi="Arial"/>
          <w:sz w:val="16"/>
          <w:szCs w:val="16"/>
          <w:i w:val="1"/>
          <w:iCs w:val="1"/>
          <w:color w:val="auto"/>
        </w:rPr>
        <w:t>Reporting of Fully Benefit-Responsive Investment Contracts Held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Certain Investment Companies Subject to the AICPA Investment Company Guide and Defined-Contribution Health and Welfare and Pension Plans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“FSP”), the fully-benefit 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fully-benefit responsive investment contracts and an adjustment from fair value to contract value to arrive at Net Assets Available for Benefits. The fair value measurement of these investments is discussed further in Note 4. Short-term investments (included in amounts reported as common/collective trust funds herein) and loans to participants are stated at cost, which approximates fair value.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Effective January 1, 2008, the Plan adopted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defines and establishes a framework for measuring fair value and expands disclosures about fair value measurements. Furthermore, SFAS No. 157 specifies a hierarchy of valuation techniques based upon whether the inputs to those valuation techniques reflect assumptions other market participants would use based upon market data obtained from independent sources (observable inputs) or reflect the Plan’s own assumptions of market participant valuation (unobservable inputs).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adoption of SFAS No. 157 did not materially impact the Plan’s financial statements. The additional disclosures required as a result of the Plan’s adoption of SFAS No. 157 are included in Note 5.</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April 2009, FASB Staff Position SFAS No.157-4, </w:t>
      </w:r>
      <w:r>
        <w:rPr>
          <w:rFonts w:ascii="Arial" w:cs="Arial" w:eastAsia="Arial" w:hAnsi="Arial"/>
          <w:sz w:val="18"/>
          <w:szCs w:val="18"/>
          <w:i w:val="1"/>
          <w:iCs w:val="1"/>
          <w:color w:val="auto"/>
        </w:rPr>
        <w:t>Determining Fair Value When the Volume and Level of Activity for the Asset or Liability Have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Significantly Decreased and Identifying Transactions That Are Not Orderly </w:t>
      </w:r>
      <w:r>
        <w:rPr>
          <w:rFonts w:ascii="Arial" w:cs="Arial" w:eastAsia="Arial" w:hAnsi="Arial"/>
          <w:sz w:val="18"/>
          <w:szCs w:val="18"/>
          <w:color w:val="auto"/>
        </w:rPr>
        <w:t>(“FSP SFAS No. 157-4”) was issued. FSP SFAS No. 157-4 provides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(i) estimating fair value when the volume and level of activity for an asset or liability have significantly decreased in relation to normal market activity for the asset or liability; and (ii) identifying circumstances that indicate a transaction is not orderly. FSP SFAS No. 157-4 also amends SFAS No. 157 to require additional disclosures related to the inputs and valuation techniques used to measure fair value, changes in inputs and valuation techniques, if any, during the reporting period and the major debt and equity security types held by the reporting entity. FSP SFAS No. 157-4 is effective for interim and annual reporting periods ending after June 15, 2009. The Company is currently evaluating the impact of the provisions of FSP SFAS No. 157-4 on the Plan’s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2008 and 2007, the Plan’s beneficial interest in the net assets of the Master Trust was 0.35% and 0.30%, respectively.</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Common/collective trust funds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949,051,449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1,217,636,268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Corporate stocks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6,542,197</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12,793,377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 Management, Inc. common stock</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104,384,770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12,159,625</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17,447,414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115,515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1,072,253,556</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1,348,283,616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822,753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Cash, non-interest bearing</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20,046</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1,073,096,355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1,349,303,595</w:t>
            </w:r>
          </w:p>
        </w:tc>
        <w:tc>
          <w:tcPr>
            <w:tcW w:w="0" w:type="dxa"/>
            <w:vAlign w:val="bottom"/>
          </w:tcPr>
          <w:p>
            <w:pPr>
              <w:spacing w:after="0"/>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payable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737,112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Securities purchased payable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748,642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1,058,566</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1,072,347,713</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1,348,245,029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4,192,195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9,000,025</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1,076,539,908</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1,357,245,054</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w w:val="93"/>
              </w:rPr>
              <w:t>Respective interests in the net assets of the Master Trust by the Non-Union Plan and the Plan are as follows: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1,068,570,029</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1,344,118,559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3,777,684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1,072,347,713</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1,348,245,029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4,185,913</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4,192,195</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1,072,755,942</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1,353,110,921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3,783,966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1,076,539,908</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1,357,245,054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56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00" w:type="dxa"/>
            <w:vAlign w:val="bottom"/>
          </w:tcPr>
          <w:p>
            <w:pPr>
              <w:jc w:val="center"/>
              <w:ind w:left="2810"/>
              <w:spacing w:after="0"/>
              <w:rPr>
                <w:sz w:val="20"/>
                <w:szCs w:val="20"/>
                <w:color w:val="auto"/>
              </w:rPr>
            </w:pPr>
            <w:r>
              <w:rPr>
                <w:rFonts w:ascii="Arial" w:cs="Arial" w:eastAsia="Arial" w:hAnsi="Arial"/>
                <w:sz w:val="18"/>
                <w:szCs w:val="18"/>
                <w:color w:val="auto"/>
                <w:w w:val="88"/>
              </w:rPr>
              <w:t>Waste Management Retirement Savings Plan</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500" w:type="dxa"/>
            <w:vAlign w:val="bottom"/>
          </w:tcPr>
          <w:p>
            <w:pPr>
              <w:jc w:val="center"/>
              <w:ind w:left="2790"/>
              <w:spacing w:after="0"/>
              <w:rPr>
                <w:sz w:val="20"/>
                <w:szCs w:val="20"/>
                <w:color w:val="auto"/>
              </w:rPr>
            </w:pPr>
            <w:r>
              <w:rPr>
                <w:rFonts w:ascii="Arial" w:cs="Arial" w:eastAsia="Arial" w:hAnsi="Arial"/>
                <w:sz w:val="18"/>
                <w:szCs w:val="18"/>
                <w:color w:val="auto"/>
                <w:w w:val="92"/>
              </w:rPr>
              <w:t>For Bargaining Unit Employees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500" w:type="dxa"/>
            <w:vAlign w:val="bottom"/>
          </w:tcPr>
          <w:p>
            <w:pPr>
              <w:jc w:val="center"/>
              <w:ind w:left="2790"/>
              <w:spacing w:after="0"/>
              <w:rPr>
                <w:sz w:val="20"/>
                <w:szCs w:val="20"/>
                <w:color w:val="auto"/>
              </w:rPr>
            </w:pPr>
            <w:r>
              <w:rPr>
                <w:rFonts w:ascii="Arial" w:cs="Arial" w:eastAsia="Arial" w:hAnsi="Arial"/>
                <w:sz w:val="18"/>
                <w:szCs w:val="18"/>
                <w:color w:val="auto"/>
                <w:w w:val="90"/>
              </w:rPr>
              <w:t>Notes to Financial Statements (continued)</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w w:val="94"/>
              </w:rPr>
              <w:t>Income or loss from investments held in the Master Trust for the year ended December 31, 2008, was as follows: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Common/collective trust funds</w:t>
            </w:r>
          </w:p>
        </w:tc>
        <w:tc>
          <w:tcPr>
            <w:tcW w:w="1720" w:type="dxa"/>
            <w:vAlign w:val="bottom"/>
            <w:gridSpan w:val="2"/>
          </w:tcPr>
          <w:p>
            <w:pPr>
              <w:jc w:val="right"/>
              <w:ind w:right="490"/>
              <w:spacing w:after="0"/>
              <w:rPr>
                <w:sz w:val="20"/>
                <w:szCs w:val="20"/>
                <w:color w:val="auto"/>
              </w:rPr>
            </w:pPr>
            <w:r>
              <w:rPr>
                <w:rFonts w:ascii="Arial" w:cs="Arial" w:eastAsia="Arial" w:hAnsi="Arial"/>
                <w:sz w:val="18"/>
                <w:szCs w:val="18"/>
                <w:color w:val="auto"/>
                <w:w w:val="88"/>
              </w:rPr>
              <w:t>$ (303,868,091)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(7,083,616)</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Waste Management, Inc. common stock</w:t>
            </w:r>
          </w:p>
        </w:tc>
        <w:tc>
          <w:tcPr>
            <w:tcW w:w="1720" w:type="dxa"/>
            <w:vAlign w:val="bottom"/>
            <w:gridSpan w:val="2"/>
          </w:tcPr>
          <w:p>
            <w:pPr>
              <w:jc w:val="right"/>
              <w:ind w:right="550"/>
              <w:spacing w:after="0"/>
              <w:rPr>
                <w:sz w:val="20"/>
                <w:szCs w:val="20"/>
                <w:color w:val="auto"/>
              </w:rPr>
            </w:pPr>
            <w:r>
              <w:rPr>
                <w:rFonts w:ascii="Arial" w:cs="Arial" w:eastAsia="Arial" w:hAnsi="Arial"/>
                <w:sz w:val="18"/>
                <w:szCs w:val="18"/>
                <w:color w:val="auto"/>
              </w:rPr>
              <w:t>1,859,006</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(6,273,777)</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Publicly-traded partnership interests and other</w:t>
            </w:r>
          </w:p>
        </w:tc>
        <w:tc>
          <w:tcPr>
            <w:tcW w:w="1720" w:type="dxa"/>
            <w:vAlign w:val="bottom"/>
            <w:gridSpan w:val="2"/>
          </w:tcPr>
          <w:p>
            <w:pPr>
              <w:jc w:val="right"/>
              <w:ind w:right="490"/>
              <w:spacing w:after="0"/>
              <w:rPr>
                <w:sz w:val="20"/>
                <w:szCs w:val="20"/>
                <w:color w:val="auto"/>
              </w:rPr>
            </w:pPr>
            <w:r>
              <w:rPr>
                <w:rFonts w:ascii="Arial" w:cs="Arial" w:eastAsia="Arial" w:hAnsi="Arial"/>
                <w:sz w:val="18"/>
                <w:szCs w:val="18"/>
                <w:color w:val="auto"/>
              </w:rPr>
              <w:t>(89,181)</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depreciation in fair value of investments</w:t>
            </w:r>
          </w:p>
        </w:tc>
        <w:tc>
          <w:tcPr>
            <w:tcW w:w="1080" w:type="dxa"/>
            <w:vAlign w:val="bottom"/>
            <w:tcBorders>
              <w:top w:val="single" w:sz="8" w:color="auto"/>
            </w:tcBorders>
            <w:shd w:val="clear" w:color="auto" w:fill="CCEEFF"/>
          </w:tcPr>
          <w:p>
            <w:pPr>
              <w:spacing w:after="0"/>
              <w:rPr>
                <w:sz w:val="18"/>
                <w:szCs w:val="18"/>
                <w:color w:val="auto"/>
              </w:rPr>
            </w:pP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(315,455,659)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w:t>
            </w:r>
          </w:p>
        </w:tc>
        <w:tc>
          <w:tcPr>
            <w:tcW w:w="2900" w:type="dxa"/>
            <w:vAlign w:val="bottom"/>
            <w:gridSpan w:val="4"/>
          </w:tcPr>
          <w:p>
            <w:pPr>
              <w:jc w:val="right"/>
              <w:ind w:right="20"/>
              <w:spacing w:after="0"/>
              <w:rPr>
                <w:sz w:val="20"/>
                <w:szCs w:val="20"/>
                <w:color w:val="auto"/>
              </w:rPr>
            </w:pPr>
            <w:r>
              <w:rPr>
                <w:rFonts w:ascii="Arial" w:cs="Arial" w:eastAsia="Arial" w:hAnsi="Arial"/>
                <w:sz w:val="18"/>
                <w:szCs w:val="18"/>
                <w:color w:val="auto"/>
              </w:rPr>
              <w:t>9,701,095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 Waste Management, Inc. common stock</w:t>
            </w:r>
          </w:p>
        </w:tc>
        <w:tc>
          <w:tcPr>
            <w:tcW w:w="2900" w:type="dxa"/>
            <w:vAlign w:val="bottom"/>
            <w:gridSpan w:val="4"/>
          </w:tcPr>
          <w:p>
            <w:pPr>
              <w:jc w:val="right"/>
              <w:ind w:right="20"/>
              <w:spacing w:after="0"/>
              <w:rPr>
                <w:sz w:val="20"/>
                <w:szCs w:val="20"/>
                <w:color w:val="auto"/>
              </w:rPr>
            </w:pPr>
            <w:r>
              <w:rPr>
                <w:rFonts w:ascii="Arial" w:cs="Arial" w:eastAsia="Arial" w:hAnsi="Arial"/>
                <w:sz w:val="18"/>
                <w:szCs w:val="18"/>
                <w:color w:val="auto"/>
              </w:rPr>
              <w:t>3,292,983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investment loss</w:t>
            </w:r>
          </w:p>
        </w:tc>
        <w:tc>
          <w:tcPr>
            <w:tcW w:w="1720" w:type="dxa"/>
            <w:vAlign w:val="bottom"/>
            <w:gridSpan w:val="2"/>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(301,624,578)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3,342,902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Net investment loss</w:t>
            </w:r>
          </w:p>
        </w:tc>
        <w:tc>
          <w:tcPr>
            <w:tcW w:w="1720" w:type="dxa"/>
            <w:vAlign w:val="bottom"/>
            <w:gridSpan w:val="2"/>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(304,967,480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Non-Union Plan interest in net investment loss from the Master Trust</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(303,845,147)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Plan interest in net investment loss from the Master Trust</w:t>
            </w:r>
          </w:p>
        </w:tc>
        <w:tc>
          <w:tcPr>
            <w:tcW w:w="1720" w:type="dxa"/>
            <w:vAlign w:val="bottom"/>
            <w:gridSpan w:val="2"/>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(1,122,333)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(304,967,480)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common/collective trust funds held by the Master Trust include a Stable Value Fund that invests in fully benefit-responsive GICs and Synthetic GICs.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disclosures provide information about the nature of these investments and how fair values of these investments are measured.</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State Street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State Street measures the fair value of the Synthetic GICs included in the Plan’s Stable Value Fund as follows:</w:t>
      </w:r>
    </w:p>
    <w:p>
      <w:pPr>
        <w:spacing w:after="0" w:line="117" w:lineRule="exact"/>
        <w:rPr>
          <w:sz w:val="20"/>
          <w:szCs w:val="20"/>
          <w:color w:val="auto"/>
        </w:rPr>
      </w:pPr>
    </w:p>
    <w:p>
      <w:pPr>
        <w:ind w:left="460" w:hanging="452"/>
        <w:spacing w:after="0" w:line="276" w:lineRule="auto"/>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460" w:right="200" w:hanging="452"/>
        <w:spacing w:after="0" w:line="312"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Fair value of wrapper contracts </w:t>
      </w:r>
      <w:r>
        <w:rPr>
          <w:rFonts w:ascii="Arial" w:cs="Arial" w:eastAsia="Arial" w:hAnsi="Arial"/>
          <w:sz w:val="16"/>
          <w:szCs w:val="16"/>
          <w:color w:val="auto"/>
        </w:rPr>
        <w:t>— The fair value of wrapper contracts is determined using a market approach discounting methodology that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incorporates 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accordance with SFAS No. 157, the Plan classifies its investments into Level 1, which refers to investments measured at fair value using quoted prices from active markets for identical assets; Level 2, which refers to investments not traded on an active market but for which fair value measurements are based on readily available observable market inputs that are corroborated by market data; and Level 3, which refers to investments valued based on significant unobservable inputs that are not corroborated by market data. The Plan’s assets are classified within the fair value hierarchy based on the lowest level of inputs that is significant to the asset’s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a summary of investments measured at fair value on a recurring basis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Quoted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Prices in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Active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Master Trust Investments:</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Common/collective trust funds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949,051,449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949,051,449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6,542,197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6,542,197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Waste Management, Inc. common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104,384,770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104,384,770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12,159,625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12,159,625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Publicly-traded partnership interests and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115,515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115,515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Master Trust Investments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1,072,253,556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123,202,107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949,051,449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Non-Master Trust Investments:</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 loans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150,601</w:t>
            </w:r>
          </w:p>
        </w:tc>
        <w:tc>
          <w:tcPr>
            <w:tcW w:w="0" w:type="dxa"/>
            <w:vAlign w:val="bottom"/>
          </w:tcPr>
          <w:p>
            <w:pPr>
              <w:spacing w:after="0"/>
              <w:rPr>
                <w:sz w:val="1"/>
                <w:szCs w:val="1"/>
                <w:color w:val="auto"/>
              </w:rPr>
            </w:pPr>
          </w:p>
        </w:tc>
      </w:tr>
      <w:tr>
        <w:trPr>
          <w:trHeight w:val="20"/>
        </w:trPr>
        <w:tc>
          <w:tcPr>
            <w:tcW w:w="5560" w:type="dxa"/>
            <w:vAlign w:val="bottom"/>
            <w:gridSpan w:val="3"/>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00" w:type="dxa"/>
            <w:vAlign w:val="bottom"/>
            <w:gridSpan w:val="8"/>
          </w:tcPr>
          <w:p>
            <w:pPr>
              <w:spacing w:after="0"/>
              <w:rPr>
                <w:sz w:val="20"/>
                <w:szCs w:val="20"/>
                <w:color w:val="auto"/>
              </w:rPr>
            </w:pPr>
            <w:r>
              <w:rPr>
                <w:rFonts w:ascii="Arial" w:cs="Arial" w:eastAsia="Arial" w:hAnsi="Arial"/>
                <w:sz w:val="18"/>
                <w:szCs w:val="18"/>
                <w:color w:val="auto"/>
              </w:rPr>
              <w:t>The following is a reconciliation for assets for which Level 3 inputs were used in determining fair value: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Issuances, repayments and settlements, net</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2008 and 2007: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$ 3,934,655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$ 4,289,783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jc w:val="right"/>
              <w:ind w:right="1550"/>
              <w:spacing w:after="0"/>
              <w:rPr>
                <w:sz w:val="20"/>
                <w:szCs w:val="20"/>
                <w:color w:val="auto"/>
              </w:rPr>
            </w:pPr>
            <w:r>
              <w:rPr>
                <w:rFonts w:ascii="Arial" w:cs="Arial" w:eastAsia="Arial" w:hAnsi="Arial"/>
                <w:sz w:val="18"/>
                <w:szCs w:val="18"/>
                <w:color w:val="auto"/>
                <w:w w:val="93"/>
              </w:rPr>
              <w:t>Less: adjustment from fair value to contract value for fully benefit-responsive investment contracts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(6,282)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$ 3,928,373</w:t>
            </w: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$ 4,282,120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jc w:val="right"/>
              <w:ind w:right="309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decrease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per the financial statements</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 (355,128)</w:t>
            </w: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at December 31, 2007</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7,663</w:t>
            </w:r>
          </w:p>
        </w:tc>
      </w:tr>
      <w:tr>
        <w:trPr>
          <w:trHeight w:val="216"/>
        </w:trPr>
        <w:tc>
          <w:tcPr>
            <w:tcW w:w="10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 at December 31, 2008</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(6,282)</w:t>
            </w:r>
          </w:p>
        </w:tc>
      </w:tr>
      <w:tr>
        <w:trPr>
          <w:trHeight w:val="223"/>
        </w:trPr>
        <w:tc>
          <w:tcPr>
            <w:tcW w:w="10560" w:type="dxa"/>
            <w:vAlign w:val="bottom"/>
          </w:tcPr>
          <w:p>
            <w:pPr>
              <w:spacing w:after="0"/>
              <w:rPr>
                <w:sz w:val="20"/>
                <w:szCs w:val="20"/>
                <w:color w:val="auto"/>
              </w:rPr>
            </w:pPr>
            <w:r>
              <w:rPr>
                <w:rFonts w:ascii="Arial" w:cs="Arial" w:eastAsia="Arial" w:hAnsi="Arial"/>
                <w:sz w:val="18"/>
                <w:szCs w:val="18"/>
                <w:color w:val="auto"/>
              </w:rPr>
              <w:t>Net decrease in assets available for benefits per the Form 5500</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(353,747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0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Bond Fund Performance</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One of the common/collective trust fund investment options available to participants of the Plan is a bond market fund. During 2007, there was a significant decline in the market value of the bond market fund, and effective October 1, 2007, State Street changed the investment strategy of the bond market fund to a passively managed strategy designed to mirror the performance of the index. A portion of the bond market fund’s decline in market value can be attributed to changes in general market conditions for this type of investment. However, given the magnitude of the divergence of the value of the bond market fund from its established benchmark, the Plan’s Investment Committee has determined that it is also appropriate to consider whether the investments held by the bond market fund were consistent with the risk profile defined for this investment option and whether the bond market fund was managed in accordance with the Plan’s investment policy. As a result, the Plan has engaged an independent fiduciary to act on behalf of the Plan and its participants with respect to these considerations and related assessments of any potential remedies, including, but not limited to, litigation or settlement of potential litigation to recover Plan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Certain investments of the Plan are managed by State Street. State Street is the trustee of the Plan and,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Plan: 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Identity of Issue</w:t>
            </w:r>
          </w:p>
        </w:tc>
        <w:tc>
          <w:tcPr>
            <w:tcW w:w="22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 of Investment</w:t>
            </w:r>
          </w:p>
        </w:tc>
        <w:tc>
          <w:tcPr>
            <w:tcW w:w="220" w:type="dxa"/>
            <w:vAlign w:val="bottom"/>
          </w:tcPr>
          <w:p>
            <w:pPr>
              <w:spacing w:after="0"/>
              <w:rPr>
                <w:sz w:val="14"/>
                <w:szCs w:val="14"/>
                <w:color w:val="auto"/>
              </w:rPr>
            </w:pPr>
          </w:p>
        </w:tc>
        <w:tc>
          <w:tcPr>
            <w:tcW w:w="39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Current Value</w:t>
            </w:r>
          </w:p>
        </w:tc>
      </w:tr>
      <w:tr>
        <w:trPr>
          <w:trHeight w:val="195"/>
        </w:trPr>
        <w:tc>
          <w:tcPr>
            <w:tcW w:w="20" w:type="dxa"/>
            <w:vAlign w:val="bottom"/>
          </w:tcPr>
          <w:p>
            <w:pPr>
              <w:spacing w:after="0"/>
              <w:rPr>
                <w:sz w:val="16"/>
                <w:szCs w:val="16"/>
                <w:color w:val="auto"/>
              </w:rPr>
            </w:pPr>
          </w:p>
        </w:tc>
        <w:tc>
          <w:tcPr>
            <w:tcW w:w="3460" w:type="dxa"/>
            <w:vAlign w:val="bottom"/>
            <w:gridSpan w:val="3"/>
          </w:tcPr>
          <w:p>
            <w:pPr>
              <w:spacing w:after="0" w:line="195" w:lineRule="exact"/>
              <w:rPr>
                <w:sz w:val="20"/>
                <w:szCs w:val="20"/>
                <w:color w:val="auto"/>
              </w:rPr>
            </w:pPr>
            <w:r>
              <w:rPr>
                <w:rFonts w:ascii="Arial" w:cs="Arial" w:eastAsia="Arial" w:hAnsi="Arial"/>
                <w:sz w:val="18"/>
                <w:szCs w:val="18"/>
                <w:color w:val="auto"/>
              </w:rPr>
              <w:t>*Participant Loans</w:t>
            </w:r>
          </w:p>
        </w:tc>
        <w:tc>
          <w:tcPr>
            <w:tcW w:w="2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0"/>
              </w:rPr>
              <w:t>Various maturity dates with interest rates</w:t>
            </w:r>
          </w:p>
        </w:tc>
        <w:tc>
          <w:tcPr>
            <w:tcW w:w="220" w:type="dxa"/>
            <w:vAlign w:val="bottom"/>
          </w:tcPr>
          <w:p>
            <w:pPr>
              <w:spacing w:after="0"/>
              <w:rPr>
                <w:sz w:val="16"/>
                <w:szCs w:val="16"/>
                <w:color w:val="auto"/>
              </w:rPr>
            </w:pPr>
          </w:p>
        </w:tc>
        <w:tc>
          <w:tcPr>
            <w:tcW w:w="3980" w:type="dxa"/>
            <w:vAlign w:val="bottom"/>
          </w:tcPr>
          <w:p>
            <w:pPr>
              <w:ind w:left="1540"/>
              <w:spacing w:after="0" w:line="195" w:lineRule="exact"/>
              <w:rPr>
                <w:sz w:val="20"/>
                <w:szCs w:val="20"/>
                <w:color w:val="auto"/>
              </w:rPr>
            </w:pPr>
            <w:r>
              <w:rPr>
                <w:rFonts w:ascii="Arial" w:cs="Arial" w:eastAsia="Arial" w:hAnsi="Arial"/>
                <w:sz w:val="18"/>
                <w:szCs w:val="18"/>
                <w:color w:val="auto"/>
              </w:rPr>
              <w:t>$150,601</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ranging from 5.0% to 9.25%</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40" w:type="dxa"/>
            <w:vAlign w:val="bottom"/>
            <w:gridSpan w:val="2"/>
          </w:tcPr>
          <w:p>
            <w:pPr>
              <w:jc w:val="right"/>
              <w:ind w:right="1336"/>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WASTE MANAGEMENT RETIREMENT SAVINGS PLAN FOR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BARGAINING UNIT EMPLOYEES</w:t>
      </w:r>
    </w:p>
    <w:p>
      <w:pPr>
        <w:spacing w:after="0" w:line="211" w:lineRule="exact"/>
        <w:rPr>
          <w:sz w:val="20"/>
          <w:szCs w:val="20"/>
          <w:color w:val="auto"/>
        </w:rPr>
      </w:pPr>
    </w:p>
    <w:p>
      <w:pPr>
        <w:spacing w:after="0"/>
        <w:tabs>
          <w:tab w:leader="none" w:pos="5120" w:val="left"/>
          <w:tab w:leader="none" w:pos="5600" w:val="left"/>
        </w:tabs>
        <w:rPr>
          <w:sz w:val="20"/>
          <w:szCs w:val="20"/>
          <w:color w:val="auto"/>
        </w:rPr>
      </w:pPr>
      <w:r>
        <w:rPr>
          <w:rFonts w:ascii="Arial" w:cs="Arial" w:eastAsia="Arial" w:hAnsi="Arial"/>
          <w:sz w:val="18"/>
          <w:szCs w:val="18"/>
          <w:color w:val="auto"/>
        </w:rPr>
        <w:t>Date: June 24,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2967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Krista DelSota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Compensation, Benefits and Human Resources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Information Management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Administrative Committee of the Waste Management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Employee Benefit Plans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700" w:type="dxa"/>
            <w:vAlign w:val="bottom"/>
          </w:tcPr>
          <w:p>
            <w:pPr>
              <w:ind w:left="41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07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0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ectPr>
          <w:pgSz w:w="11900" w:h="16838" w:orient="portrait"/>
          <w:cols w:equalWidth="0" w:num="1">
            <w:col w:w="11420"/>
          </w:cols>
          <w:pgMar w:left="240" w:top="958"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333-153363) pertaining to the Waste Management Retirement Savings Plan for Bargaining Unit Employees of our report dated June 24, 2009, with respect to the financial statements and schedule of the Waste Management Retirement Savings Plan for Bargaining Unit Employees included in this Annual Report (Form 11-K) for the year ended December 31, 2008.</w:t>
      </w:r>
    </w:p>
    <w:p>
      <w:pPr>
        <w:spacing w:after="0" w:line="14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2019-12-10T07:45:36Z</dcterms:created>
  <dcterms:modified xsi:type="dcterms:W3CDTF">2019-12-10T07:45:36Z</dcterms:modified>
</cp:coreProperties>
</file>