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440" w:right="9160" w:hanging="7"/>
        <w:spacing w:after="0" w:line="220" w:lineRule="exact"/>
        <w:tabs>
          <w:tab w:leader="none" w:pos="1027"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jc w:val="both"/>
        <w:ind w:left="920" w:right="8260" w:hanging="575"/>
        <w:spacing w:after="0" w:line="342"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Cascade Investment, L.L.C.</w:t>
      </w:r>
    </w:p>
    <w:p>
      <w:pPr>
        <w:spacing w:after="0" w:line="150" w:lineRule="exact"/>
        <w:rPr>
          <w:rFonts w:ascii="Arial" w:cs="Arial" w:eastAsia="Arial" w:hAnsi="Arial"/>
          <w:sz w:val="16"/>
          <w:szCs w:val="16"/>
          <w:color w:val="auto"/>
        </w:rPr>
      </w:pPr>
    </w:p>
    <w:p>
      <w:pPr>
        <w:ind w:left="920" w:hanging="57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580" w:hanging="668"/>
        <w:spacing w:after="0" w:line="207" w:lineRule="exact"/>
        <w:tabs>
          <w:tab w:leader="none" w:pos="1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580" w:hanging="668"/>
        <w:spacing w:after="0" w:line="207" w:lineRule="exact"/>
        <w:tabs>
          <w:tab w:leader="none" w:pos="1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920" w:right="7700" w:hanging="575"/>
        <w:spacing w:after="0" w:line="308"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-462915</wp:posOffset>
            </wp:positionV>
            <wp:extent cx="65576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-771525</wp:posOffset>
            </wp:positionV>
            <wp:extent cx="61290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-951865</wp:posOffset>
            </wp:positionV>
            <wp:extent cx="61290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-1431925</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4"/>
        </w:trPr>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rPr>
              <w:t xml:space="preserve">16,600,672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6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89"/>
        </w:trPr>
        <w:tc>
          <w:tcPr>
            <w:tcW w:w="1180" w:type="dxa"/>
            <w:vAlign w:val="bottom"/>
          </w:tcPr>
          <w:p>
            <w:pPr>
              <w:spacing w:after="0" w:line="189"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6"/>
                <w:szCs w:val="16"/>
                <w:color w:val="auto"/>
              </w:rPr>
            </w:pPr>
          </w:p>
        </w:tc>
        <w:tc>
          <w:tcPr>
            <w:tcW w:w="9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2"/>
                <w:szCs w:val="22"/>
                <w:color w:val="auto"/>
              </w:rPr>
            </w:pP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92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21"/>
                <w:szCs w:val="21"/>
                <w:color w:val="auto"/>
              </w:rPr>
            </w:pPr>
          </w:p>
        </w:tc>
        <w:tc>
          <w:tcPr>
            <w:tcW w:w="9200" w:type="dxa"/>
            <w:vAlign w:val="bottom"/>
          </w:tcPr>
          <w:p>
            <w:pPr>
              <w:spacing w:after="0" w:line="243" w:lineRule="exact"/>
              <w:rPr>
                <w:sz w:val="20"/>
                <w:szCs w:val="20"/>
                <w:color w:val="auto"/>
              </w:rPr>
            </w:pPr>
            <w:r>
              <w:rPr>
                <w:rFonts w:ascii="Arial" w:cs="Arial" w:eastAsia="Arial" w:hAnsi="Arial"/>
                <w:sz w:val="17"/>
                <w:szCs w:val="17"/>
                <w:color w:val="auto"/>
              </w:rPr>
              <w:t xml:space="preserve">16,600,672 </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81"/>
        </w:trPr>
        <w:tc>
          <w:tcPr>
            <w:tcW w:w="11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7"/>
                <w:szCs w:val="7"/>
                <w:color w:val="auto"/>
              </w:rPr>
            </w:pPr>
          </w:p>
        </w:tc>
        <w:tc>
          <w:tcPr>
            <w:tcW w:w="9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040" w:right="7340" w:hanging="561"/>
        <w:spacing w:after="0" w:line="277" w:lineRule="auto"/>
        <w:tabs>
          <w:tab w:leader="none" w:pos="204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224" w:lineRule="exact"/>
        <w:rPr>
          <w:rFonts w:ascii="Arial" w:cs="Arial" w:eastAsia="Arial" w:hAnsi="Arial"/>
          <w:sz w:val="18"/>
          <w:szCs w:val="18"/>
          <w:color w:val="auto"/>
        </w:rPr>
      </w:pPr>
    </w:p>
    <w:p>
      <w:pPr>
        <w:ind w:left="920" w:right="5520" w:hanging="575"/>
        <w:spacing w:after="0" w:line="289"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16,600,672 </w:t>
      </w:r>
      <w:r>
        <w:rPr>
          <w:rFonts w:ascii="Arial" w:cs="Arial" w:eastAsia="Arial" w:hAnsi="Arial"/>
          <w:sz w:val="29"/>
          <w:szCs w:val="29"/>
          <w:color w:val="auto"/>
          <w:vertAlign w:val="superscript"/>
        </w:rPr>
        <w:t>(1)</w:t>
      </w:r>
    </w:p>
    <w:p>
      <w:pPr>
        <w:spacing w:after="0" w:line="59" w:lineRule="exact"/>
        <w:rPr>
          <w:rFonts w:ascii="Arial" w:cs="Arial" w:eastAsia="Arial" w:hAnsi="Arial"/>
          <w:sz w:val="18"/>
          <w:szCs w:val="18"/>
          <w:color w:val="auto"/>
        </w:rPr>
      </w:pPr>
    </w:p>
    <w:p>
      <w:pPr>
        <w:ind w:left="920" w:hanging="575"/>
        <w:spacing w:after="0" w:line="207" w:lineRule="exact"/>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4.0% </w:t>
      </w:r>
      <w:r>
        <w:rPr>
          <w:rFonts w:ascii="Arial" w:cs="Arial" w:eastAsia="Arial" w:hAnsi="Arial"/>
          <w:sz w:val="29"/>
          <w:szCs w:val="29"/>
          <w:color w:val="auto"/>
          <w:vertAlign w:val="superscript"/>
        </w:rPr>
        <w:t>(2)</w:t>
      </w:r>
    </w:p>
    <w:p>
      <w:pPr>
        <w:spacing w:after="0" w:line="178" w:lineRule="exact"/>
        <w:rPr>
          <w:rFonts w:ascii="Arial" w:cs="Arial" w:eastAsia="Arial" w:hAnsi="Arial"/>
          <w:sz w:val="18"/>
          <w:szCs w:val="18"/>
          <w:color w:val="auto"/>
        </w:rPr>
      </w:pPr>
    </w:p>
    <w:p>
      <w:pPr>
        <w:ind w:left="920" w:hanging="575"/>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260" w:right="40" w:hanging="252"/>
        <w:spacing w:after="0" w:line="194" w:lineRule="auto"/>
        <w:tabs>
          <w:tab w:leader="none" w:pos="2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All shares of the common stock (the “Common Stock”) of Waste Management, Inc. (the “Issuer”) held by Cascade Investment, L.L.C. (“Cascade”) may be deemed to be beneficially owned by William H. Gates III as the sole member of Cascade.</w:t>
      </w:r>
    </w:p>
    <w:p>
      <w:pPr>
        <w:spacing w:after="0" w:line="201" w:lineRule="exact"/>
        <w:rPr>
          <w:rFonts w:ascii="Arial" w:cs="Arial" w:eastAsia="Arial" w:hAnsi="Arial"/>
          <w:sz w:val="30"/>
          <w:szCs w:val="30"/>
          <w:color w:val="auto"/>
          <w:vertAlign w:val="superscript"/>
        </w:rPr>
      </w:pPr>
    </w:p>
    <w:p>
      <w:pPr>
        <w:ind w:left="260" w:right="80" w:hanging="252"/>
        <w:spacing w:after="0" w:line="194" w:lineRule="auto"/>
        <w:tabs>
          <w:tab w:leader="none" w:pos="26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Based on 418,316,357 shares of the Issuer’s Common Stock outstanding as of October 21, 2021, as reported in the Issuer’s Form 10-Q filed on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-847725</wp:posOffset>
            </wp:positionV>
            <wp:extent cx="6557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-1293495</wp:posOffset>
            </wp:positionV>
            <wp:extent cx="65576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-1765300</wp:posOffset>
            </wp:positionV>
            <wp:extent cx="65576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-2073910</wp:posOffset>
            </wp:positionV>
            <wp:extent cx="65576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-2545080</wp:posOffset>
            </wp:positionV>
            <wp:extent cx="5846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17830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920" w:hanging="57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Bill &amp; Melinda Gates Foundation Trust</w:t>
      </w:r>
    </w:p>
    <w:p>
      <w:pPr>
        <w:spacing w:after="0" w:line="237" w:lineRule="exact"/>
        <w:rPr>
          <w:rFonts w:ascii="Arial" w:cs="Arial" w:eastAsia="Arial" w:hAnsi="Arial"/>
          <w:sz w:val="18"/>
          <w:szCs w:val="18"/>
          <w:color w:val="auto"/>
        </w:rPr>
      </w:pPr>
    </w:p>
    <w:p>
      <w:pPr>
        <w:ind w:left="920" w:hanging="575"/>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53" w:lineRule="exact"/>
        <w:rPr>
          <w:rFonts w:ascii="Arial" w:cs="Arial" w:eastAsia="Arial" w:hAnsi="Arial"/>
          <w:sz w:val="16"/>
          <w:szCs w:val="16"/>
          <w:color w:val="auto"/>
        </w:rPr>
      </w:pPr>
    </w:p>
    <w:p>
      <w:pPr>
        <w:ind w:left="1580" w:hanging="668"/>
        <w:spacing w:after="0" w:line="207" w:lineRule="exact"/>
        <w:tabs>
          <w:tab w:leader="none" w:pos="15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580" w:hanging="668"/>
        <w:spacing w:after="0" w:line="207" w:lineRule="exact"/>
        <w:tabs>
          <w:tab w:leader="none" w:pos="15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920" w:right="7620" w:hanging="575"/>
        <w:spacing w:after="0" w:line="308"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Citizenship or Place of Organization State of Washington</w:t>
      </w:r>
    </w:p>
    <w:p>
      <w:pPr>
        <w:spacing w:after="0" w:line="213" w:lineRule="exact"/>
        <w:rPr>
          <w:rFonts w:ascii="Arial" w:cs="Arial" w:eastAsia="Arial" w:hAnsi="Arial"/>
          <w:sz w:val="17"/>
          <w:szCs w:val="17"/>
          <w:color w:val="auto"/>
        </w:rPr>
      </w:pPr>
    </w:p>
    <w:p>
      <w:pPr>
        <w:ind w:left="2040" w:right="7780" w:hanging="561"/>
        <w:spacing w:after="0" w:line="277" w:lineRule="auto"/>
        <w:tabs>
          <w:tab w:leader="none" w:pos="20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-1905</wp:posOffset>
            </wp:positionV>
            <wp:extent cx="58464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-902335</wp:posOffset>
            </wp:positionV>
            <wp:extent cx="65576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-1210945</wp:posOffset>
            </wp:positionV>
            <wp:extent cx="61290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-1390650</wp:posOffset>
            </wp:positionV>
            <wp:extent cx="61290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-1870710</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160"/>
          </w:cols>
          <w:pgMar w:left="320" w:top="1124" w:right="41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06" w:lineRule="auto"/>
        <w:rPr>
          <w:sz w:val="20"/>
          <w:szCs w:val="20"/>
          <w:color w:val="auto"/>
        </w:rPr>
      </w:pPr>
      <w:r>
        <w:rPr>
          <w:rFonts w:ascii="Arial" w:cs="Arial" w:eastAsia="Arial" w:hAnsi="Arial"/>
          <w:sz w:val="18"/>
          <w:szCs w:val="18"/>
          <w:color w:val="auto"/>
        </w:rPr>
        <w:t xml:space="preserve">Shares </w:t>
      </w:r>
      <w:r>
        <w:rPr>
          <w:rFonts w:ascii="Arial" w:cs="Arial" w:eastAsia="Arial" w:hAnsi="Arial"/>
          <w:sz w:val="35"/>
          <w:szCs w:val="35"/>
          <w:color w:val="auto"/>
          <w:vertAlign w:val="superscript"/>
        </w:rPr>
        <w:t>6.</w:t>
      </w:r>
      <w:r>
        <w:rPr>
          <w:rFonts w:ascii="Arial" w:cs="Arial" w:eastAsia="Arial" w:hAnsi="Arial"/>
          <w:sz w:val="18"/>
          <w:szCs w:val="18"/>
          <w:color w:val="auto"/>
        </w:rPr>
        <w:t xml:space="preserve"> Beneficially Owned by</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Each</w:t>
      </w:r>
      <w:r>
        <w:rPr>
          <w:sz w:val="20"/>
          <w:szCs w:val="20"/>
          <w:color w:val="auto"/>
        </w:rPr>
        <w:tab/>
      </w:r>
      <w:r>
        <w:rPr>
          <w:rFonts w:ascii="Arial" w:cs="Arial" w:eastAsia="Arial" w:hAnsi="Arial"/>
          <w:sz w:val="16"/>
          <w:szCs w:val="16"/>
          <w:color w:val="auto"/>
        </w:rPr>
        <w:t>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8464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58464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1620" w:space="420"/>
            <w:col w:w="9120"/>
          </w:cols>
          <w:pgMar w:left="320" w:top="1124" w:right="419" w:bottom="1440" w:gutter="0" w:footer="0" w:header="0"/>
          <w:type w:val="continuous"/>
        </w:sectPr>
      </w:pPr>
    </w:p>
    <w:p>
      <w:pPr>
        <w:ind w:left="2040" w:right="7260" w:hanging="561"/>
        <w:spacing w:after="0" w:line="289" w:lineRule="auto"/>
        <w:tabs>
          <w:tab w:leader="none" w:pos="2040" w:val="left"/>
        </w:tabs>
        <w:numPr>
          <w:ilvl w:val="2"/>
          <w:numId w:val="7"/>
        </w:numPr>
        <w:rPr>
          <w:rFonts w:ascii="Arial" w:cs="Arial" w:eastAsia="Arial" w:hAnsi="Arial"/>
          <w:sz w:val="18"/>
          <w:szCs w:val="18"/>
          <w:color w:val="auto"/>
        </w:rPr>
      </w:pPr>
      <w:r>
        <w:rPr>
          <w:rFonts w:ascii="Arial" w:cs="Arial" w:eastAsia="Arial" w:hAnsi="Arial"/>
          <w:sz w:val="18"/>
          <w:szCs w:val="18"/>
          <w:color w:val="auto"/>
        </w:rPr>
        <w:t xml:space="preserve">Shared Dispositive Power 18,633,672 </w:t>
      </w:r>
      <w:r>
        <w:rPr>
          <w:rFonts w:ascii="Arial" w:cs="Arial" w:eastAsia="Arial" w:hAnsi="Arial"/>
          <w:sz w:val="29"/>
          <w:szCs w:val="29"/>
          <w:color w:val="auto"/>
          <w:vertAlign w:val="superscript"/>
        </w:rPr>
        <w:t>(1)</w:t>
      </w:r>
    </w:p>
    <w:p>
      <w:pPr>
        <w:spacing w:after="0" w:line="91" w:lineRule="exact"/>
        <w:rPr>
          <w:rFonts w:ascii="Arial" w:cs="Arial" w:eastAsia="Arial" w:hAnsi="Arial"/>
          <w:sz w:val="18"/>
          <w:szCs w:val="18"/>
          <w:color w:val="auto"/>
        </w:rPr>
      </w:pPr>
    </w:p>
    <w:p>
      <w:pPr>
        <w:ind w:left="920" w:right="5440" w:hanging="575"/>
        <w:spacing w:after="0" w:line="289" w:lineRule="auto"/>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18,633,672 </w:t>
      </w:r>
      <w:r>
        <w:rPr>
          <w:rFonts w:ascii="Arial" w:cs="Arial" w:eastAsia="Arial" w:hAnsi="Arial"/>
          <w:sz w:val="29"/>
          <w:szCs w:val="29"/>
          <w:color w:val="auto"/>
          <w:vertAlign w:val="superscript"/>
        </w:rPr>
        <w:t>(1)</w:t>
      </w:r>
    </w:p>
    <w:p>
      <w:pPr>
        <w:spacing w:after="0" w:line="59" w:lineRule="exact"/>
        <w:rPr>
          <w:rFonts w:ascii="Arial" w:cs="Arial" w:eastAsia="Arial" w:hAnsi="Arial"/>
          <w:sz w:val="18"/>
          <w:szCs w:val="18"/>
          <w:color w:val="auto"/>
        </w:rPr>
      </w:pPr>
    </w:p>
    <w:p>
      <w:pPr>
        <w:ind w:left="920" w:hanging="575"/>
        <w:spacing w:after="0" w:line="207" w:lineRule="exact"/>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4.5% </w:t>
      </w:r>
      <w:r>
        <w:rPr>
          <w:rFonts w:ascii="Arial" w:cs="Arial" w:eastAsia="Arial" w:hAnsi="Arial"/>
          <w:sz w:val="29"/>
          <w:szCs w:val="29"/>
          <w:color w:val="auto"/>
          <w:vertAlign w:val="superscript"/>
        </w:rPr>
        <w:t>(2)</w:t>
      </w:r>
    </w:p>
    <w:p>
      <w:pPr>
        <w:spacing w:after="0" w:line="178" w:lineRule="exact"/>
        <w:rPr>
          <w:rFonts w:ascii="Arial" w:cs="Arial" w:eastAsia="Arial" w:hAnsi="Arial"/>
          <w:sz w:val="18"/>
          <w:szCs w:val="18"/>
          <w:color w:val="auto"/>
        </w:rPr>
      </w:pPr>
    </w:p>
    <w:p>
      <w:pPr>
        <w:ind w:left="920" w:hanging="575"/>
        <w:spacing w:after="0"/>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260" w:right="420" w:hanging="252"/>
        <w:spacing w:after="0" w:line="209" w:lineRule="auto"/>
        <w:tabs>
          <w:tab w:leader="none" w:pos="2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For purposes of Rule 13d-3 under the Securities Exchange Act of 1934, as amended (the “Exchange Act”), all shares of Issuer Common Stock beneficially owned by Bill &amp; Melinda Gates Foundation Trust (the “Trust”) may be deemed to be beneficially owned by William H. Gates III and Melinda French Gates, as Co-Trustees of the Trust.</w:t>
      </w:r>
    </w:p>
    <w:p>
      <w:pPr>
        <w:spacing w:after="0" w:line="203" w:lineRule="exact"/>
        <w:rPr>
          <w:rFonts w:ascii="Arial" w:cs="Arial" w:eastAsia="Arial" w:hAnsi="Arial"/>
          <w:sz w:val="30"/>
          <w:szCs w:val="30"/>
          <w:color w:val="auto"/>
          <w:vertAlign w:val="superscript"/>
        </w:rPr>
      </w:pPr>
    </w:p>
    <w:p>
      <w:pPr>
        <w:ind w:left="260" w:hanging="252"/>
        <w:spacing w:after="0" w:line="194" w:lineRule="auto"/>
        <w:tabs>
          <w:tab w:leader="none" w:pos="2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Based on 418,316,357 shares of the Issuer’s Common Stock outstanding as of October 21, 2021, as reported in the Issuer’s Form 10-Q filed on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-984885</wp:posOffset>
            </wp:positionV>
            <wp:extent cx="65576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-1430655</wp:posOffset>
            </wp:positionV>
            <wp:extent cx="65576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-1902460</wp:posOffset>
            </wp:positionV>
            <wp:extent cx="65576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-2211070</wp:posOffset>
            </wp:positionV>
            <wp:extent cx="6557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-2682240</wp:posOffset>
            </wp:positionV>
            <wp:extent cx="58464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124" w:right="41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920" w:right="8260" w:hanging="575"/>
        <w:spacing w:after="0" w:line="34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Names of Reporting Persons William H. Gates III</w:t>
      </w:r>
    </w:p>
    <w:p>
      <w:pPr>
        <w:spacing w:after="0" w:line="150" w:lineRule="exact"/>
        <w:rPr>
          <w:rFonts w:ascii="Arial" w:cs="Arial" w:eastAsia="Arial" w:hAnsi="Arial"/>
          <w:sz w:val="16"/>
          <w:szCs w:val="16"/>
          <w:color w:val="auto"/>
        </w:rPr>
      </w:pPr>
    </w:p>
    <w:p>
      <w:pPr>
        <w:ind w:left="920" w:hanging="57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580" w:hanging="668"/>
        <w:spacing w:after="0" w:line="207" w:lineRule="exact"/>
        <w:tabs>
          <w:tab w:leader="none" w:pos="15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580" w:hanging="668"/>
        <w:spacing w:after="0" w:line="207" w:lineRule="exact"/>
        <w:tabs>
          <w:tab w:leader="none" w:pos="15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920" w:right="7700" w:hanging="575"/>
        <w:spacing w:after="0" w:line="342" w:lineRule="auto"/>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-31750</wp:posOffset>
            </wp:positionV>
            <wp:extent cx="65576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-477520</wp:posOffset>
            </wp:positionV>
            <wp:extent cx="65576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-786130</wp:posOffset>
            </wp:positionV>
            <wp:extent cx="61290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-966470</wp:posOffset>
            </wp:positionV>
            <wp:extent cx="61290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-1446530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8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92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94"/>
        </w:trPr>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0" w:type="dxa"/>
            <w:vAlign w:val="bottom"/>
            <w:tcBorders>
              <w:bottom w:val="single" w:sz="8" w:color="auto"/>
            </w:tcBorders>
          </w:tcPr>
          <w:p>
            <w:pPr>
              <w:spacing w:after="0" w:line="294" w:lineRule="exact"/>
              <w:rPr>
                <w:sz w:val="20"/>
                <w:szCs w:val="20"/>
                <w:color w:val="auto"/>
              </w:rPr>
            </w:pPr>
            <w:r>
              <w:rPr>
                <w:rFonts w:ascii="Arial" w:cs="Arial" w:eastAsia="Arial" w:hAnsi="Arial"/>
                <w:sz w:val="18"/>
                <w:szCs w:val="18"/>
                <w:color w:val="auto"/>
              </w:rPr>
              <w:t xml:space="preserve">16,600,672 </w:t>
            </w:r>
            <w:r>
              <w:rPr>
                <w:rFonts w:ascii="Arial" w:cs="Arial" w:eastAsia="Arial" w:hAnsi="Arial"/>
                <w:sz w:val="29"/>
                <w:szCs w:val="29"/>
                <w:color w:val="auto"/>
                <w:vertAlign w:val="superscript"/>
              </w:rPr>
              <w:t>(1)</w:t>
            </w:r>
          </w:p>
        </w:tc>
        <w:tc>
          <w:tcPr>
            <w:tcW w:w="0" w:type="dxa"/>
            <w:vAlign w:val="bottom"/>
          </w:tcPr>
          <w:p>
            <w:pPr>
              <w:spacing w:after="0"/>
              <w:rPr>
                <w:sz w:val="1"/>
                <w:szCs w:val="1"/>
                <w:color w:val="auto"/>
              </w:rPr>
            </w:pPr>
          </w:p>
        </w:tc>
      </w:tr>
      <w:tr>
        <w:trPr>
          <w:trHeight w:val="276"/>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860" w:type="dxa"/>
            <w:vAlign w:val="bottom"/>
            <w:vMerge w:val="restart"/>
          </w:tcPr>
          <w:p>
            <w:pPr>
              <w:jc w:val="right"/>
              <w:ind w:right="33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52"/>
        </w:trPr>
        <w:tc>
          <w:tcPr>
            <w:tcW w:w="11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3"/>
                <w:szCs w:val="13"/>
                <w:color w:val="auto"/>
              </w:rPr>
            </w:pPr>
          </w:p>
        </w:tc>
        <w:tc>
          <w:tcPr>
            <w:tcW w:w="9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11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200" w:type="dxa"/>
            <w:vAlign w:val="bottom"/>
            <w:vMerge w:val="restart"/>
          </w:tcPr>
          <w:p>
            <w:pPr>
              <w:spacing w:after="0" w:line="294" w:lineRule="exact"/>
              <w:rPr>
                <w:sz w:val="20"/>
                <w:szCs w:val="20"/>
                <w:color w:val="auto"/>
              </w:rPr>
            </w:pPr>
            <w:r>
              <w:rPr>
                <w:rFonts w:ascii="Arial" w:cs="Arial" w:eastAsia="Arial" w:hAnsi="Arial"/>
                <w:sz w:val="18"/>
                <w:szCs w:val="18"/>
                <w:color w:val="auto"/>
              </w:rPr>
              <w:t xml:space="preserve">18,633,672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5"/>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0"/>
                <w:szCs w:val="20"/>
                <w:color w:val="auto"/>
              </w:rPr>
            </w:pPr>
          </w:p>
        </w:tc>
        <w:tc>
          <w:tcPr>
            <w:tcW w:w="9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7.</w:t>
            </w:r>
          </w:p>
        </w:tc>
        <w:tc>
          <w:tcPr>
            <w:tcW w:w="9200" w:type="dxa"/>
            <w:vAlign w:val="bottom"/>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44"/>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21"/>
                <w:szCs w:val="21"/>
                <w:color w:val="auto"/>
              </w:rPr>
            </w:pPr>
          </w:p>
        </w:tc>
        <w:tc>
          <w:tcPr>
            <w:tcW w:w="9200" w:type="dxa"/>
            <w:vAlign w:val="bottom"/>
          </w:tcPr>
          <w:p>
            <w:pPr>
              <w:spacing w:after="0" w:line="243" w:lineRule="exact"/>
              <w:rPr>
                <w:sz w:val="20"/>
                <w:szCs w:val="20"/>
                <w:color w:val="auto"/>
              </w:rPr>
            </w:pPr>
            <w:r>
              <w:rPr>
                <w:rFonts w:ascii="Arial" w:cs="Arial" w:eastAsia="Arial" w:hAnsi="Arial"/>
                <w:sz w:val="17"/>
                <w:szCs w:val="17"/>
                <w:color w:val="auto"/>
              </w:rPr>
              <w:t xml:space="preserve">16,600,672 </w:t>
            </w:r>
            <w:r>
              <w:rPr>
                <w:rFonts w:ascii="Arial" w:cs="Arial" w:eastAsia="Arial" w:hAnsi="Arial"/>
                <w:sz w:val="28"/>
                <w:szCs w:val="28"/>
                <w:color w:val="auto"/>
                <w:vertAlign w:val="superscript"/>
              </w:rPr>
              <w:t>(1)</w:t>
            </w:r>
          </w:p>
        </w:tc>
        <w:tc>
          <w:tcPr>
            <w:tcW w:w="0" w:type="dxa"/>
            <w:vAlign w:val="bottom"/>
          </w:tcPr>
          <w:p>
            <w:pPr>
              <w:spacing w:after="0"/>
              <w:rPr>
                <w:sz w:val="1"/>
                <w:szCs w:val="1"/>
                <w:color w:val="auto"/>
              </w:rPr>
            </w:pPr>
          </w:p>
        </w:tc>
      </w:tr>
      <w:tr>
        <w:trPr>
          <w:trHeight w:val="81"/>
        </w:trPr>
        <w:tc>
          <w:tcPr>
            <w:tcW w:w="118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7"/>
                <w:szCs w:val="7"/>
                <w:color w:val="auto"/>
              </w:rPr>
            </w:pPr>
          </w:p>
        </w:tc>
        <w:tc>
          <w:tcPr>
            <w:tcW w:w="9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8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040" w:right="7340" w:hanging="561"/>
        <w:spacing w:after="0" w:line="289" w:lineRule="auto"/>
        <w:tabs>
          <w:tab w:leader="none" w:pos="2040" w:val="left"/>
        </w:tabs>
        <w:numPr>
          <w:ilvl w:val="2"/>
          <w:numId w:val="11"/>
        </w:numPr>
        <w:rPr>
          <w:rFonts w:ascii="Arial" w:cs="Arial" w:eastAsia="Arial" w:hAnsi="Arial"/>
          <w:sz w:val="18"/>
          <w:szCs w:val="18"/>
          <w:color w:val="auto"/>
        </w:rPr>
      </w:pPr>
      <w:r>
        <w:rPr>
          <w:rFonts w:ascii="Arial" w:cs="Arial" w:eastAsia="Arial" w:hAnsi="Arial"/>
          <w:sz w:val="18"/>
          <w:szCs w:val="18"/>
          <w:color w:val="auto"/>
        </w:rPr>
        <w:t xml:space="preserve">Shared Dispositive Power 18,633,672 </w:t>
      </w:r>
      <w:r>
        <w:rPr>
          <w:rFonts w:ascii="Arial" w:cs="Arial" w:eastAsia="Arial" w:hAnsi="Arial"/>
          <w:sz w:val="29"/>
          <w:szCs w:val="29"/>
          <w:color w:val="auto"/>
          <w:vertAlign w:val="superscript"/>
        </w:rPr>
        <w:t>(2)</w:t>
      </w:r>
    </w:p>
    <w:p>
      <w:pPr>
        <w:spacing w:after="0" w:line="91" w:lineRule="exact"/>
        <w:rPr>
          <w:rFonts w:ascii="Arial" w:cs="Arial" w:eastAsia="Arial" w:hAnsi="Arial"/>
          <w:sz w:val="18"/>
          <w:szCs w:val="18"/>
          <w:color w:val="auto"/>
        </w:rPr>
      </w:pPr>
    </w:p>
    <w:p>
      <w:pPr>
        <w:ind w:left="920" w:right="5520" w:hanging="575"/>
        <w:spacing w:after="0" w:line="289" w:lineRule="auto"/>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35,234,344 </w:t>
      </w:r>
      <w:r>
        <w:rPr>
          <w:rFonts w:ascii="Arial" w:cs="Arial" w:eastAsia="Arial" w:hAnsi="Arial"/>
          <w:sz w:val="29"/>
          <w:szCs w:val="29"/>
          <w:color w:val="auto"/>
          <w:vertAlign w:val="superscript"/>
        </w:rPr>
        <w:t>(1)(2)</w:t>
      </w:r>
    </w:p>
    <w:p>
      <w:pPr>
        <w:spacing w:after="0" w:line="59" w:lineRule="exact"/>
        <w:rPr>
          <w:rFonts w:ascii="Arial" w:cs="Arial" w:eastAsia="Arial" w:hAnsi="Arial"/>
          <w:sz w:val="18"/>
          <w:szCs w:val="18"/>
          <w:color w:val="auto"/>
        </w:rPr>
      </w:pPr>
    </w:p>
    <w:p>
      <w:pPr>
        <w:ind w:left="920" w:hanging="575"/>
        <w:spacing w:after="0" w:line="207" w:lineRule="exact"/>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29"/>
          <w:szCs w:val="29"/>
          <w:color w:val="auto"/>
          <w:vertAlign w:val="superscript"/>
        </w:rPr>
        <w:t>(3)</w:t>
      </w:r>
    </w:p>
    <w:p>
      <w:pPr>
        <w:spacing w:after="0" w:line="178" w:lineRule="exact"/>
        <w:rPr>
          <w:rFonts w:ascii="Arial" w:cs="Arial" w:eastAsia="Arial" w:hAnsi="Arial"/>
          <w:sz w:val="18"/>
          <w:szCs w:val="18"/>
          <w:color w:val="auto"/>
        </w:rPr>
      </w:pPr>
    </w:p>
    <w:p>
      <w:pPr>
        <w:ind w:left="920" w:hanging="575"/>
        <w:spacing w:after="0"/>
        <w:tabs>
          <w:tab w:leader="none" w:pos="9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260" w:right="100" w:hanging="252"/>
        <w:spacing w:after="0" w:line="194" w:lineRule="auto"/>
        <w:tabs>
          <w:tab w:leader="none" w:pos="2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Cascade beneficially owns 16,600,672 shares of Issuer Common Stock. All shares of the Common Stock of the Issuer held by Cascade may be deemed to be beneficially owned by William H. Gates III as the sole member of Cascade.</w:t>
      </w:r>
    </w:p>
    <w:p>
      <w:pPr>
        <w:spacing w:after="0" w:line="201" w:lineRule="exact"/>
        <w:rPr>
          <w:rFonts w:ascii="Arial" w:cs="Arial" w:eastAsia="Arial" w:hAnsi="Arial"/>
          <w:sz w:val="30"/>
          <w:szCs w:val="30"/>
          <w:color w:val="auto"/>
          <w:vertAlign w:val="superscript"/>
        </w:rPr>
      </w:pPr>
    </w:p>
    <w:p>
      <w:pPr>
        <w:ind w:left="260" w:right="360" w:hanging="252"/>
        <w:spacing w:after="0" w:line="209" w:lineRule="auto"/>
        <w:tabs>
          <w:tab w:leader="none" w:pos="2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The Trust beneficially owns 18,633,672 shares of Issuer Common Stock. For purposes of Rule 13d-3 under the Exchange Act, all shares of the Common Stock of the Issuer beneficially owned by the Trust may be deemed to be beneficially owned by William H. Gates III and Melinda French Gates, as Co-Trustees of the Trust.</w:t>
      </w:r>
    </w:p>
    <w:p>
      <w:pPr>
        <w:spacing w:after="0" w:line="203" w:lineRule="exact"/>
        <w:rPr>
          <w:rFonts w:ascii="Arial" w:cs="Arial" w:eastAsia="Arial" w:hAnsi="Arial"/>
          <w:sz w:val="30"/>
          <w:szCs w:val="30"/>
          <w:color w:val="auto"/>
          <w:vertAlign w:val="superscript"/>
        </w:rPr>
      </w:pPr>
    </w:p>
    <w:p>
      <w:pPr>
        <w:ind w:left="260" w:right="80" w:hanging="252"/>
        <w:spacing w:after="0" w:line="194" w:lineRule="auto"/>
        <w:tabs>
          <w:tab w:leader="none" w:pos="26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Based on 418,316,357 shares of the Issuer’s Common Stock outstanding as of October 21, 2021, as reported in the Issuer’s Form 10-Q filed on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-1396365</wp:posOffset>
            </wp:positionV>
            <wp:extent cx="65576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-1842135</wp:posOffset>
            </wp:positionV>
            <wp:extent cx="65576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-2313940</wp:posOffset>
            </wp:positionV>
            <wp:extent cx="65576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-2622550</wp:posOffset>
            </wp:positionV>
            <wp:extent cx="65576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-3093720</wp:posOffset>
            </wp:positionV>
            <wp:extent cx="58464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17830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4" w:lineRule="exact"/>
        <w:rPr>
          <w:sz w:val="20"/>
          <w:szCs w:val="20"/>
          <w:color w:val="auto"/>
        </w:rPr>
      </w:pPr>
    </w:p>
    <w:p>
      <w:pPr>
        <w:ind w:left="920" w:right="8260" w:hanging="575"/>
        <w:spacing w:after="0" w:line="34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Names of Reporting Persons Melinda French Gates</w:t>
      </w:r>
    </w:p>
    <w:p>
      <w:pPr>
        <w:spacing w:after="0" w:line="150" w:lineRule="exact"/>
        <w:rPr>
          <w:rFonts w:ascii="Arial" w:cs="Arial" w:eastAsia="Arial" w:hAnsi="Arial"/>
          <w:sz w:val="16"/>
          <w:szCs w:val="16"/>
          <w:color w:val="auto"/>
        </w:rPr>
      </w:pPr>
    </w:p>
    <w:p>
      <w:pPr>
        <w:ind w:left="920" w:hanging="575"/>
        <w:spacing w:after="0"/>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53" w:lineRule="exact"/>
        <w:rPr>
          <w:rFonts w:ascii="Arial" w:cs="Arial" w:eastAsia="Arial" w:hAnsi="Arial"/>
          <w:sz w:val="16"/>
          <w:szCs w:val="16"/>
          <w:color w:val="auto"/>
        </w:rPr>
      </w:pPr>
    </w:p>
    <w:p>
      <w:pPr>
        <w:ind w:left="1580" w:hanging="668"/>
        <w:spacing w:after="0" w:line="207" w:lineRule="exact"/>
        <w:tabs>
          <w:tab w:leader="none" w:pos="15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580" w:hanging="668"/>
        <w:spacing w:after="0" w:line="207" w:lineRule="exact"/>
        <w:tabs>
          <w:tab w:leader="none" w:pos="158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920" w:right="7700" w:hanging="575"/>
        <w:spacing w:after="0" w:line="342" w:lineRule="auto"/>
        <w:tabs>
          <w:tab w:leader="none" w:pos="9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91" w:lineRule="exact"/>
        <w:rPr>
          <w:rFonts w:ascii="Arial" w:cs="Arial" w:eastAsia="Arial" w:hAnsi="Arial"/>
          <w:sz w:val="16"/>
          <w:szCs w:val="16"/>
          <w:color w:val="auto"/>
        </w:rPr>
      </w:pPr>
    </w:p>
    <w:p>
      <w:pPr>
        <w:ind w:left="2040" w:right="7860" w:hanging="561"/>
        <w:spacing w:after="0" w:line="277" w:lineRule="auto"/>
        <w:tabs>
          <w:tab w:leader="none" w:pos="204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Voting Power 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-1905</wp:posOffset>
            </wp:positionV>
            <wp:extent cx="58464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-902335</wp:posOffset>
            </wp:positionV>
            <wp:extent cx="65576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-1210945</wp:posOffset>
            </wp:positionV>
            <wp:extent cx="61290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-1390650</wp:posOffset>
            </wp:positionV>
            <wp:extent cx="61290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-1870710</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06" w:lineRule="auto"/>
        <w:rPr>
          <w:sz w:val="20"/>
          <w:szCs w:val="20"/>
          <w:color w:val="auto"/>
        </w:rPr>
      </w:pPr>
      <w:r>
        <w:rPr>
          <w:rFonts w:ascii="Arial" w:cs="Arial" w:eastAsia="Arial" w:hAnsi="Arial"/>
          <w:sz w:val="18"/>
          <w:szCs w:val="18"/>
          <w:color w:val="auto"/>
        </w:rPr>
        <w:t xml:space="preserve">Shares </w:t>
      </w:r>
      <w:r>
        <w:rPr>
          <w:rFonts w:ascii="Arial" w:cs="Arial" w:eastAsia="Arial" w:hAnsi="Arial"/>
          <w:sz w:val="35"/>
          <w:szCs w:val="35"/>
          <w:color w:val="auto"/>
          <w:vertAlign w:val="superscript"/>
        </w:rPr>
        <w:t>6.</w:t>
      </w:r>
      <w:r>
        <w:rPr>
          <w:rFonts w:ascii="Arial" w:cs="Arial" w:eastAsia="Arial" w:hAnsi="Arial"/>
          <w:sz w:val="18"/>
          <w:szCs w:val="18"/>
          <w:color w:val="auto"/>
        </w:rPr>
        <w:t xml:space="preserve"> Beneficially Owned by</w:t>
      </w:r>
    </w:p>
    <w:p>
      <w:pPr>
        <w:spacing w:after="0" w:line="1"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Each</w:t>
      </w:r>
      <w:r>
        <w:rPr>
          <w:sz w:val="20"/>
          <w:szCs w:val="20"/>
          <w:color w:val="auto"/>
        </w:rPr>
        <w:tab/>
      </w:r>
      <w:r>
        <w:rPr>
          <w:rFonts w:ascii="Arial" w:cs="Arial" w:eastAsia="Arial" w:hAnsi="Arial"/>
          <w:sz w:val="16"/>
          <w:szCs w:val="16"/>
          <w:color w:val="auto"/>
        </w:rPr>
        <w:t>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18,633,672 </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8464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58464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1620" w:space="420"/>
            <w:col w:w="9200"/>
          </w:cols>
          <w:pgMar w:left="320" w:top="1124" w:right="339" w:bottom="1440" w:gutter="0" w:footer="0" w:header="0"/>
          <w:type w:val="continuous"/>
        </w:sectPr>
      </w:pPr>
    </w:p>
    <w:p>
      <w:pPr>
        <w:ind w:left="2040" w:right="7340" w:hanging="561"/>
        <w:spacing w:after="0" w:line="289" w:lineRule="auto"/>
        <w:tabs>
          <w:tab w:leader="none" w:pos="2040" w:val="left"/>
        </w:tabs>
        <w:numPr>
          <w:ilvl w:val="2"/>
          <w:numId w:val="15"/>
        </w:numPr>
        <w:rPr>
          <w:rFonts w:ascii="Arial" w:cs="Arial" w:eastAsia="Arial" w:hAnsi="Arial"/>
          <w:sz w:val="18"/>
          <w:szCs w:val="18"/>
          <w:color w:val="auto"/>
        </w:rPr>
      </w:pPr>
      <w:r>
        <w:rPr>
          <w:rFonts w:ascii="Arial" w:cs="Arial" w:eastAsia="Arial" w:hAnsi="Arial"/>
          <w:sz w:val="18"/>
          <w:szCs w:val="18"/>
          <w:color w:val="auto"/>
        </w:rPr>
        <w:t xml:space="preserve">Shared Dispositive Power 18,633,672 </w:t>
      </w:r>
      <w:r>
        <w:rPr>
          <w:rFonts w:ascii="Arial" w:cs="Arial" w:eastAsia="Arial" w:hAnsi="Arial"/>
          <w:sz w:val="29"/>
          <w:szCs w:val="29"/>
          <w:color w:val="auto"/>
          <w:vertAlign w:val="superscript"/>
        </w:rPr>
        <w:t>(1)</w:t>
      </w:r>
    </w:p>
    <w:p>
      <w:pPr>
        <w:spacing w:after="0" w:line="91" w:lineRule="exact"/>
        <w:rPr>
          <w:rFonts w:ascii="Arial" w:cs="Arial" w:eastAsia="Arial" w:hAnsi="Arial"/>
          <w:sz w:val="18"/>
          <w:szCs w:val="18"/>
          <w:color w:val="auto"/>
        </w:rPr>
      </w:pPr>
    </w:p>
    <w:p>
      <w:pPr>
        <w:ind w:left="920" w:right="5520" w:hanging="575"/>
        <w:spacing w:after="0" w:line="289"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Aggregate Amount Beneficially Owned by Each Reporting Person 18,637,482 </w:t>
      </w:r>
      <w:r>
        <w:rPr>
          <w:rFonts w:ascii="Arial" w:cs="Arial" w:eastAsia="Arial" w:hAnsi="Arial"/>
          <w:sz w:val="29"/>
          <w:szCs w:val="29"/>
          <w:color w:val="auto"/>
          <w:vertAlign w:val="superscript"/>
        </w:rPr>
        <w:t>(1)</w:t>
      </w:r>
    </w:p>
    <w:p>
      <w:pPr>
        <w:spacing w:after="0" w:line="59" w:lineRule="exact"/>
        <w:rPr>
          <w:rFonts w:ascii="Arial" w:cs="Arial" w:eastAsia="Arial" w:hAnsi="Arial"/>
          <w:sz w:val="18"/>
          <w:szCs w:val="18"/>
          <w:color w:val="auto"/>
        </w:rPr>
      </w:pPr>
    </w:p>
    <w:p>
      <w:pPr>
        <w:ind w:left="920" w:hanging="575"/>
        <w:spacing w:after="0" w:line="207" w:lineRule="exact"/>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311" w:lineRule="exact"/>
        <w:rPr>
          <w:rFonts w:ascii="Arial" w:cs="Arial" w:eastAsia="Arial" w:hAnsi="Arial"/>
          <w:sz w:val="18"/>
          <w:szCs w:val="18"/>
          <w:color w:val="auto"/>
        </w:rPr>
      </w:pPr>
    </w:p>
    <w:p>
      <w:pPr>
        <w:ind w:left="920" w:hanging="575"/>
        <w:spacing w:after="0"/>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4.5% </w:t>
      </w:r>
      <w:r>
        <w:rPr>
          <w:rFonts w:ascii="Arial" w:cs="Arial" w:eastAsia="Arial" w:hAnsi="Arial"/>
          <w:sz w:val="29"/>
          <w:szCs w:val="29"/>
          <w:color w:val="auto"/>
          <w:vertAlign w:val="superscript"/>
        </w:rPr>
        <w:t>(2)</w:t>
      </w:r>
    </w:p>
    <w:p>
      <w:pPr>
        <w:spacing w:after="0" w:line="178" w:lineRule="exact"/>
        <w:rPr>
          <w:rFonts w:ascii="Arial" w:cs="Arial" w:eastAsia="Arial" w:hAnsi="Arial"/>
          <w:sz w:val="18"/>
          <w:szCs w:val="18"/>
          <w:color w:val="auto"/>
        </w:rPr>
      </w:pPr>
    </w:p>
    <w:p>
      <w:pPr>
        <w:ind w:left="920" w:hanging="575"/>
        <w:spacing w:after="0"/>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260" w:right="360" w:hanging="252"/>
        <w:spacing w:after="0" w:line="209" w:lineRule="auto"/>
        <w:tabs>
          <w:tab w:leader="none" w:pos="26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The Trust beneficially owns 18,633,672 shares of the Issuer Common Stock. For purposes of Rule 13d-3 under the Exchange Act, all shares of the Common Stock of the Issuer beneficially owned by the Trust may be deemed to be beneficially owned by William H. Gates III and Melinda French Gates, as Co-Trustees of the Trust.</w:t>
      </w:r>
    </w:p>
    <w:p>
      <w:pPr>
        <w:spacing w:after="0" w:line="203" w:lineRule="exact"/>
        <w:rPr>
          <w:rFonts w:ascii="Arial" w:cs="Arial" w:eastAsia="Arial" w:hAnsi="Arial"/>
          <w:sz w:val="30"/>
          <w:szCs w:val="30"/>
          <w:color w:val="auto"/>
          <w:vertAlign w:val="superscript"/>
        </w:rPr>
      </w:pPr>
    </w:p>
    <w:p>
      <w:pPr>
        <w:ind w:left="340" w:hanging="332"/>
        <w:spacing w:after="0" w:line="194"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Based on 418,316,357 shares of the Issuer’s Common Stock outstanding as of October 21, 2021, as reported in the Issuer’s Form 10-Q filed on October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-984885</wp:posOffset>
            </wp:positionV>
            <wp:extent cx="65576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-1430655</wp:posOffset>
            </wp:positionV>
            <wp:extent cx="6557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-1902460</wp:posOffset>
            </wp:positionV>
            <wp:extent cx="65576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-2211070</wp:posOffset>
            </wp:positionV>
            <wp:extent cx="65576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-2682240</wp:posOffset>
            </wp:positionV>
            <wp:extent cx="58464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6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-839470</wp:posOffset>
            </wp:positionV>
            <wp:extent cx="17830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360" w:hanging="448"/>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Name of Issuer</w:t>
      </w:r>
    </w:p>
    <w:p>
      <w:pPr>
        <w:spacing w:after="0" w:line="9"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Waste Management, Inc. (the “Issuer”)</w:t>
      </w:r>
    </w:p>
    <w:p>
      <w:pPr>
        <w:spacing w:after="0" w:line="9" w:lineRule="exact"/>
        <w:rPr>
          <w:rFonts w:ascii="Arial" w:cs="Arial" w:eastAsia="Arial" w:hAnsi="Arial"/>
          <w:sz w:val="18"/>
          <w:szCs w:val="18"/>
          <w:color w:val="auto"/>
        </w:rPr>
      </w:pPr>
    </w:p>
    <w:p>
      <w:pPr>
        <w:ind w:left="1360" w:hanging="448"/>
        <w:spacing w:after="0"/>
        <w:tabs>
          <w:tab w:leader="none" w:pos="13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Address of Issuer’s Principal Executive Offices</w:t>
      </w:r>
    </w:p>
    <w:p>
      <w:pPr>
        <w:spacing w:after="0" w:line="22"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800 Capitol Street, Suite 3000, Houston, Texas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5715</wp:posOffset>
            </wp:positionV>
            <wp:extent cx="62750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-276225</wp:posOffset>
            </wp:positionV>
            <wp:extent cx="62750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ind w:left="1360" w:hanging="44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Name of Person Filing</w:t>
      </w:r>
    </w:p>
    <w:p>
      <w:pPr>
        <w:spacing w:after="0" w:line="9" w:lineRule="exact"/>
        <w:rPr>
          <w:rFonts w:ascii="Arial" w:cs="Arial" w:eastAsia="Arial" w:hAnsi="Arial"/>
          <w:sz w:val="18"/>
          <w:szCs w:val="18"/>
          <w:color w:val="auto"/>
        </w:rPr>
      </w:pPr>
    </w:p>
    <w:p>
      <w:pPr>
        <w:ind w:left="1360"/>
        <w:spacing w:after="0" w:line="216" w:lineRule="auto"/>
        <w:rPr>
          <w:rFonts w:ascii="Arial" w:cs="Arial" w:eastAsia="Arial" w:hAnsi="Arial"/>
          <w:sz w:val="18"/>
          <w:szCs w:val="18"/>
          <w:color w:val="auto"/>
        </w:rPr>
      </w:pPr>
      <w:r>
        <w:rPr>
          <w:rFonts w:ascii="Arial" w:cs="Arial" w:eastAsia="Arial" w:hAnsi="Arial"/>
          <w:sz w:val="18"/>
          <w:szCs w:val="18"/>
          <w:color w:val="auto"/>
        </w:rPr>
        <w:t xml:space="preserve">Cascade Investment, L.L.C. (“Cascade”), Bill &amp; Melinda Gates Foundation Trust (the “Trust”), Melinda French Gates (“MFG”) and William H. Gates III (“WHG” and, collectively, the “Reporting Persons”) </w:t>
      </w:r>
      <w:r>
        <w:rPr>
          <w:rFonts w:ascii="Arial" w:cs="Arial" w:eastAsia="Arial" w:hAnsi="Arial"/>
          <w:sz w:val="29"/>
          <w:szCs w:val="29"/>
          <w:color w:val="auto"/>
          <w:vertAlign w:val="superscript"/>
        </w:rPr>
        <w:t>(1)</w:t>
      </w:r>
    </w:p>
    <w:p>
      <w:pPr>
        <w:spacing w:after="0" w:line="1" w:lineRule="exact"/>
        <w:rPr>
          <w:rFonts w:ascii="Arial" w:cs="Arial" w:eastAsia="Arial" w:hAnsi="Arial"/>
          <w:sz w:val="18"/>
          <w:szCs w:val="18"/>
          <w:color w:val="auto"/>
        </w:rPr>
      </w:pPr>
    </w:p>
    <w:p>
      <w:pPr>
        <w:ind w:left="1360" w:right="5060" w:hanging="448"/>
        <w:spacing w:after="0" w:line="300" w:lineRule="auto"/>
        <w:tabs>
          <w:tab w:leader="none" w:pos="1360" w:val="left"/>
        </w:tabs>
        <w:numPr>
          <w:ilvl w:val="0"/>
          <w:numId w:val="19"/>
        </w:numPr>
        <w:rPr>
          <w:rFonts w:ascii="Arial" w:cs="Arial" w:eastAsia="Arial" w:hAnsi="Arial"/>
          <w:sz w:val="15"/>
          <w:szCs w:val="15"/>
          <w:color w:val="auto"/>
        </w:rPr>
      </w:pPr>
      <w:r>
        <w:rPr>
          <w:rFonts w:ascii="Arial" w:cs="Arial" w:eastAsia="Arial" w:hAnsi="Arial"/>
          <w:sz w:val="15"/>
          <w:szCs w:val="15"/>
          <w:b w:val="1"/>
          <w:bCs w:val="1"/>
          <w:color w:val="auto"/>
        </w:rPr>
        <w:t xml:space="preserve">Address of Principal Business Office or, if none, Residence </w:t>
      </w:r>
      <w:r>
        <w:rPr>
          <w:rFonts w:ascii="Arial" w:cs="Arial" w:eastAsia="Arial" w:hAnsi="Arial"/>
          <w:sz w:val="15"/>
          <w:szCs w:val="15"/>
          <w:color w:val="auto"/>
        </w:rPr>
        <w:t>Cascade – 2365 Carillon Point, Kirkland, Washington 98033 The Trust – 2365 Carillon Point, Kirkland, Washington 98033 WHG – 500 Fifth Avenue North, Seattle, Washington 98109 MFG – 500 Fifth Avenue North, Seattle, Washington 98109</w:t>
      </w:r>
    </w:p>
    <w:p>
      <w:pPr>
        <w:ind w:left="1360" w:hanging="448"/>
        <w:spacing w:after="0"/>
        <w:tabs>
          <w:tab w:leader="none" w:pos="13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Citizenship</w:t>
      </w:r>
    </w:p>
    <w:p>
      <w:pPr>
        <w:spacing w:after="0" w:line="22" w:lineRule="exact"/>
        <w:rPr>
          <w:rFonts w:ascii="Arial" w:cs="Arial" w:eastAsia="Arial" w:hAnsi="Arial"/>
          <w:sz w:val="18"/>
          <w:szCs w:val="18"/>
          <w:color w:val="auto"/>
        </w:rPr>
      </w:pPr>
    </w:p>
    <w:p>
      <w:pPr>
        <w:ind w:left="1360" w:right="2920"/>
        <w:spacing w:after="0" w:line="281" w:lineRule="auto"/>
        <w:rPr>
          <w:rFonts w:ascii="Arial" w:cs="Arial" w:eastAsia="Arial" w:hAnsi="Arial"/>
          <w:sz w:val="18"/>
          <w:szCs w:val="18"/>
          <w:color w:val="auto"/>
        </w:rPr>
      </w:pPr>
      <w:r>
        <w:rPr>
          <w:rFonts w:ascii="Arial" w:cs="Arial" w:eastAsia="Arial" w:hAnsi="Arial"/>
          <w:sz w:val="16"/>
          <w:szCs w:val="16"/>
          <w:color w:val="auto"/>
        </w:rPr>
        <w:t>Cascade is a limited liability company organized under the laws of the State of Washington. The Trust is a charitable trust organized under the laws of the State of Washington.</w:t>
      </w:r>
    </w:p>
    <w:p>
      <w:pPr>
        <w:spacing w:after="0" w:line="1" w:lineRule="exact"/>
        <w:rPr>
          <w:rFonts w:ascii="Arial" w:cs="Arial" w:eastAsia="Arial" w:hAnsi="Arial"/>
          <w:sz w:val="18"/>
          <w:szCs w:val="18"/>
          <w:color w:val="auto"/>
        </w:rPr>
      </w:pPr>
    </w:p>
    <w:p>
      <w:pPr>
        <w:jc w:val="both"/>
        <w:ind w:left="1360" w:right="5900"/>
        <w:spacing w:after="0" w:line="281" w:lineRule="auto"/>
        <w:rPr>
          <w:rFonts w:ascii="Arial" w:cs="Arial" w:eastAsia="Arial" w:hAnsi="Arial"/>
          <w:sz w:val="18"/>
          <w:szCs w:val="18"/>
          <w:color w:val="auto"/>
        </w:rPr>
      </w:pPr>
      <w:r>
        <w:rPr>
          <w:rFonts w:ascii="Arial" w:cs="Arial" w:eastAsia="Arial" w:hAnsi="Arial"/>
          <w:sz w:val="16"/>
          <w:szCs w:val="16"/>
          <w:color w:val="auto"/>
        </w:rPr>
        <w:t>WHG is a citizen of the United States of America. MFG is a citizen of the United States of America.</w:t>
      </w:r>
    </w:p>
    <w:p>
      <w:pPr>
        <w:spacing w:after="0" w:line="1" w:lineRule="exact"/>
        <w:rPr>
          <w:rFonts w:ascii="Arial" w:cs="Arial" w:eastAsia="Arial" w:hAnsi="Arial"/>
          <w:sz w:val="18"/>
          <w:szCs w:val="18"/>
          <w:color w:val="auto"/>
        </w:rPr>
      </w:pPr>
    </w:p>
    <w:p>
      <w:pPr>
        <w:ind w:left="1360" w:right="7200" w:hanging="448"/>
        <w:spacing w:after="0" w:line="290" w:lineRule="auto"/>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Common Stock, $0.01 par value</w:t>
      </w:r>
    </w:p>
    <w:p>
      <w:pPr>
        <w:ind w:left="1360" w:right="8300" w:hanging="448"/>
        <w:spacing w:after="0" w:line="306" w:lineRule="auto"/>
        <w:tabs>
          <w:tab w:leader="none" w:pos="136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-33020</wp:posOffset>
            </wp:positionV>
            <wp:extent cx="62750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-315595</wp:posOffset>
            </wp:positionV>
            <wp:extent cx="62750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-598805</wp:posOffset>
            </wp:positionV>
            <wp:extent cx="62750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-1292860</wp:posOffset>
            </wp:positionV>
            <wp:extent cx="62750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-1987550</wp:posOffset>
            </wp:positionV>
            <wp:extent cx="62750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1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830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18" w:lineRule="exact"/>
        <w:rPr>
          <w:sz w:val="20"/>
          <w:szCs w:val="20"/>
          <w:color w:val="auto"/>
        </w:rPr>
      </w:pPr>
    </w:p>
    <w:p>
      <w:pPr>
        <w:ind w:left="260" w:right="100" w:hanging="252"/>
        <w:spacing w:after="0" w:line="194" w:lineRule="auto"/>
        <w:tabs>
          <w:tab w:leader="none" w:pos="26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Neither the present filing nor anything contained herein shall be construed as an admission that the Reporting Persons constitute a “group” for any purpose and the Reporting Persons expressly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6" w:name="page7"/>
    <w:bookmarkEnd w:id="6"/>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32" w:lineRule="exact"/>
        <w:rPr>
          <w:sz w:val="20"/>
          <w:szCs w:val="20"/>
          <w:color w:val="auto"/>
        </w:rPr>
      </w:pPr>
    </w:p>
    <w:p>
      <w:pPr>
        <w:ind w:left="1480" w:hanging="330"/>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9" w:lineRule="exact"/>
        <w:rPr>
          <w:rFonts w:ascii="Arial" w:cs="Arial" w:eastAsia="Arial" w:hAnsi="Arial"/>
          <w:sz w:val="18"/>
          <w:szCs w:val="18"/>
          <w:color w:val="auto"/>
        </w:rPr>
      </w:pPr>
    </w:p>
    <w:p>
      <w:pPr>
        <w:ind w:left="1480" w:hanging="335"/>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See the responses to Item 11 on the attached cover pages.</w:t>
      </w:r>
    </w:p>
    <w:p>
      <w:pPr>
        <w:spacing w:after="0" w:line="9" w:lineRule="exact"/>
        <w:rPr>
          <w:rFonts w:ascii="Arial" w:cs="Arial" w:eastAsia="Arial" w:hAnsi="Arial"/>
          <w:sz w:val="18"/>
          <w:szCs w:val="18"/>
          <w:color w:val="auto"/>
        </w:rPr>
      </w:pPr>
    </w:p>
    <w:p>
      <w:pPr>
        <w:ind w:left="1480" w:hanging="330"/>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 w:lineRule="exact"/>
        <w:rPr>
          <w:rFonts w:ascii="Arial" w:cs="Arial" w:eastAsia="Arial" w:hAnsi="Arial"/>
          <w:sz w:val="18"/>
          <w:szCs w:val="18"/>
          <w:color w:val="auto"/>
        </w:rPr>
      </w:pPr>
    </w:p>
    <w:p>
      <w:pPr>
        <w:ind w:left="2040" w:hanging="369"/>
        <w:spacing w:after="0"/>
        <w:tabs>
          <w:tab w:leader="none" w:pos="20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9"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5715</wp:posOffset>
            </wp:positionV>
            <wp:extent cx="58464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-413385</wp:posOffset>
            </wp:positionV>
            <wp:extent cx="6197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939165</wp:posOffset>
            </wp:positionH>
            <wp:positionV relativeFrom="paragraph">
              <wp:posOffset>-696595</wp:posOffset>
            </wp:positionV>
            <wp:extent cx="61976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ind w:left="2040" w:hanging="394"/>
        <w:spacing w:after="0"/>
        <w:tabs>
          <w:tab w:leader="none" w:pos="2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5715</wp:posOffset>
            </wp:positionV>
            <wp:extent cx="58464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ind w:left="2040" w:right="5160" w:hanging="419"/>
        <w:spacing w:after="0" w:line="290" w:lineRule="auto"/>
        <w:tabs>
          <w:tab w:leader="none" w:pos="2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the responses to Item 7 on the attached cover pages.</w:t>
      </w:r>
    </w:p>
    <w:p>
      <w:pPr>
        <w:ind w:left="2040" w:right="5160" w:hanging="414"/>
        <w:spacing w:after="0" w:line="379" w:lineRule="auto"/>
        <w:tabs>
          <w:tab w:leader="none" w:pos="20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Shared power to dispose or to direct the disposition of See the responses to Item 8 on the attached cover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-62230</wp:posOffset>
            </wp:positionV>
            <wp:extent cx="58464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-345440</wp:posOffset>
            </wp:positionV>
            <wp:extent cx="58464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16"/>
        </w:trPr>
        <w:tc>
          <w:tcPr>
            <w:tcW w:w="820" w:type="dxa"/>
            <w:vAlign w:val="bottom"/>
          </w:tcPr>
          <w:p>
            <w:pPr>
              <w:spacing w:after="0"/>
              <w:rPr>
                <w:sz w:val="18"/>
                <w:szCs w:val="18"/>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w w:val="90"/>
              </w:rPr>
              <w:t>Melinda French Gates has ceased to be the beneficial owner of more than 5% of the Common Stock and will no longer be a Reporting Person</w:t>
            </w:r>
          </w:p>
        </w:tc>
      </w:tr>
      <w:tr>
        <w:trPr>
          <w:trHeight w:val="230"/>
        </w:trPr>
        <w:tc>
          <w:tcPr>
            <w:tcW w:w="820" w:type="dxa"/>
            <w:vAlign w:val="bottom"/>
          </w:tcPr>
          <w:p>
            <w:pPr>
              <w:spacing w:after="0"/>
              <w:rPr>
                <w:sz w:val="20"/>
                <w:szCs w:val="20"/>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following this Amendment.</w:t>
            </w: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820" w:type="dxa"/>
            <w:vAlign w:val="bottom"/>
          </w:tcPr>
          <w:p>
            <w:pPr>
              <w:spacing w:after="0"/>
              <w:rPr>
                <w:sz w:val="20"/>
                <w:szCs w:val="20"/>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14"/>
        </w:trPr>
        <w:tc>
          <w:tcPr>
            <w:tcW w:w="8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w:t>
            </w:r>
          </w:p>
        </w:tc>
      </w:tr>
      <w:tr>
        <w:trPr>
          <w:trHeight w:val="220"/>
        </w:trPr>
        <w:tc>
          <w:tcPr>
            <w:tcW w:w="820" w:type="dxa"/>
            <w:vAlign w:val="bottom"/>
          </w:tcPr>
          <w:p>
            <w:pPr>
              <w:spacing w:after="0"/>
              <w:rPr>
                <w:sz w:val="19"/>
                <w:szCs w:val="19"/>
                <w:color w:val="auto"/>
              </w:rPr>
            </w:pP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or Control Person</w:t>
            </w:r>
          </w:p>
        </w:tc>
      </w:tr>
      <w:tr>
        <w:trPr>
          <w:trHeight w:val="230"/>
        </w:trPr>
        <w:tc>
          <w:tcPr>
            <w:tcW w:w="820" w:type="dxa"/>
            <w:vAlign w:val="bottom"/>
          </w:tcPr>
          <w:p>
            <w:pPr>
              <w:spacing w:after="0"/>
              <w:rPr>
                <w:sz w:val="20"/>
                <w:szCs w:val="20"/>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820" w:type="dxa"/>
            <w:vAlign w:val="bottom"/>
          </w:tcPr>
          <w:p>
            <w:pPr>
              <w:spacing w:after="0"/>
              <w:rPr>
                <w:sz w:val="20"/>
                <w:szCs w:val="20"/>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820" w:type="dxa"/>
            <w:vAlign w:val="bottom"/>
          </w:tcPr>
          <w:p>
            <w:pPr>
              <w:spacing w:after="0"/>
              <w:rPr>
                <w:sz w:val="20"/>
                <w:szCs w:val="20"/>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Not Applicable.</w:t>
            </w:r>
          </w:p>
        </w:tc>
      </w:tr>
      <w:tr>
        <w:trPr>
          <w:trHeight w:val="418"/>
        </w:trPr>
        <w:tc>
          <w:tcPr>
            <w:tcW w:w="8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420" w:type="dxa"/>
            <w:vAlign w:val="bottom"/>
          </w:tcPr>
          <w:p>
            <w:pPr>
              <w:ind w:left="200"/>
              <w:spacing w:after="0"/>
              <w:rPr>
                <w:sz w:val="20"/>
                <w:szCs w:val="20"/>
                <w:color w:val="auto"/>
              </w:rPr>
            </w:pPr>
            <w:r>
              <w:rPr>
                <w:rFonts w:ascii="Arial" w:cs="Arial" w:eastAsia="Arial" w:hAnsi="Arial"/>
                <w:sz w:val="18"/>
                <w:szCs w:val="18"/>
                <w:b w:val="1"/>
                <w:bCs w:val="1"/>
                <w:color w:val="auto"/>
              </w:rPr>
              <w:t>Certification</w:t>
            </w:r>
          </w:p>
        </w:tc>
      </w:tr>
      <w:tr>
        <w:trPr>
          <w:trHeight w:val="216"/>
        </w:trPr>
        <w:tc>
          <w:tcPr>
            <w:tcW w:w="820" w:type="dxa"/>
            <w:vAlign w:val="bottom"/>
          </w:tcPr>
          <w:p>
            <w:pPr>
              <w:spacing w:after="0"/>
              <w:rPr>
                <w:sz w:val="18"/>
                <w:szCs w:val="18"/>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 for</w:t>
            </w:r>
          </w:p>
        </w:tc>
      </w:tr>
      <w:tr>
        <w:trPr>
          <w:trHeight w:val="216"/>
        </w:trPr>
        <w:tc>
          <w:tcPr>
            <w:tcW w:w="820" w:type="dxa"/>
            <w:vAlign w:val="bottom"/>
          </w:tcPr>
          <w:p>
            <w:pPr>
              <w:spacing w:after="0"/>
              <w:rPr>
                <w:sz w:val="18"/>
                <w:szCs w:val="18"/>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w w:val="90"/>
              </w:rPr>
              <w:t>the purpose of or with the effect of changing or influencing the control of the issuer of the securities and were not acquired and are not held in</w:t>
            </w:r>
          </w:p>
        </w:tc>
      </w:tr>
      <w:tr>
        <w:trPr>
          <w:trHeight w:val="230"/>
        </w:trPr>
        <w:tc>
          <w:tcPr>
            <w:tcW w:w="820" w:type="dxa"/>
            <w:vAlign w:val="bottom"/>
          </w:tcPr>
          <w:p>
            <w:pPr>
              <w:spacing w:after="0"/>
              <w:rPr>
                <w:sz w:val="20"/>
                <w:szCs w:val="20"/>
                <w:color w:val="auto"/>
              </w:rPr>
            </w:pPr>
          </w:p>
        </w:tc>
        <w:tc>
          <w:tcPr>
            <w:tcW w:w="10420" w:type="dxa"/>
            <w:vAlign w:val="bottom"/>
          </w:tcPr>
          <w:p>
            <w:pPr>
              <w:ind w:left="200"/>
              <w:spacing w:after="0"/>
              <w:rPr>
                <w:sz w:val="20"/>
                <w:szCs w:val="20"/>
                <w:color w:val="auto"/>
              </w:rPr>
            </w:pPr>
            <w:r>
              <w:rPr>
                <w:rFonts w:ascii="Arial" w:cs="Arial" w:eastAsia="Arial" w:hAnsi="Arial"/>
                <w:sz w:val="18"/>
                <w:szCs w:val="18"/>
                <w:color w:val="auto"/>
              </w:rPr>
              <w:t>connection with or as a participant in any transaction having that purpose or effect.</w:t>
            </w:r>
          </w:p>
        </w:tc>
      </w:tr>
      <w:tr>
        <w:trPr>
          <w:trHeight w:val="675"/>
        </w:trPr>
        <w:tc>
          <w:tcPr>
            <w:tcW w:w="82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February 14, 2022</w:t>
      </w:r>
      <w:r>
        <w:rPr>
          <w:sz w:val="20"/>
          <w:szCs w:val="20"/>
          <w:color w:val="auto"/>
        </w:rPr>
        <w:tab/>
      </w:r>
      <w:r>
        <w:rPr>
          <w:rFonts w:ascii="Arial" w:cs="Arial" w:eastAsia="Arial" w:hAnsi="Arial"/>
          <w:sz w:val="26"/>
          <w:szCs w:val="26"/>
          <w:color w:val="auto"/>
          <w:vertAlign w:val="subscript"/>
        </w:rPr>
        <w:t xml:space="preserve">CASCADE INVESTMENT, L.L.C. </w:t>
      </w:r>
      <w:r>
        <w:rPr>
          <w:rFonts w:ascii="Arial" w:cs="Arial" w:eastAsia="Arial" w:hAnsi="Arial"/>
          <w:sz w:val="22"/>
          <w:szCs w:val="22"/>
          <w:color w:val="auto"/>
          <w:vertAlign w:val="superscript"/>
        </w:rPr>
        <w:t>(1)</w:t>
      </w:r>
    </w:p>
    <w:p>
      <w:pPr>
        <w:spacing w:after="0" w:line="37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5980"/>
        <w:spacing w:after="0" w:line="181" w:lineRule="auto"/>
        <w:rPr>
          <w:sz w:val="20"/>
          <w:szCs w:val="20"/>
          <w:color w:val="auto"/>
        </w:rPr>
      </w:pPr>
      <w:r>
        <w:rPr>
          <w:rFonts w:ascii="Arial" w:cs="Arial" w:eastAsia="Arial" w:hAnsi="Arial"/>
          <w:sz w:val="34"/>
          <w:szCs w:val="34"/>
          <w:color w:val="auto"/>
          <w:vertAlign w:val="superscript"/>
        </w:rPr>
        <w:t>Name:</w:t>
      </w:r>
      <w:r>
        <w:rPr>
          <w:rFonts w:ascii="Arial" w:cs="Arial" w:eastAsia="Arial" w:hAnsi="Arial"/>
          <w:sz w:val="18"/>
          <w:szCs w:val="18"/>
          <w:color w:val="auto"/>
        </w:rPr>
        <w:t xml:space="preserve"> Alan Heuberger </w:t>
      </w:r>
      <w:r>
        <w:rPr>
          <w:rFonts w:ascii="Arial" w:cs="Arial" w:eastAsia="Arial" w:hAnsi="Arial"/>
          <w:sz w:val="28"/>
          <w:szCs w:val="28"/>
          <w:color w:val="auto"/>
          <w:vertAlign w:val="superscript"/>
        </w:rPr>
        <w:t>(2)</w:t>
      </w: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 for Michael Larson, Business Manager</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BILL &amp; MELINDA GATES FOUNDATION TRUST </w:t>
      </w:r>
      <w:r>
        <w:rPr>
          <w:rFonts w:ascii="Arial" w:cs="Arial" w:eastAsia="Arial" w:hAnsi="Arial"/>
          <w:sz w:val="29"/>
          <w:szCs w:val="29"/>
          <w:color w:val="auto"/>
          <w:vertAlign w:val="superscript"/>
        </w:rPr>
        <w:t>(1)</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5980"/>
        <w:spacing w:after="0" w:line="181" w:lineRule="auto"/>
        <w:rPr>
          <w:sz w:val="20"/>
          <w:szCs w:val="20"/>
          <w:color w:val="auto"/>
        </w:rPr>
      </w:pPr>
      <w:r>
        <w:rPr>
          <w:rFonts w:ascii="Arial" w:cs="Arial" w:eastAsia="Arial" w:hAnsi="Arial"/>
          <w:sz w:val="34"/>
          <w:szCs w:val="34"/>
          <w:color w:val="auto"/>
          <w:vertAlign w:val="superscript"/>
        </w:rPr>
        <w:t>Name:</w:t>
      </w:r>
      <w:r>
        <w:rPr>
          <w:rFonts w:ascii="Arial" w:cs="Arial" w:eastAsia="Arial" w:hAnsi="Arial"/>
          <w:sz w:val="18"/>
          <w:szCs w:val="18"/>
          <w:color w:val="auto"/>
        </w:rPr>
        <w:t xml:space="preserve"> Alan Heuberger </w:t>
      </w:r>
      <w:r>
        <w:rPr>
          <w:rFonts w:ascii="Arial" w:cs="Arial" w:eastAsia="Arial" w:hAnsi="Arial"/>
          <w:sz w:val="28"/>
          <w:szCs w:val="28"/>
          <w:color w:val="auto"/>
          <w:vertAlign w:val="superscript"/>
        </w:rPr>
        <w:t>(3)</w:t>
      </w: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Attorney-in-fact for each of the Co-Trustees, William H. Gates</w:t>
      </w:r>
    </w:p>
    <w:p>
      <w:pPr>
        <w:spacing w:after="0" w:line="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III and Melinda French Gates</w:t>
      </w:r>
    </w:p>
    <w:p>
      <w:pPr>
        <w:spacing w:after="0" w:line="2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WILLIAM H. GATES III </w:t>
      </w:r>
      <w:r>
        <w:rPr>
          <w:rFonts w:ascii="Arial" w:cs="Arial" w:eastAsia="Arial" w:hAnsi="Arial"/>
          <w:sz w:val="29"/>
          <w:szCs w:val="29"/>
          <w:color w:val="auto"/>
          <w:vertAlign w:val="superscript"/>
        </w:rPr>
        <w:t>(1)</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Alan Heuberger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ind w:left="5980"/>
        <w:spacing w:after="0" w:line="181" w:lineRule="auto"/>
        <w:rPr>
          <w:sz w:val="20"/>
          <w:szCs w:val="20"/>
          <w:color w:val="auto"/>
        </w:rPr>
      </w:pPr>
      <w:r>
        <w:rPr>
          <w:rFonts w:ascii="Arial" w:cs="Arial" w:eastAsia="Arial" w:hAnsi="Arial"/>
          <w:sz w:val="34"/>
          <w:szCs w:val="34"/>
          <w:color w:val="auto"/>
          <w:vertAlign w:val="superscript"/>
        </w:rPr>
        <w:t>Name:</w:t>
      </w:r>
      <w:r>
        <w:rPr>
          <w:rFonts w:ascii="Arial" w:cs="Arial" w:eastAsia="Arial" w:hAnsi="Arial"/>
          <w:sz w:val="18"/>
          <w:szCs w:val="18"/>
          <w:color w:val="auto"/>
        </w:rPr>
        <w:t xml:space="preserve"> Alan Heuberger </w:t>
      </w:r>
      <w:r>
        <w:rPr>
          <w:rFonts w:ascii="Arial" w:cs="Arial" w:eastAsia="Arial" w:hAnsi="Arial"/>
          <w:sz w:val="28"/>
          <w:szCs w:val="28"/>
          <w:color w:val="auto"/>
          <w:vertAlign w:val="superscript"/>
        </w:rPr>
        <w:t>(4)</w:t>
      </w:r>
    </w:p>
    <w:p>
      <w:pPr>
        <w:jc w:val="center"/>
        <w:ind w:left="2420"/>
        <w:spacing w:after="0"/>
        <w:tabs>
          <w:tab w:leader="none" w:pos="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MELINDA FRENCH GATES </w:t>
      </w:r>
      <w:r>
        <w:rPr>
          <w:rFonts w:ascii="Arial" w:cs="Arial" w:eastAsia="Arial" w:hAnsi="Arial"/>
          <w:sz w:val="29"/>
          <w:szCs w:val="29"/>
          <w:color w:val="auto"/>
          <w:vertAlign w:val="superscript"/>
        </w:rPr>
        <w:t>(1)</w:t>
      </w:r>
    </w:p>
    <w:p>
      <w:pPr>
        <w:spacing w:after="0" w:line="1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John K. 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5980"/>
        <w:spacing w:after="0" w:line="181" w:lineRule="auto"/>
        <w:rPr>
          <w:sz w:val="20"/>
          <w:szCs w:val="20"/>
          <w:color w:val="auto"/>
        </w:rPr>
      </w:pPr>
      <w:r>
        <w:rPr>
          <w:rFonts w:ascii="Arial" w:cs="Arial" w:eastAsia="Arial" w:hAnsi="Arial"/>
          <w:sz w:val="18"/>
          <w:szCs w:val="18"/>
          <w:color w:val="auto"/>
        </w:rPr>
        <w:t xml:space="preserve">Name: </w:t>
      </w:r>
      <w:r>
        <w:rPr>
          <w:rFonts w:ascii="Arial" w:cs="Arial" w:eastAsia="Arial" w:hAnsi="Arial"/>
          <w:sz w:val="34"/>
          <w:szCs w:val="34"/>
          <w:color w:val="auto"/>
          <w:vertAlign w:val="subscript"/>
        </w:rPr>
        <w:t>John K. Sage</w:t>
      </w:r>
      <w:r>
        <w:rPr>
          <w:rFonts w:ascii="Arial" w:cs="Arial" w:eastAsia="Arial" w:hAnsi="Arial"/>
          <w:sz w:val="18"/>
          <w:szCs w:val="18"/>
          <w:color w:val="auto"/>
        </w:rPr>
        <w:t xml:space="preserve"> </w:t>
      </w:r>
      <w:r>
        <w:rPr>
          <w:rFonts w:ascii="Arial" w:cs="Arial" w:eastAsia="Arial" w:hAnsi="Arial"/>
          <w:sz w:val="28"/>
          <w:szCs w:val="28"/>
          <w:color w:val="auto"/>
          <w:vertAlign w:val="superscript"/>
        </w:rPr>
        <w:t>(5)</w:t>
      </w: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1783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16" w:lineRule="exact"/>
        <w:rPr>
          <w:sz w:val="20"/>
          <w:szCs w:val="20"/>
          <w:color w:val="auto"/>
        </w:rPr>
      </w:pPr>
    </w:p>
    <w:p>
      <w:pPr>
        <w:ind w:left="340" w:right="160" w:hanging="332"/>
        <w:spacing w:after="0" w:line="209"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This Amendment is being filed jointly by the Reporting Persons pursuant to the Joint Filing Agreement dated September 17, 2010, and included with the signature page to the Reporting Persons’ Schedule 13G with respect to the Issuer filed on September 17, 2010, SEC File No. 005-39928, and incorporated by reference herein.</w:t>
      </w:r>
    </w:p>
    <w:p>
      <w:pPr>
        <w:spacing w:after="0" w:line="203" w:lineRule="exact"/>
        <w:rPr>
          <w:rFonts w:ascii="Arial" w:cs="Arial" w:eastAsia="Arial" w:hAnsi="Arial"/>
          <w:sz w:val="30"/>
          <w:szCs w:val="30"/>
          <w:color w:val="auto"/>
          <w:vertAlign w:val="superscript"/>
        </w:rPr>
      </w:pPr>
    </w:p>
    <w:p>
      <w:pPr>
        <w:ind w:left="340" w:right="280" w:hanging="332"/>
        <w:spacing w:after="0" w:line="219" w:lineRule="auto"/>
        <w:tabs>
          <w:tab w:leader="none" w:pos="340" w:val="left"/>
        </w:tabs>
        <w:numPr>
          <w:ilvl w:val="0"/>
          <w:numId w:val="24"/>
        </w:numPr>
        <w:rPr>
          <w:rFonts w:ascii="Arial" w:cs="Arial" w:eastAsia="Arial" w:hAnsi="Arial"/>
          <w:sz w:val="29"/>
          <w:szCs w:val="29"/>
          <w:color w:val="auto"/>
          <w:vertAlign w:val="superscript"/>
        </w:rPr>
      </w:pPr>
      <w:r>
        <w:rPr>
          <w:rFonts w:ascii="Arial" w:cs="Arial" w:eastAsia="Arial" w:hAnsi="Arial"/>
          <w:sz w:val="17"/>
          <w:szCs w:val="17"/>
          <w:color w:val="auto"/>
        </w:rPr>
        <w:t>Duly authorized under Special Limited Power of Attorney appointing Alan Heuberger attorney-in-fact, dated October 11, 2013, by and on behalf of Michael Larson, filed as Exhibit 99.1 to Amendment No. 9 to Cascade’s Schedule 13D with respect to Western Asset/Claymore Inflation-Linked Opportunities &amp; Income Fund on December 11, 2013, SEC File No. 005-81261, and incorporated by reference herein.</w:t>
      </w:r>
    </w:p>
    <w:p>
      <w:pPr>
        <w:spacing w:after="0" w:line="202" w:lineRule="exact"/>
        <w:rPr>
          <w:rFonts w:ascii="Arial" w:cs="Arial" w:eastAsia="Arial" w:hAnsi="Arial"/>
          <w:sz w:val="29"/>
          <w:szCs w:val="29"/>
          <w:color w:val="auto"/>
          <w:vertAlign w:val="superscript"/>
        </w:rPr>
      </w:pPr>
    </w:p>
    <w:p>
      <w:pPr>
        <w:ind w:left="340" w:hanging="332"/>
        <w:spacing w:after="0" w:line="209"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Duly authorized under Special Limited Power of Attorney appointing Alan Heuberger attorney-in-fact, dated August 12, 2008, by and on behalf of WHG and MFG as Co-Trustees, filed as Exhibit 99.5 to Cascade’s Schedule 13D with respect to Grupo Televisa, S.A.B. on May 7, 2009, SEC File No. 005-60431, and incorporated by reference herein.</w:t>
      </w:r>
    </w:p>
    <w:p>
      <w:pPr>
        <w:spacing w:after="0" w:line="203" w:lineRule="exact"/>
        <w:rPr>
          <w:rFonts w:ascii="Arial" w:cs="Arial" w:eastAsia="Arial" w:hAnsi="Arial"/>
          <w:sz w:val="30"/>
          <w:szCs w:val="30"/>
          <w:color w:val="auto"/>
          <w:vertAlign w:val="superscript"/>
        </w:rPr>
      </w:pPr>
    </w:p>
    <w:p>
      <w:pPr>
        <w:ind w:left="340" w:right="220" w:hanging="332"/>
        <w:spacing w:after="0" w:line="209"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Duly authorized under Special Limited Power of Attorney appointing Alan Heuberger attorney-in-fact, dated August 12, 2008, by and on behalf of WHG, filed as Exhibit 99.2 to Amendment No. 1 to Cascade’s Schedule 13D with respect to Otter Tail Corporation on April 15, 2009, SEC File No. 005-06638, and incorporated by reference herein.</w:t>
      </w:r>
    </w:p>
    <w:p>
      <w:pPr>
        <w:spacing w:after="0" w:line="203" w:lineRule="exact"/>
        <w:rPr>
          <w:rFonts w:ascii="Arial" w:cs="Arial" w:eastAsia="Arial" w:hAnsi="Arial"/>
          <w:sz w:val="30"/>
          <w:szCs w:val="30"/>
          <w:color w:val="auto"/>
          <w:vertAlign w:val="superscript"/>
        </w:rPr>
      </w:pPr>
    </w:p>
    <w:p>
      <w:pPr>
        <w:jc w:val="both"/>
        <w:ind w:left="340" w:right="20" w:hanging="332"/>
        <w:spacing w:after="0" w:line="209" w:lineRule="auto"/>
        <w:tabs>
          <w:tab w:leader="none" w:pos="34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Duly authorized under Limited Durable Power of Attorney appointing John K. Sage and Brooke Anderson attorneys-in-fact, dated December 14, 2021, by and on behalf of MFG, filed as Exhibit 99.2 to Amendment No. 4 to Cascade Investment, L.L.C.’s Schedule 13D with respect to Canadian National Railway Co. on December 20, 2021, SEC File No. 005-48661,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abstractNum>
  <w:abstractNum w:abstractNumId="2">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3">
    <w:nsid w:val="DED7263"/>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1BEFD79F"/>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7">
    <w:nsid w:val="6B68079A"/>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8">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9">
    <w:nsid w:val="25E45D32"/>
    <w:multiLevelType w:val="hybridMultilevel"/>
    <w:lvl w:ilvl="0">
      <w:lvlJc w:val="left"/>
      <w:lvlText w:val="%1."/>
      <w:numFmt w:val="decimal"/>
      <w:start w:val="1"/>
    </w:lvl>
    <w:lvl w:ilvl="1">
      <w:lvlJc w:val="left"/>
      <w:lvlText w:val="(%2)"/>
      <w:numFmt w:val="lowerLetter"/>
      <w:start w:val="1"/>
    </w:lvl>
  </w:abstractNum>
  <w:abstractNum w:abstractNumId="10">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1">
    <w:nsid w:val="431BD7B7"/>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2">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3">
    <w:nsid w:val="7C83E4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14">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5">
    <w:nsid w:val="62BBD95A"/>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6">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lvl w:ilvl="1">
      <w:lvlJc w:val="left"/>
      <w:lvlText w:val="(%2)"/>
      <w:numFmt w:val="lowerRoman"/>
      <w:start w:val="1"/>
    </w:lvl>
  </w:abstractNum>
  <w:abstractNum w:abstractNumId="21">
    <w:nsid w:val="2D1D5AE9"/>
    <w:multiLevelType w:val="hybridMultilevel"/>
    <w:lvl w:ilvl="0">
      <w:lvlJc w:val="left"/>
      <w:lvlText w:val="(%1)"/>
      <w:numFmt w:val="lowerRoman"/>
      <w:start w:val="2"/>
    </w:lvl>
  </w:abstractNum>
  <w:abstractNum w:abstractNumId="22">
    <w:nsid w:val="6763845E"/>
    <w:multiLevelType w:val="hybridMultilevel"/>
    <w:lvl w:ilvl="0">
      <w:lvlJc w:val="left"/>
      <w:lvlText w:val="(%1)"/>
      <w:numFmt w:val="lowerRoman"/>
      <w:start w:val="3"/>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2022-02-14T15:32:33Z</dcterms:created>
  <dcterms:modified xsi:type="dcterms:W3CDTF">2022-02-14T15:32:33Z</dcterms:modified>
</cp:coreProperties>
</file>