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333-287083​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2428875</wp:posOffset>
            </wp:positionH>
            <wp:positionV relativeFrom="paragraph">
              <wp:posOffset>55880</wp:posOffset>
            </wp:positionV>
            <wp:extent cx="195453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9"/>
          <w:szCs w:val="29"/>
          <w:b w:val="1"/>
          <w:bCs w:val="1"/>
          <w:color w:val="auto"/>
        </w:rPr>
        <w:t>WASTE MANAGEMENT, INC.</w:t>
      </w:r>
    </w:p>
    <w:p>
      <w:pPr>
        <w:spacing w:after="0" w:line="4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Offer to Exchange the Notes Set Forth Below</w:t>
      </w:r>
    </w:p>
    <w:p>
      <w:pPr>
        <w:ind w:left="2820"/>
        <w:spacing w:after="0" w:line="204" w:lineRule="auto"/>
        <w:rPr>
          <w:sz w:val="20"/>
          <w:szCs w:val="20"/>
          <w:color w:val="auto"/>
        </w:rPr>
      </w:pPr>
      <w:r>
        <w:rPr>
          <w:rFonts w:ascii="Times New Roman" w:cs="Times New Roman" w:eastAsia="Times New Roman" w:hAnsi="Times New Roman"/>
          <w:sz w:val="22"/>
          <w:szCs w:val="22"/>
          <w:b w:val="1"/>
          <w:bCs w:val="1"/>
          <w:color w:val="auto"/>
        </w:rPr>
        <w:t>Registered Under the Securities Act of 1933, as amended,</w:t>
      </w:r>
    </w:p>
    <w:p>
      <w:pPr>
        <w:jc w:val="center"/>
        <w:ind w:right="-399"/>
        <w:spacing w:after="0" w:line="218" w:lineRule="auto"/>
        <w:rPr>
          <w:sz w:val="20"/>
          <w:szCs w:val="20"/>
          <w:color w:val="auto"/>
        </w:rPr>
      </w:pPr>
      <w:r>
        <w:rPr>
          <w:rFonts w:ascii="Times New Roman" w:cs="Times New Roman" w:eastAsia="Times New Roman" w:hAnsi="Times New Roman"/>
          <w:sz w:val="22"/>
          <w:szCs w:val="22"/>
          <w:b w:val="1"/>
          <w:bCs w:val="1"/>
          <w:color w:val="auto"/>
        </w:rPr>
        <w:t>for</w:t>
      </w:r>
    </w:p>
    <w:p>
      <w:pPr>
        <w:jc w:val="center"/>
        <w:ind w:right="-399"/>
        <w:spacing w:after="0" w:line="218" w:lineRule="auto"/>
        <w:rPr>
          <w:sz w:val="20"/>
          <w:szCs w:val="20"/>
          <w:color w:val="auto"/>
        </w:rPr>
      </w:pPr>
      <w:r>
        <w:rPr>
          <w:rFonts w:ascii="Times New Roman" w:cs="Times New Roman" w:eastAsia="Times New Roman" w:hAnsi="Times New Roman"/>
          <w:sz w:val="22"/>
          <w:szCs w:val="22"/>
          <w:b w:val="1"/>
          <w:bCs w:val="1"/>
          <w:color w:val="auto"/>
        </w:rPr>
        <w:t>Any and All Outstanding Restricted Notes</w:t>
      </w: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Set Forth Opposite the Registered Notes</w:t>
      </w:r>
    </w:p>
    <w:p>
      <w:pPr>
        <w:spacing w:after="0" w:line="23"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320" w:type="dxa"/>
            <w:vAlign w:val="bottom"/>
            <w:tcBorders>
              <w:bottom w:val="single" w:sz="8" w:color="auto"/>
            </w:tcBorders>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9"/>
              </w:rPr>
              <w:t>REGISTERED NOTES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RESTRICTED NOTES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$485,084,000 3.875% Senior Notes due 2029</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4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$485,084,000 3.875% Senior Notes due 2029</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0" w:type="dxa"/>
            <w:vAlign w:val="bottom"/>
          </w:tcPr>
          <w:p>
            <w:pPr>
              <w:spacing w:after="0"/>
              <w:rPr>
                <w:sz w:val="18"/>
                <w:szCs w:val="18"/>
                <w:color w:val="auto"/>
              </w:rPr>
            </w:pPr>
          </w:p>
        </w:tc>
        <w:tc>
          <w:tcPr>
            <w:tcW w:w="4320" w:type="dxa"/>
            <w:vAlign w:val="bottom"/>
          </w:tcPr>
          <w:p>
            <w:pPr>
              <w:jc w:val="center"/>
              <w:ind w:right="362"/>
              <w:spacing w:after="0"/>
              <w:rPr>
                <w:sz w:val="20"/>
                <w:szCs w:val="20"/>
                <w:color w:val="auto"/>
              </w:rPr>
            </w:pPr>
            <w:r>
              <w:rPr>
                <w:rFonts w:ascii="Times New Roman" w:cs="Times New Roman" w:eastAsia="Times New Roman" w:hAnsi="Times New Roman"/>
                <w:sz w:val="16"/>
                <w:szCs w:val="16"/>
                <w:color w:val="auto"/>
              </w:rPr>
              <w:t>(CUSIP No. 94106LCA5)</w:t>
            </w:r>
          </w:p>
        </w:tc>
        <w:tc>
          <w:tcPr>
            <w:tcW w:w="22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(CUSIP Nos. 94106LBZ1 and U94106AK4)</w:t>
            </w:r>
          </w:p>
        </w:tc>
        <w:tc>
          <w:tcPr>
            <w:tcW w:w="40" w:type="dxa"/>
            <w:vAlign w:val="bottom"/>
          </w:tcPr>
          <w:p>
            <w:pPr>
              <w:spacing w:after="0"/>
              <w:rPr>
                <w:sz w:val="18"/>
                <w:szCs w:val="18"/>
                <w:color w:val="auto"/>
              </w:rPr>
            </w:pPr>
          </w:p>
        </w:tc>
      </w:tr>
    </w:tbl>
    <w:p>
      <w:pPr>
        <w:spacing w:after="0" w:line="30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Principal Terms of the Exchange Offer</w:t>
      </w:r>
    </w:p>
    <w:p>
      <w:pPr>
        <w:spacing w:after="0" w:line="6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This is an offer (the “</w:t>
      </w:r>
      <w:r>
        <w:rPr>
          <w:rFonts w:ascii="Times New Roman" w:cs="Times New Roman" w:eastAsia="Times New Roman" w:hAnsi="Times New Roman"/>
          <w:sz w:val="16"/>
          <w:szCs w:val="16"/>
          <w:i w:val="1"/>
          <w:iCs w:val="1"/>
          <w:color w:val="auto"/>
        </w:rPr>
        <w:t>exchange offer</w:t>
      </w:r>
      <w:r>
        <w:rPr>
          <w:rFonts w:ascii="Times New Roman" w:cs="Times New Roman" w:eastAsia="Times New Roman" w:hAnsi="Times New Roman"/>
          <w:sz w:val="16"/>
          <w:szCs w:val="16"/>
          <w:color w:val="auto"/>
        </w:rPr>
        <w:t>”) by Waste Management, Inc., a Delaware corporation (“</w:t>
      </w:r>
      <w:r>
        <w:rPr>
          <w:rFonts w:ascii="Times New Roman" w:cs="Times New Roman" w:eastAsia="Times New Roman" w:hAnsi="Times New Roman"/>
          <w:sz w:val="16"/>
          <w:szCs w:val="16"/>
          <w:i w:val="1"/>
          <w:iCs w:val="1"/>
          <w:color w:val="auto"/>
        </w:rPr>
        <w:t>WM</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our</w:t>
      </w:r>
      <w:r>
        <w:rPr>
          <w:rFonts w:ascii="Times New Roman" w:cs="Times New Roman" w:eastAsia="Times New Roman" w:hAnsi="Times New Roman"/>
          <w:sz w:val="16"/>
          <w:szCs w:val="16"/>
          <w:color w:val="auto"/>
        </w:rPr>
        <w:t>,”</w:t>
      </w:r>
    </w:p>
    <w:p>
      <w:pPr>
        <w:spacing w:after="0" w:line="12" w:lineRule="exact"/>
        <w:rPr>
          <w:sz w:val="24"/>
          <w:szCs w:val="24"/>
          <w:color w:val="auto"/>
        </w:rPr>
      </w:pPr>
    </w:p>
    <w:p>
      <w:pPr>
        <w:ind w:left="500" w:right="200"/>
        <w:spacing w:after="0" w:line="220"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i w:val="1"/>
          <w:iCs w:val="1"/>
          <w:color w:val="auto"/>
        </w:rPr>
        <w:t>Issuer</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i w:val="1"/>
          <w:iCs w:val="1"/>
          <w:color w:val="auto"/>
        </w:rPr>
        <w:t>Registrant</w:t>
      </w:r>
      <w:r>
        <w:rPr>
          <w:rFonts w:ascii="Times New Roman" w:cs="Times New Roman" w:eastAsia="Times New Roman" w:hAnsi="Times New Roman"/>
          <w:sz w:val="16"/>
          <w:szCs w:val="16"/>
          <w:color w:val="auto"/>
        </w:rPr>
        <w:t>”), to exchange all outstanding unregistered Restricted Notes (as defined below) for an equal principal amount of the Company’s 3.875% Senior Notes due 2029 (the “</w:t>
      </w:r>
      <w:r>
        <w:rPr>
          <w:rFonts w:ascii="Times New Roman" w:cs="Times New Roman" w:eastAsia="Times New Roman" w:hAnsi="Times New Roman"/>
          <w:sz w:val="16"/>
          <w:szCs w:val="16"/>
          <w:i w:val="1"/>
          <w:iCs w:val="1"/>
          <w:color w:val="auto"/>
        </w:rPr>
        <w:t>Registered Notes</w:t>
      </w:r>
      <w:r>
        <w:rPr>
          <w:rFonts w:ascii="Times New Roman" w:cs="Times New Roman" w:eastAsia="Times New Roman" w:hAnsi="Times New Roman"/>
          <w:sz w:val="16"/>
          <w:szCs w:val="16"/>
          <w:color w:val="auto"/>
        </w:rPr>
        <w:t>”), the offer of which has been registered under the Securities Act of</w:t>
      </w:r>
    </w:p>
    <w:p>
      <w:pPr>
        <w:ind w:left="500"/>
        <w:spacing w:after="0"/>
        <w:rPr>
          <w:sz w:val="20"/>
          <w:szCs w:val="20"/>
          <w:color w:val="auto"/>
        </w:rPr>
      </w:pPr>
      <w:r>
        <w:rPr>
          <w:rFonts w:ascii="Times New Roman" w:cs="Times New Roman" w:eastAsia="Times New Roman" w:hAnsi="Times New Roman"/>
          <w:sz w:val="16"/>
          <w:szCs w:val="16"/>
          <w:color w:val="auto"/>
        </w:rPr>
        <w:t>1933, as amended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w:t>
      </w:r>
    </w:p>
    <w:p>
      <w:pPr>
        <w:spacing w:after="0" w:line="39" w:lineRule="exact"/>
        <w:rPr>
          <w:sz w:val="24"/>
          <w:szCs w:val="24"/>
          <w:color w:val="auto"/>
        </w:rPr>
      </w:pPr>
    </w:p>
    <w:p>
      <w:pPr>
        <w:ind w:left="500" w:right="540" w:firstLine="360"/>
        <w:spacing w:after="0" w:line="233" w:lineRule="auto"/>
        <w:rPr>
          <w:sz w:val="20"/>
          <w:szCs w:val="20"/>
          <w:color w:val="auto"/>
        </w:rPr>
      </w:pPr>
      <w:r>
        <w:rPr>
          <w:rFonts w:ascii="Times New Roman" w:cs="Times New Roman" w:eastAsia="Times New Roman" w:hAnsi="Times New Roman"/>
          <w:sz w:val="16"/>
          <w:szCs w:val="16"/>
          <w:color w:val="auto"/>
        </w:rPr>
        <w:t>The Company issued the unregistered 3.875% Senior Notes due 2029 (CUSIP Nos. 94106LBZ1 and U94106AK4) (the “</w:t>
      </w:r>
      <w:r>
        <w:rPr>
          <w:rFonts w:ascii="Times New Roman" w:cs="Times New Roman" w:eastAsia="Times New Roman" w:hAnsi="Times New Roman"/>
          <w:sz w:val="16"/>
          <w:szCs w:val="16"/>
          <w:i w:val="1"/>
          <w:iCs w:val="1"/>
          <w:color w:val="auto"/>
        </w:rPr>
        <w:t>Restricted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Notes</w:t>
      </w:r>
      <w:r>
        <w:rPr>
          <w:rFonts w:ascii="Times New Roman" w:cs="Times New Roman" w:eastAsia="Times New Roman" w:hAnsi="Times New Roman"/>
          <w:sz w:val="16"/>
          <w:szCs w:val="16"/>
          <w:color w:val="auto"/>
        </w:rPr>
        <w:t>”) on November 8, 2024, in a private offer pursuant to which such notes were exchanged for notes of Stericycle, Inc., a Delaware</w:t>
      </w:r>
    </w:p>
    <w:p>
      <w:pPr>
        <w:ind w:left="500"/>
        <w:spacing w:after="0"/>
        <w:rPr>
          <w:sz w:val="20"/>
          <w:szCs w:val="20"/>
          <w:color w:val="auto"/>
        </w:rPr>
      </w:pPr>
      <w:r>
        <w:rPr>
          <w:rFonts w:ascii="Times New Roman" w:cs="Times New Roman" w:eastAsia="Times New Roman" w:hAnsi="Times New Roman"/>
          <w:sz w:val="16"/>
          <w:szCs w:val="16"/>
          <w:color w:val="auto"/>
        </w:rPr>
        <w:t>corporation (“</w:t>
      </w:r>
      <w:r>
        <w:rPr>
          <w:rFonts w:ascii="Times New Roman" w:cs="Times New Roman" w:eastAsia="Times New Roman" w:hAnsi="Times New Roman"/>
          <w:sz w:val="16"/>
          <w:szCs w:val="16"/>
          <w:i w:val="1"/>
          <w:iCs w:val="1"/>
          <w:color w:val="auto"/>
        </w:rPr>
        <w:t>Stericycle</w:t>
      </w:r>
      <w:r>
        <w:rPr>
          <w:rFonts w:ascii="Times New Roman" w:cs="Times New Roman" w:eastAsia="Times New Roman" w:hAnsi="Times New Roman"/>
          <w:sz w:val="16"/>
          <w:szCs w:val="16"/>
          <w:color w:val="auto"/>
        </w:rPr>
        <w:t>”).</w:t>
      </w:r>
    </w:p>
    <w:p>
      <w:pPr>
        <w:spacing w:after="0" w:line="41" w:lineRule="exact"/>
        <w:rPr>
          <w:sz w:val="24"/>
          <w:szCs w:val="24"/>
          <w:color w:val="auto"/>
        </w:rPr>
      </w:pPr>
    </w:p>
    <w:p>
      <w:pPr>
        <w:ind w:left="500" w:right="640" w:firstLine="360"/>
        <w:spacing w:after="0" w:line="231" w:lineRule="auto"/>
        <w:rPr>
          <w:sz w:val="20"/>
          <w:szCs w:val="20"/>
          <w:color w:val="auto"/>
        </w:rPr>
      </w:pPr>
      <w:r>
        <w:rPr>
          <w:rFonts w:ascii="Times New Roman" w:cs="Times New Roman" w:eastAsia="Times New Roman" w:hAnsi="Times New Roman"/>
          <w:sz w:val="16"/>
          <w:szCs w:val="16"/>
          <w:color w:val="auto"/>
        </w:rPr>
        <w:t>The exchange offer expires at 5:00 p.m., New York City time, on June 23, 2025, unless the Company extends the offer. You may withdraw tenders of Restricted Notes at any time prior to the expiration of the exchange offer. The exchange offer is not subject to any</w:t>
      </w:r>
    </w:p>
    <w:p>
      <w:pPr>
        <w:ind w:left="500"/>
        <w:spacing w:after="0" w:line="230" w:lineRule="auto"/>
        <w:rPr>
          <w:sz w:val="20"/>
          <w:szCs w:val="20"/>
          <w:color w:val="auto"/>
        </w:rPr>
      </w:pPr>
      <w:r>
        <w:rPr>
          <w:rFonts w:ascii="Times New Roman" w:cs="Times New Roman" w:eastAsia="Times New Roman" w:hAnsi="Times New Roman"/>
          <w:sz w:val="16"/>
          <w:szCs w:val="16"/>
          <w:color w:val="auto"/>
        </w:rPr>
        <w:t>condition other than that it will not violate applicable law or interpretations of the staff of the Securities and Exchange Commission (the</w:t>
      </w:r>
    </w:p>
    <w:p>
      <w:pPr>
        <w:spacing w:after="0" w:line="1" w:lineRule="exact"/>
        <w:rPr>
          <w:sz w:val="24"/>
          <w:szCs w:val="24"/>
          <w:color w:val="auto"/>
        </w:rPr>
      </w:pPr>
    </w:p>
    <w:p>
      <w:pPr>
        <w:ind w:left="500" w:right="420"/>
        <w:spacing w:after="0" w:line="22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and that no proceedings with respect to the exchange offer have been instituted or threatened in any court or by any governmental agency. The exchange offer is not conditioned upon any minimum aggregate principal amount of Restricted Notes being tendered for</w:t>
      </w:r>
    </w:p>
    <w:p>
      <w:pPr>
        <w:ind w:left="500"/>
        <w:spacing w:after="0"/>
        <w:rPr>
          <w:sz w:val="20"/>
          <w:szCs w:val="20"/>
          <w:color w:val="auto"/>
        </w:rPr>
      </w:pPr>
      <w:r>
        <w:rPr>
          <w:rFonts w:ascii="Times New Roman" w:cs="Times New Roman" w:eastAsia="Times New Roman" w:hAnsi="Times New Roman"/>
          <w:sz w:val="16"/>
          <w:szCs w:val="16"/>
          <w:color w:val="auto"/>
        </w:rPr>
        <w:t>exchange.</w:t>
      </w:r>
    </w:p>
    <w:p>
      <w:pPr>
        <w:spacing w:after="0" w:line="11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Principal Terms of the Registered Notes</w:t>
      </w:r>
    </w:p>
    <w:p>
      <w:pPr>
        <w:spacing w:after="0" w:line="66"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The terms of the Registered Notes to be issued in the exchange offer are substantially identical in all material respects to the terms of the</w:t>
      </w:r>
    </w:p>
    <w:p>
      <w:pPr>
        <w:spacing w:after="0" w:line="10" w:lineRule="exact"/>
        <w:rPr>
          <w:sz w:val="24"/>
          <w:szCs w:val="24"/>
          <w:color w:val="auto"/>
        </w:rPr>
      </w:pPr>
    </w:p>
    <w:p>
      <w:pPr>
        <w:ind w:left="500" w:right="320"/>
        <w:spacing w:after="0" w:line="220" w:lineRule="auto"/>
        <w:rPr>
          <w:sz w:val="20"/>
          <w:szCs w:val="20"/>
          <w:color w:val="auto"/>
        </w:rPr>
      </w:pPr>
      <w:r>
        <w:rPr>
          <w:rFonts w:ascii="Times New Roman" w:cs="Times New Roman" w:eastAsia="Times New Roman" w:hAnsi="Times New Roman"/>
          <w:sz w:val="16"/>
          <w:szCs w:val="16"/>
          <w:color w:val="auto"/>
        </w:rPr>
        <w:t>Restricted Notes, except that the Registered Notes will not be subject to restrictions on transfer or to any increase in annual interest rate for failure to comply with the Registration Rights Agreement (as defined herein). The Registered Notes and the Restricted Notes that are not</w:t>
      </w:r>
    </w:p>
    <w:p>
      <w:pPr>
        <w:ind w:left="500"/>
        <w:spacing w:after="0" w:line="229" w:lineRule="auto"/>
        <w:rPr>
          <w:sz w:val="20"/>
          <w:szCs w:val="20"/>
          <w:color w:val="auto"/>
        </w:rPr>
      </w:pPr>
      <w:r>
        <w:rPr>
          <w:rFonts w:ascii="Times New Roman" w:cs="Times New Roman" w:eastAsia="Times New Roman" w:hAnsi="Times New Roman"/>
          <w:sz w:val="16"/>
          <w:szCs w:val="16"/>
          <w:color w:val="auto"/>
        </w:rPr>
        <w:t>exchanged in the exchange offer will be treated as a single series of debt securities under the Indenture (as defined below), pursuant to which</w:t>
      </w:r>
    </w:p>
    <w:p>
      <w:pPr>
        <w:ind w:left="500" w:right="80"/>
        <w:spacing w:after="0" w:line="231" w:lineRule="auto"/>
        <w:rPr>
          <w:sz w:val="20"/>
          <w:szCs w:val="20"/>
          <w:color w:val="auto"/>
        </w:rPr>
      </w:pPr>
      <w:r>
        <w:rPr>
          <w:rFonts w:ascii="Times New Roman" w:cs="Times New Roman" w:eastAsia="Times New Roman" w:hAnsi="Times New Roman"/>
          <w:sz w:val="16"/>
          <w:szCs w:val="16"/>
          <w:color w:val="auto"/>
        </w:rPr>
        <w:t>the Restricted Notes were, and the Registered Notes will be, issued, along with any additional notes of any applicable series issued pursuant to the Indenture.</w:t>
      </w:r>
    </w:p>
    <w:p>
      <w:pPr>
        <w:spacing w:after="0" w:line="33"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The Registered Notes are new securities, and there is currently no established trading market for the Registered Notes. The Company</w:t>
      </w:r>
    </w:p>
    <w:p>
      <w:pPr>
        <w:spacing w:after="0" w:line="10" w:lineRule="exact"/>
        <w:rPr>
          <w:sz w:val="24"/>
          <w:szCs w:val="24"/>
          <w:color w:val="auto"/>
        </w:rPr>
      </w:pPr>
    </w:p>
    <w:p>
      <w:pPr>
        <w:ind w:left="500" w:right="380"/>
        <w:spacing w:after="0" w:line="231" w:lineRule="auto"/>
        <w:rPr>
          <w:sz w:val="20"/>
          <w:szCs w:val="20"/>
          <w:color w:val="auto"/>
        </w:rPr>
      </w:pPr>
      <w:r>
        <w:rPr>
          <w:rFonts w:ascii="Times New Roman" w:cs="Times New Roman" w:eastAsia="Times New Roman" w:hAnsi="Times New Roman"/>
          <w:sz w:val="16"/>
          <w:szCs w:val="16"/>
          <w:color w:val="auto"/>
        </w:rPr>
        <w:t>does not intend to list the Registered Notes on any securities exchange or to apply for quotation in any automated dealer quotation system, and, therefore, no active public market is anticipated.</w:t>
      </w:r>
    </w:p>
    <w:p>
      <w:pPr>
        <w:spacing w:after="0" w:line="33"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color w:val="auto"/>
        </w:rPr>
        <w:t>The Registered Notes to be issued in the exchange offer will be the senior obligations of WM and will be fully and unconditionally</w:t>
      </w:r>
    </w:p>
    <w:p>
      <w:pPr>
        <w:spacing w:after="0" w:line="10" w:lineRule="exact"/>
        <w:rPr>
          <w:sz w:val="24"/>
          <w:szCs w:val="24"/>
          <w:color w:val="auto"/>
        </w:rPr>
      </w:pPr>
    </w:p>
    <w:p>
      <w:pPr>
        <w:ind w:left="500" w:right="60"/>
        <w:spacing w:after="0" w:line="220" w:lineRule="auto"/>
        <w:rPr>
          <w:sz w:val="20"/>
          <w:szCs w:val="20"/>
          <w:color w:val="auto"/>
        </w:rPr>
      </w:pPr>
      <w:r>
        <w:rPr>
          <w:rFonts w:ascii="Times New Roman" w:cs="Times New Roman" w:eastAsia="Times New Roman" w:hAnsi="Times New Roman"/>
          <w:sz w:val="16"/>
          <w:szCs w:val="16"/>
          <w:color w:val="auto"/>
        </w:rPr>
        <w:t>guaranteed by our wholly owned subsidiary, Waste Management Holdings, Inc. (“</w:t>
      </w:r>
      <w:r>
        <w:rPr>
          <w:rFonts w:ascii="Times New Roman" w:cs="Times New Roman" w:eastAsia="Times New Roman" w:hAnsi="Times New Roman"/>
          <w:sz w:val="16"/>
          <w:szCs w:val="16"/>
          <w:i w:val="1"/>
          <w:iCs w:val="1"/>
          <w:color w:val="auto"/>
        </w:rPr>
        <w:t>WM Holdings</w:t>
      </w:r>
      <w:r>
        <w:rPr>
          <w:rFonts w:ascii="Times New Roman" w:cs="Times New Roman" w:eastAsia="Times New Roman" w:hAnsi="Times New Roman"/>
          <w:sz w:val="16"/>
          <w:szCs w:val="16"/>
          <w:color w:val="auto"/>
        </w:rPr>
        <w:t>”). The Registered Notes will rank equally with all of our and WM Holdings’ existing and future senior indebtedness and will have the same interest payment dates, maturity date and interest</w:t>
      </w:r>
    </w:p>
    <w:p>
      <w:pPr>
        <w:ind w:left="500"/>
        <w:spacing w:after="0" w:line="229" w:lineRule="auto"/>
        <w:rPr>
          <w:sz w:val="20"/>
          <w:szCs w:val="20"/>
          <w:color w:val="auto"/>
        </w:rPr>
      </w:pPr>
      <w:r>
        <w:rPr>
          <w:rFonts w:ascii="Times New Roman" w:cs="Times New Roman" w:eastAsia="Times New Roman" w:hAnsi="Times New Roman"/>
          <w:sz w:val="16"/>
          <w:szCs w:val="16"/>
          <w:color w:val="auto"/>
        </w:rPr>
        <w:t>rate as the Restricted Notes. The Registered Notes will be structurally subordinated to all obligations of WM’s subsidiaries other than WM</w:t>
      </w:r>
    </w:p>
    <w:p>
      <w:pPr>
        <w:ind w:left="500" w:right="60"/>
        <w:spacing w:after="0" w:line="220" w:lineRule="auto"/>
        <w:rPr>
          <w:sz w:val="20"/>
          <w:szCs w:val="20"/>
          <w:color w:val="auto"/>
        </w:rPr>
      </w:pPr>
      <w:r>
        <w:rPr>
          <w:rFonts w:ascii="Times New Roman" w:cs="Times New Roman" w:eastAsia="Times New Roman" w:hAnsi="Times New Roman"/>
          <w:sz w:val="16"/>
          <w:szCs w:val="16"/>
          <w:color w:val="auto"/>
        </w:rPr>
        <w:t>Holdings, including trade payables of WM’s operating subsidiaries. This means that holders of the Registered Notes will have a junior position to the claims of creditors of WM’s operating subsidiaries on their assets and earnings. The Registered Notes will also be effectively</w:t>
      </w:r>
    </w:p>
    <w:p>
      <w:pPr>
        <w:ind w:left="500"/>
        <w:spacing w:after="0" w:line="229" w:lineRule="auto"/>
        <w:rPr>
          <w:sz w:val="20"/>
          <w:szCs w:val="20"/>
          <w:color w:val="auto"/>
        </w:rPr>
      </w:pPr>
      <w:r>
        <w:rPr>
          <w:rFonts w:ascii="Times New Roman" w:cs="Times New Roman" w:eastAsia="Times New Roman" w:hAnsi="Times New Roman"/>
          <w:sz w:val="16"/>
          <w:szCs w:val="16"/>
          <w:color w:val="auto"/>
        </w:rPr>
        <w:t>subordinated to any secured debt WM has or may incur, to the extent of the value of the assets securing that debt. The Indenture governing the</w:t>
      </w:r>
    </w:p>
    <w:p>
      <w:pPr>
        <w:ind w:left="500" w:right="80"/>
        <w:spacing w:after="0" w:line="231" w:lineRule="auto"/>
        <w:rPr>
          <w:sz w:val="20"/>
          <w:szCs w:val="20"/>
          <w:color w:val="auto"/>
        </w:rPr>
      </w:pPr>
      <w:r>
        <w:rPr>
          <w:rFonts w:ascii="Times New Roman" w:cs="Times New Roman" w:eastAsia="Times New Roman" w:hAnsi="Times New Roman"/>
          <w:sz w:val="16"/>
          <w:szCs w:val="16"/>
          <w:color w:val="auto"/>
        </w:rPr>
        <w:t>Registered Notes does not limit the amount of debt our subsidiaries can incur, and it permits us to incur some secured debt. Our debt balances are generally unsecured, except for capital leases and a note payable associated with our investment in federal low-income housing tax credits.</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 xml:space="preserve">You should carefully consider the risk factors beginning on page </w:t>
      </w:r>
      <w:r>
        <w:rPr>
          <w:rFonts w:ascii="Times New Roman" w:cs="Times New Roman" w:eastAsia="Times New Roman" w:hAnsi="Times New Roman"/>
          <w:sz w:val="16"/>
          <w:szCs w:val="16"/>
          <w:b w:val="1"/>
          <w:bCs w:val="1"/>
          <w:u w:val="single" w:color="auto"/>
          <w:color w:val="0000EE"/>
        </w:rPr>
        <w:t>11</w:t>
      </w:r>
      <w:r>
        <w:rPr>
          <w:rFonts w:ascii="Times New Roman" w:cs="Times New Roman" w:eastAsia="Times New Roman" w:hAnsi="Times New Roman"/>
          <w:sz w:val="16"/>
          <w:szCs w:val="16"/>
          <w:b w:val="1"/>
          <w:bCs w:val="1"/>
          <w:color w:val="auto"/>
        </w:rPr>
        <w:t xml:space="preserve"> of this prospectus before participating in the exchange offer.</w:t>
      </w:r>
    </w:p>
    <w:p>
      <w:pPr>
        <w:spacing w:after="0" w:line="59" w:lineRule="exact"/>
        <w:rPr>
          <w:sz w:val="24"/>
          <w:szCs w:val="24"/>
          <w:color w:val="auto"/>
        </w:rPr>
      </w:pPr>
    </w:p>
    <w:p>
      <w:pPr>
        <w:ind w:left="500" w:right="200" w:firstLine="360"/>
        <w:spacing w:after="0" w:line="248" w:lineRule="auto"/>
        <w:rPr>
          <w:sz w:val="20"/>
          <w:szCs w:val="20"/>
          <w:color w:val="auto"/>
        </w:rPr>
      </w:pPr>
      <w:r>
        <w:rPr>
          <w:rFonts w:ascii="Times New Roman" w:cs="Times New Roman" w:eastAsia="Times New Roman" w:hAnsi="Times New Roman"/>
          <w:sz w:val="15"/>
          <w:szCs w:val="15"/>
          <w:b w:val="1"/>
          <w:bCs w:val="1"/>
          <w:color w:val="auto"/>
        </w:rPr>
        <w:t>Each broker-dealer that receives Registered Notes for its own account pursuant to the exchange offer must acknowledge that it will deliver a prospectus in connection with any resale of such Registered Notes. The letter of transmittal states that, by so acknowledging and by delivering a</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prospectus, a broker-dealer will not be deemed to admit that it is an “underwriter” within the meaning of the Securities Act.</w:t>
      </w:r>
    </w:p>
    <w:p>
      <w:pPr>
        <w:spacing w:after="0" w:line="3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This prospectus, as it may be amended or supplemented from time to time, may be used by a broker-dealer in connection with resales of</w:t>
      </w:r>
    </w:p>
    <w:p>
      <w:pPr>
        <w:spacing w:after="0" w:line="12" w:lineRule="exact"/>
        <w:rPr>
          <w:sz w:val="24"/>
          <w:szCs w:val="24"/>
          <w:color w:val="auto"/>
        </w:rPr>
      </w:pPr>
    </w:p>
    <w:p>
      <w:pPr>
        <w:ind w:left="500" w:right="100"/>
        <w:spacing w:after="0" w:line="234" w:lineRule="auto"/>
        <w:rPr>
          <w:sz w:val="20"/>
          <w:szCs w:val="20"/>
          <w:color w:val="auto"/>
        </w:rPr>
      </w:pPr>
      <w:r>
        <w:rPr>
          <w:rFonts w:ascii="Times New Roman" w:cs="Times New Roman" w:eastAsia="Times New Roman" w:hAnsi="Times New Roman"/>
          <w:sz w:val="15"/>
          <w:szCs w:val="15"/>
          <w:b w:val="1"/>
          <w:bCs w:val="1"/>
          <w:color w:val="auto"/>
        </w:rPr>
        <w:t>Registered Notes received in exchange for Restricted Notes that were acquired by such broker-dealer as a result of market-making or other trading activities. The Company has agreed that, for a period ending on the earlier of (A) 180 days after the expiration date of the exchange offer and</w:t>
      </w:r>
    </w:p>
    <w:p>
      <w:pPr>
        <w:spacing w:after="0" w:line="1" w:lineRule="exact"/>
        <w:rPr>
          <w:sz w:val="24"/>
          <w:szCs w:val="24"/>
          <w:color w:val="auto"/>
        </w:rPr>
      </w:pPr>
    </w:p>
    <w:p>
      <w:pPr>
        <w:ind w:left="500" w:right="100" w:hanging="8"/>
        <w:spacing w:after="0" w:line="247" w:lineRule="auto"/>
        <w:tabs>
          <w:tab w:leader="none" w:pos="743"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 broker-dealers, the Company will use commercially reasonable efforts to amend or supplement this prospectus in order to expedite or facilitate the disposition of any Registered Notes by any such broker-dealers. See “</w:t>
      </w:r>
      <w:r>
        <w:rPr>
          <w:rFonts w:ascii="Times New Roman" w:cs="Times New Roman" w:eastAsia="Times New Roman" w:hAnsi="Times New Roman"/>
          <w:sz w:val="15"/>
          <w:szCs w:val="15"/>
          <w:b w:val="1"/>
          <w:bCs w:val="1"/>
          <w:i w:val="1"/>
          <w:iCs w:val="1"/>
          <w:color w:val="auto"/>
        </w:rPr>
        <w:t>Plan of Distribution</w:t>
      </w:r>
      <w:r>
        <w:rPr>
          <w:rFonts w:ascii="Times New Roman" w:cs="Times New Roman" w:eastAsia="Times New Roman" w:hAnsi="Times New Roman"/>
          <w:sz w:val="15"/>
          <w:szCs w:val="15"/>
          <w:b w:val="1"/>
          <w:bCs w:val="1"/>
          <w:color w:val="auto"/>
        </w:rPr>
        <w:t>.”</w:t>
      </w:r>
    </w:p>
    <w:p>
      <w:pPr>
        <w:spacing w:after="0" w:line="26" w:lineRule="exact"/>
        <w:rPr>
          <w:sz w:val="24"/>
          <w:szCs w:val="24"/>
          <w:color w:val="auto"/>
        </w:rPr>
      </w:pPr>
    </w:p>
    <w:p>
      <w:pPr>
        <w:ind w:left="500" w:right="440" w:firstLine="360"/>
        <w:spacing w:after="0" w:line="248" w:lineRule="auto"/>
        <w:rPr>
          <w:sz w:val="20"/>
          <w:szCs w:val="20"/>
          <w:color w:val="auto"/>
        </w:rPr>
      </w:pPr>
      <w:r>
        <w:rPr>
          <w:rFonts w:ascii="Times New Roman" w:cs="Times New Roman" w:eastAsia="Times New Roman" w:hAnsi="Times New Roman"/>
          <w:sz w:val="16"/>
          <w:szCs w:val="16"/>
          <w:b w:val="1"/>
          <w:bCs w:val="1"/>
          <w:color w:val="auto"/>
        </w:rPr>
        <w:t>None of the SEC, any state securities commission or other regulatory agency has approved or disapproved of the Registered Notes or the exchange offer or determined if this prospectus is truthful or complete. Any representation to the contrary is a criminal offense.</w:t>
      </w:r>
    </w:p>
    <w:p>
      <w:pPr>
        <w:spacing w:after="0" w:line="1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The date of this prospectus is May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247650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98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6"/>
          </w:tcPr>
          <w:p>
            <w:pPr>
              <w:ind w:left="16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6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220" w:type="dxa"/>
            <w:vAlign w:val="bottom"/>
            <w:tcBorders>
              <w:right w:val="single" w:sz="8" w:color="CCEEFF"/>
            </w:tcBorders>
            <w:gridSpan w:val="5"/>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iii</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gridSpan w:val="4"/>
          </w:tcPr>
          <w:p>
            <w:pPr>
              <w:ind w:left="17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gridSpan w:val="4"/>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180" w:type="dxa"/>
            <w:vAlign w:val="bottom"/>
            <w:tcBorders>
              <w:top w:val="single" w:sz="8" w:color="CCEEFF"/>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 REGISTERED NOTES</w:t>
            </w:r>
          </w:p>
        </w:tc>
        <w:tc>
          <w:tcPr>
            <w:tcW w:w="8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2060" w:type="dxa"/>
            <w:vAlign w:val="bottom"/>
            <w:tcBorders>
              <w:top w:val="single" w:sz="8" w:color="CCEEFF"/>
              <w:bottom w:val="single" w:sz="8" w:color="CCEEFF"/>
            </w:tcBorders>
            <w:gridSpan w:val="4"/>
          </w:tcPr>
          <w:p>
            <w:pPr>
              <w:ind w:left="17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spacing w:after="0"/>
              <w:rPr>
                <w:sz w:val="19"/>
                <w:szCs w:val="19"/>
                <w:color w:val="auto"/>
              </w:rPr>
            </w:pPr>
          </w:p>
        </w:tc>
        <w:tc>
          <w:tcPr>
            <w:tcW w:w="880" w:type="dxa"/>
            <w:vAlign w:val="bottom"/>
            <w:gridSpan w:val="2"/>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2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16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TERMS OF THE EXCHANGE OFFER</w:t>
            </w: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3720" w:type="dxa"/>
            <w:vAlign w:val="bottom"/>
            <w:tcBorders>
              <w:top w:val="single" w:sz="8" w:color="CCEEFF"/>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DESCRIPTION OF THE REGISTERED NOTES</w:t>
            </w:r>
          </w:p>
        </w:tc>
        <w:tc>
          <w:tcPr>
            <w:tcW w:w="6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CCEEFF"/>
              <w:bottom w:val="single" w:sz="8" w:color="CCEEFF"/>
            </w:tcBorders>
          </w:tcPr>
          <w:p>
            <w:pPr>
              <w:spacing w:after="0"/>
              <w:rPr>
                <w:sz w:val="19"/>
                <w:szCs w:val="19"/>
                <w:color w:val="auto"/>
              </w:rPr>
            </w:pPr>
          </w:p>
        </w:tc>
        <w:tc>
          <w:tcPr>
            <w:tcW w:w="940" w:type="dxa"/>
            <w:vAlign w:val="bottom"/>
            <w:tcBorders>
              <w:top w:val="single" w:sz="8" w:color="CCEEFF"/>
              <w:bottom w:val="single" w:sz="8" w:color="CCEEFF"/>
            </w:tcBorders>
          </w:tcPr>
          <w:p>
            <w:pPr>
              <w:spacing w:after="0"/>
              <w:rPr>
                <w:sz w:val="19"/>
                <w:szCs w:val="19"/>
                <w:color w:val="auto"/>
              </w:rPr>
            </w:pPr>
          </w:p>
        </w:tc>
        <w:tc>
          <w:tcPr>
            <w:tcW w:w="1980" w:type="dxa"/>
            <w:vAlign w:val="bottom"/>
            <w:tcBorders>
              <w:top w:val="single" w:sz="8" w:color="CCEEFF"/>
              <w:bottom w:val="single" w:sz="8" w:color="CCEEFF"/>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EXCHANGE OFFER; REGISTRATION RIGHTS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43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020" w:type="dxa"/>
            <w:vAlign w:val="bottom"/>
            <w:tcBorders>
              <w:top w:val="single" w:sz="8" w:color="CCEEFF"/>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940" w:type="dxa"/>
            <w:vAlign w:val="bottom"/>
            <w:tcBorders>
              <w:top w:val="single" w:sz="8" w:color="CCEEFF"/>
              <w:bottom w:val="single" w:sz="8" w:color="CCEEFF"/>
            </w:tcBorders>
          </w:tcPr>
          <w:p>
            <w:pPr>
              <w:spacing w:after="0"/>
              <w:rPr>
                <w:sz w:val="19"/>
                <w:szCs w:val="19"/>
                <w:color w:val="auto"/>
              </w:rPr>
            </w:pPr>
          </w:p>
        </w:tc>
        <w:tc>
          <w:tcPr>
            <w:tcW w:w="1980" w:type="dxa"/>
            <w:vAlign w:val="bottom"/>
            <w:tcBorders>
              <w:top w:val="single" w:sz="8" w:color="CCEEFF"/>
              <w:bottom w:val="single" w:sz="8" w:color="CCEEFF"/>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820" w:type="dxa"/>
            <w:vAlign w:val="bottom"/>
            <w:tcBorders>
              <w:bottom w:val="single" w:sz="8" w:color="CCEEFF"/>
            </w:tcBorders>
            <w:gridSpan w:val="5"/>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46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1480" w:type="dxa"/>
            <w:vAlign w:val="bottom"/>
            <w:tcBorders>
              <w:top w:val="single" w:sz="8" w:color="CCEEFF"/>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MATTERS</w:t>
            </w:r>
          </w:p>
        </w:tc>
        <w:tc>
          <w:tcPr>
            <w:tcW w:w="2440" w:type="dxa"/>
            <w:vAlign w:val="bottom"/>
            <w:tcBorders>
              <w:top w:val="single" w:sz="8" w:color="CCEEFF"/>
              <w:bottom w:val="single" w:sz="8" w:color="CCEEFF"/>
            </w:tcBorders>
            <w:gridSpan w:val="8"/>
          </w:tcPr>
          <w:p>
            <w:pPr>
              <w:spacing w:after="0"/>
              <w:rPr>
                <w:sz w:val="19"/>
                <w:szCs w:val="19"/>
                <w:color w:val="auto"/>
              </w:rPr>
            </w:pPr>
          </w:p>
        </w:tc>
        <w:tc>
          <w:tcPr>
            <w:tcW w:w="2040" w:type="dxa"/>
            <w:vAlign w:val="bottom"/>
            <w:tcBorders>
              <w:top w:val="single" w:sz="8" w:color="CCEEFF"/>
              <w:bottom w:val="single" w:sz="8" w:color="CCEEFF"/>
            </w:tcBorders>
            <w:gridSpan w:val="2"/>
          </w:tcPr>
          <w:p>
            <w:pPr>
              <w:spacing w:after="0"/>
              <w:rPr>
                <w:sz w:val="19"/>
                <w:szCs w:val="19"/>
                <w:color w:val="auto"/>
              </w:rPr>
            </w:pPr>
          </w:p>
        </w:tc>
        <w:tc>
          <w:tcPr>
            <w:tcW w:w="1980" w:type="dxa"/>
            <w:vAlign w:val="bottom"/>
            <w:tcBorders>
              <w:top w:val="single" w:sz="8" w:color="CCEEFF"/>
              <w:bottom w:val="single" w:sz="8" w:color="CCEEFF"/>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47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3140" w:type="dxa"/>
            <w:vAlign w:val="bottom"/>
            <w:tcBorders>
              <w:bottom w:val="single" w:sz="8" w:color="CCEEFF"/>
            </w:tcBorders>
            <w:gridSpan w:val="11"/>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48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940" w:type="dxa"/>
            <w:vAlign w:val="bottom"/>
            <w:tcBorders>
              <w:top w:val="single" w:sz="8" w:color="CCEEFF"/>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040" w:type="dxa"/>
            <w:vAlign w:val="bottom"/>
            <w:tcBorders>
              <w:top w:val="single" w:sz="8" w:color="CCEEFF"/>
              <w:bottom w:val="single" w:sz="8" w:color="CCEEFF"/>
            </w:tcBorders>
            <w:gridSpan w:val="2"/>
          </w:tcPr>
          <w:p>
            <w:pPr>
              <w:spacing w:after="0"/>
              <w:rPr>
                <w:sz w:val="19"/>
                <w:szCs w:val="19"/>
                <w:color w:val="auto"/>
              </w:rPr>
            </w:pPr>
          </w:p>
        </w:tc>
        <w:tc>
          <w:tcPr>
            <w:tcW w:w="1980" w:type="dxa"/>
            <w:vAlign w:val="bottom"/>
            <w:tcBorders>
              <w:top w:val="single" w:sz="8" w:color="CCEEFF"/>
              <w:bottom w:val="single" w:sz="8" w:color="CCEEFF"/>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r>
              <w:rPr>
                <w:rFonts w:ascii="Times New Roman" w:cs="Times New Roman" w:eastAsia="Times New Roman" w:hAnsi="Times New Roman"/>
                <w:sz w:val="18"/>
                <w:szCs w:val="18"/>
                <w:color w:val="0000EE"/>
                <w:w w:val="88"/>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-2356485</wp:posOffset>
            </wp:positionV>
            <wp:extent cx="5006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248920</wp:posOffset>
            </wp:positionV>
            <wp:extent cx="1183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Company has not authorized anyone to provide you with information that is different from the information included or incorporated by reference in this document. The Company cannot take responsibility for, nor provide assurances as to the reliability of, any different or additional information that others may give you. This document may only be used where it is legal to offer or sell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202565</wp:posOffset>
            </wp:positionV>
            <wp:extent cx="1183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No person is authorized in connection with the exchange offer to give any information or to make any representation not contained in this prospectus, and, if given or made, such other information or representation must not be relied upon as having been authorized by the Company. You should assume that the information contained in this prospectus is accurate only as of its date.</w:t>
      </w:r>
    </w:p>
    <w:p>
      <w:pPr>
        <w:spacing w:after="0" w:line="11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offer to sell or buy any Registered Notes in any jurisdiction where it is unlawful to do so.</w:t>
      </w:r>
    </w:p>
    <w:p>
      <w:pPr>
        <w:spacing w:after="0" w:line="94"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No person should construe anything in this prospectus as legal, business or tax advice. Each person should consult its own advisors as needed to make its investment decision and to determine whether it is legally permitted to participate in the exchange offer under applicable legal investment or similar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S-4 (File No. 333-287083) with respect to the exchange offer and the Registered Notes. This prospectus, which forms part of that registration statement, does not contain all the information included in the registration statement, including its exhibits and schedules. For further information about the Company, the exchange offer and the Registered Notes described in this prospectus, you should refer to the registration statement and its exhibits and schedules and the documents incorporated by reference herein. For a listing of documents incorporated by reference herein,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Statements the Company makes in this prospectus or in the documents incorporated by reference herein about certain contracts or other documents are not necessarily complete. When the Company makes such statements, the Company refers you to the copies of the contracts or documents that are filed as exhibits to the registration statement because those statements are qualified in all respects by reference to those exhibits. The registration statement incorporates important business and financial information about the Company that is not included or delivered with this document. The registration statement, including its exhibits and schedules, is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obtain this information without charge by writing to Waste Management, Inc., 800 Capitol Street, Suite 3000, Houston, Texas 77002, Attention: Corporate Secretary.</w:t>
      </w:r>
    </w:p>
    <w:p>
      <w:pPr>
        <w:spacing w:after="0" w:line="340"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order to ensure timely delivery, you must request the information no later than June 13, 2025, which is five business days before the expiration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prospectus and the information incorporated by reference herein contain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generally include statements regarding future results of operations, including revenues, earnings or cash flows; plans and objectives for the future; projections, estimates or assumptions relating to our operational or financial performance; projections, estimates or assumptions relating to our capital expenditures; or our opinions, views or beliefs about the effects of current or future events, circumstances or performance. You should view these statements with caution. These statements are not guarantees of future performance, circumstances or events. They are based on facts and circumstances known to us as of the date the statements are made, and you should not place undue reliance on any such forward-looking statements. Forward-looking statements are subject to certain risks and uncertainties that could cause actual results to differ materially from our historical experience and our present expectations or anticipated results. These risks and uncertainties include, but are not limited to, our ability to complete the transactions contemplated by the exchange offer, including the satisfaction or waiver of any conditions described in this prospectus; the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Please also see other risks discussed in our filings with the SEC, including Part I, Item 1A of our </w:t>
      </w:r>
      <w:hyperlink r:id="rId15">
        <w:r>
          <w:rPr>
            <w:rFonts w:ascii="Times New Roman" w:cs="Times New Roman" w:eastAsia="Times New Roman" w:hAnsi="Times New Roman"/>
            <w:sz w:val="18"/>
            <w:szCs w:val="18"/>
            <w:u w:val="single" w:color="auto"/>
            <w:color w:val="0000EE"/>
          </w:rPr>
          <w:t>Annual Report on Form 10-K for the year ended December 31, 2024</w:t>
        </w:r>
      </w:hyperlink>
      <w:r>
        <w:rPr>
          <w:rFonts w:ascii="Times New Roman" w:cs="Times New Roman" w:eastAsia="Times New Roman" w:hAnsi="Times New Roman"/>
          <w:sz w:val="18"/>
          <w:szCs w:val="18"/>
          <w:color w:val="auto"/>
        </w:rPr>
        <w:t xml:space="preserve">, as updated by Part II, Item 1A of our subsequent Quarterly Reports on Form 10-Q; and other risks discussed in “Risk Factors” beginning on page </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 xml:space="preserve"> of this prospectus.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some of the information contained or incorporated by reference in this prospectus. This summary does not contain all the details concerning the exchange offer or the Registered Notes, including information that may be important to you. To better understand our business and financial position, you should carefully review this entire document and the documents incorporated by reference herein, including the information under “Risk Factors” and “Cautionary Note Regarding Forward-Looking Statements.”</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62"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primarily providing services throughout the United States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segment,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106" w:lineRule="exact"/>
        <w:rPr>
          <w:sz w:val="20"/>
          <w:szCs w:val="20"/>
          <w:color w:val="auto"/>
        </w:rPr>
      </w:pPr>
    </w:p>
    <w:p>
      <w:pPr>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Inc., a provider of regulated waste and compliance services and secure information destruction services that protect people and brands, promote health and well-being and safeguard the environment.</w:t>
      </w:r>
    </w:p>
    <w:p>
      <w:pPr>
        <w:spacing w:after="0" w:line="108" w:lineRule="exact"/>
        <w:rPr>
          <w:sz w:val="20"/>
          <w:szCs w:val="20"/>
          <w:color w:val="auto"/>
        </w:rPr>
      </w:pPr>
    </w:p>
    <w:p>
      <w:pPr>
        <w:ind w:left="128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and does not constitute a part of this prospectus. Our common stock is traded on the New York Stock Exchange under the symbol “WM.”</w:t>
      </w:r>
    </w:p>
    <w:p>
      <w:pPr>
        <w:spacing w:after="0" w:line="39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62"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Waste Management Holdings, Inc., which we refer to in this prospectus as “WM Holdings,” is a direct wholly owned subsidiary of Waste Management, Inc. WM Holdings is a holding company and all operations are conducted by subsidiaries.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117"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Background</w:t>
      </w:r>
      <w:r>
        <w:rPr>
          <w:sz w:val="20"/>
          <w:szCs w:val="20"/>
          <w:color w:val="auto"/>
        </w:rPr>
        <w:tab/>
      </w:r>
      <w:r>
        <w:rPr>
          <w:rFonts w:ascii="Times New Roman" w:cs="Times New Roman" w:eastAsia="Times New Roman" w:hAnsi="Times New Roman"/>
          <w:sz w:val="18"/>
          <w:szCs w:val="18"/>
          <w:color w:val="auto"/>
        </w:rPr>
        <w:t>On November 8, 2024, we (i) completed our private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to all eligible holders for any and all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outstanding 3.875% Senior Notes due January 15, 2029</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issued by Stericycle (the “</w:t>
      </w:r>
      <w:r>
        <w:rPr>
          <w:rFonts w:ascii="Times New Roman" w:cs="Times New Roman" w:eastAsia="Times New Roman" w:hAnsi="Times New Roman"/>
          <w:sz w:val="18"/>
          <w:szCs w:val="18"/>
          <w:i w:val="1"/>
          <w:iCs w:val="1"/>
          <w:color w:val="auto"/>
        </w:rPr>
        <w:t>SRCL Exchange Offer</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issued the Restricted Notes and (ii) in connection with</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completion of the SRCL Exchange Offer, entered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into a registration rights agreement with the dealer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managers of the SRCL Exchange Offer with respect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Restricted Notes (the “</w:t>
      </w:r>
      <w:r>
        <w:rPr>
          <w:rFonts w:ascii="Times New Roman" w:cs="Times New Roman" w:eastAsia="Times New Roman" w:hAnsi="Times New Roman"/>
          <w:sz w:val="18"/>
          <w:szCs w:val="18"/>
          <w:i w:val="1"/>
          <w:iCs w:val="1"/>
          <w:color w:val="auto"/>
        </w:rPr>
        <w:t>Registration Rights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We are offering to issue the Registered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in exchange for the Restricted Notes to satisfy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obligations under the Registration Rights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Agreement to holders of the Restricted Notes.</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After the exchange offer is complete, holders of</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will no longer be entitled to any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or registration rights with respect to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except in the limited circumstances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described in the Registration Rights Agreement.</w:t>
      </w:r>
    </w:p>
    <w:p>
      <w:pPr>
        <w:spacing w:after="0" w:line="95"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Exchange Offer</w:t>
      </w:r>
      <w:r>
        <w:rPr>
          <w:sz w:val="20"/>
          <w:szCs w:val="20"/>
          <w:color w:val="auto"/>
        </w:rPr>
        <w:tab/>
      </w:r>
      <w:r>
        <w:rPr>
          <w:rFonts w:ascii="Times New Roman" w:cs="Times New Roman" w:eastAsia="Times New Roman" w:hAnsi="Times New Roman"/>
          <w:sz w:val="18"/>
          <w:szCs w:val="18"/>
          <w:color w:val="auto"/>
        </w:rPr>
        <w:t>We are offering to exchange the Restricted Notes for a</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like principal amount of Registered Notes, the offer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which has been registered under the Securities Act.</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Registered Notes will be substantially identical in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all material respects to the Restricted Notes, except that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Registered Notes will not be subject to restrictions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on transfer or to any increase in annual interest rate for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failure to comply with the Registration Rights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Agreement.</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Restricted Notes may be exchanged only in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minimum denominations of $2,000 and integral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multiples of $1,000 in excess thereof. You should read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discussion under the headings “</w:t>
      </w:r>
      <w:r>
        <w:rPr>
          <w:rFonts w:ascii="Times New Roman" w:cs="Times New Roman" w:eastAsia="Times New Roman" w:hAnsi="Times New Roman"/>
          <w:sz w:val="18"/>
          <w:szCs w:val="18"/>
          <w:i w:val="1"/>
          <w:iCs w:val="1"/>
          <w:color w:val="auto"/>
        </w:rPr>
        <w:t>The Registered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Registered Notes</w:t>
      </w:r>
      <w:r>
        <w:rPr>
          <w:rFonts w:ascii="Times New Roman" w:cs="Times New Roman" w:eastAsia="Times New Roman" w:hAnsi="Times New Roman"/>
          <w:sz w:val="18"/>
          <w:szCs w:val="18"/>
          <w:color w:val="auto"/>
        </w:rPr>
        <w:t>” for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further information regarding the Registered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You should also read the discussion under the heading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of the Exchange Offer</w:t>
      </w:r>
      <w:r>
        <w:rPr>
          <w:rFonts w:ascii="Times New Roman" w:cs="Times New Roman" w:eastAsia="Times New Roman" w:hAnsi="Times New Roman"/>
          <w:sz w:val="18"/>
          <w:szCs w:val="18"/>
          <w:color w:val="auto"/>
        </w:rPr>
        <w:t>” for further information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regarding the exchange offer and resale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Notes.</w:t>
      </w:r>
    </w:p>
    <w:p>
      <w:pPr>
        <w:spacing w:after="0" w:line="95"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Resales</w:t>
      </w:r>
      <w:r>
        <w:rPr>
          <w:sz w:val="20"/>
          <w:szCs w:val="20"/>
          <w:color w:val="auto"/>
        </w:rPr>
        <w:tab/>
      </w:r>
      <w:r>
        <w:rPr>
          <w:rFonts w:ascii="Times New Roman" w:cs="Times New Roman" w:eastAsia="Times New Roman" w:hAnsi="Times New Roman"/>
          <w:sz w:val="18"/>
          <w:szCs w:val="18"/>
          <w:color w:val="auto"/>
        </w:rPr>
        <w:t>Based on interpretations by the staff of the SEC set</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xml:space="preserve">forth in the no-action letters issued to </w:t>
      </w:r>
      <w:r>
        <w:rPr>
          <w:rFonts w:ascii="Times New Roman" w:cs="Times New Roman" w:eastAsia="Times New Roman" w:hAnsi="Times New Roman"/>
          <w:sz w:val="18"/>
          <w:szCs w:val="18"/>
          <w:i w:val="1"/>
          <w:iCs w:val="1"/>
          <w:color w:val="auto"/>
        </w:rPr>
        <w:t>Exxon Capital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 xml:space="preserve">Holdings Corporation </w:t>
      </w:r>
      <w:r>
        <w:rPr>
          <w:rFonts w:ascii="Times New Roman" w:cs="Times New Roman" w:eastAsia="Times New Roman" w:hAnsi="Times New Roman"/>
          <w:sz w:val="18"/>
          <w:szCs w:val="18"/>
          <w:color w:val="auto"/>
        </w:rPr>
        <w:t>(available May 13, 1988),</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 xml:space="preserve">Morgan Stanley &amp; Co., Incorporated </w:t>
      </w:r>
      <w:r>
        <w:rPr>
          <w:rFonts w:ascii="Times New Roman" w:cs="Times New Roman" w:eastAsia="Times New Roman" w:hAnsi="Times New Roman"/>
          <w:sz w:val="18"/>
          <w:szCs w:val="18"/>
          <w:color w:val="auto"/>
        </w:rPr>
        <w:t>(available June 5,</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xml:space="preserve">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xml:space="preserve"> (available July 2,</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1993), the Company believes that the Registered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may be offered for resale, resold and otherwise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transferred by you without compliance with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registration and prospectus delivery provisions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xml:space="preserve">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are acquiring the Registered Notes in the ordinary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course of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have not engaged in, do not intend to engage in, and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have no arrangement or understanding with any</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person to participate in, a distribution of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Registered Notes in violation of the Securities Act;</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you are not an “affiliate” of the Company as defined</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in Rule 405 of the Securities Act or, if you are such</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an “affiliate,” then you will comply with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prospectus delivery requirements of the Securities</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Act to the extent applicable in connection with any</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resale of the Registered Notes.</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completing and submitting the letter of transmittal</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and exchanging your Restricted Notes for Registered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as described below, you will be making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representations to this effect.</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Each participating broker-dealer that receives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Notes for its own account pursuant to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in exchange for the Restricted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that were acquired as a result of market-making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other trading activity must acknowledge that it will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deliver a prospectus in connection with any resale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Registered Notes.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Any holder of Restricted Notes who:</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is an affiliate of the Company as defined in Rule 405</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of the Securities Act;</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does not acquire the Registered Notes in the ordinary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course of its business; or</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cannot rely on the position of the staff of the SEC</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expressed in the no-action letters issued to </w:t>
      </w:r>
      <w:r>
        <w:rPr>
          <w:rFonts w:ascii="Times New Roman" w:cs="Times New Roman" w:eastAsia="Times New Roman" w:hAnsi="Times New Roman"/>
          <w:sz w:val="18"/>
          <w:szCs w:val="18"/>
          <w:i w:val="1"/>
          <w:iCs w:val="1"/>
          <w:color w:val="auto"/>
        </w:rPr>
        <w:t>Exxon</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i w:val="1"/>
          <w:iCs w:val="1"/>
          <w:color w:val="auto"/>
        </w:rPr>
        <w:t xml:space="preserve">Capital Holdings Corporation </w:t>
      </w:r>
      <w:r>
        <w:rPr>
          <w:rFonts w:ascii="Times New Roman" w:cs="Times New Roman" w:eastAsia="Times New Roman" w:hAnsi="Times New Roman"/>
          <w:sz w:val="18"/>
          <w:szCs w:val="18"/>
          <w:color w:val="auto"/>
        </w:rPr>
        <w:t>(available May 13,</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1988), </w:t>
      </w:r>
      <w:r>
        <w:rPr>
          <w:rFonts w:ascii="Times New Roman" w:cs="Times New Roman" w:eastAsia="Times New Roman" w:hAnsi="Times New Roman"/>
          <w:sz w:val="18"/>
          <w:szCs w:val="18"/>
          <w:i w:val="1"/>
          <w:iCs w:val="1"/>
          <w:color w:val="auto"/>
        </w:rPr>
        <w:t>Morgan Stanley &amp; Co., Incorporated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(available June 5, 1991) or similar no-action letters</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must, in the absence of an exemption, comply with</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registration and prospectus delivery requirements of</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the Securities Act in connection with the resale of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Registered Notes. The Company will not assume, nor</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will the Company indemnify you against, any</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liability you may incur under the Securities Act or</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state or local securities laws if you transfer any</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Registered Notes issued in the exchange offer absent</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compliance with the applicable registration and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prospectus delivery requirements or an applicable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exemption.</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If the Company determines that any changes in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applicable law or applicable interpretations of the SEC</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do not permit the Company to effect the exchange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 or a holder of Restricted Notes participating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exchange offer does not receive Registered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on the date of the exchange that may be sold without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restriction under state and U.S. federal securities laws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56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(other than due solely to the status of such holder as an</w:t>
      </w:r>
    </w:p>
    <w:p>
      <w:pPr>
        <w:spacing w:after="0" w:line="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affiliate of the Company within the meaning of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Securities Act) and notifies the Company within</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30 days after such holder first becomes aware of such</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restrictions, or the exchange offer, for any other reason,</w:t>
      </w:r>
    </w:p>
    <w:p>
      <w:pPr>
        <w:ind w:left="5260"/>
        <w:spacing w:after="0" w:line="234" w:lineRule="auto"/>
        <w:rPr>
          <w:sz w:val="20"/>
          <w:szCs w:val="20"/>
          <w:color w:val="auto"/>
        </w:rPr>
      </w:pPr>
      <w:r>
        <w:rPr>
          <w:rFonts w:ascii="Times New Roman" w:cs="Times New Roman" w:eastAsia="Times New Roman" w:hAnsi="Times New Roman"/>
          <w:sz w:val="18"/>
          <w:szCs w:val="18"/>
          <w:color w:val="auto"/>
        </w:rPr>
        <w:t>is not completed by November 9, 2025, or the</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Company receives a written request from any holder of</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within 20 business days after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consummation of the exchange offer representing that</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they hold Restricted Notes that are or were ineligible to</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 exchanged in the exchange offer then the Company</w:t>
      </w:r>
    </w:p>
    <w:p>
      <w:pPr>
        <w:ind w:left="5260"/>
        <w:spacing w:after="0" w:line="234" w:lineRule="auto"/>
        <w:rPr>
          <w:sz w:val="20"/>
          <w:szCs w:val="20"/>
          <w:color w:val="auto"/>
        </w:rPr>
      </w:pPr>
      <w:r>
        <w:rPr>
          <w:rFonts w:ascii="Times New Roman" w:cs="Times New Roman" w:eastAsia="Times New Roman" w:hAnsi="Times New Roman"/>
          <w:sz w:val="18"/>
          <w:szCs w:val="18"/>
          <w:color w:val="auto"/>
        </w:rPr>
        <w:t>will be required to use commercially reasonable efforts</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file as promptly as practicable after the date of such</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determination, a shelf registration statement under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Securities Act and to have such shelf registration</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statement become effective, which shelf registration</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statement would cover resales of the registrable</w:t>
      </w:r>
    </w:p>
    <w:p>
      <w:pPr>
        <w:ind w:left="5260"/>
        <w:spacing w:after="0" w:line="234" w:lineRule="auto"/>
        <w:rPr>
          <w:sz w:val="20"/>
          <w:szCs w:val="20"/>
          <w:color w:val="auto"/>
        </w:rPr>
      </w:pPr>
      <w:r>
        <w:rPr>
          <w:rFonts w:ascii="Times New Roman" w:cs="Times New Roman" w:eastAsia="Times New Roman" w:hAnsi="Times New Roman"/>
          <w:sz w:val="18"/>
          <w:szCs w:val="18"/>
          <w:color w:val="auto"/>
        </w:rPr>
        <w:t>securities of such series held by such persons. See</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of the Exchange Offer — Additional</w:t>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Expiration Time</w:t>
      </w:r>
      <w:r>
        <w:rPr>
          <w:sz w:val="20"/>
          <w:szCs w:val="20"/>
          <w:color w:val="auto"/>
        </w:rPr>
        <w:tab/>
      </w:r>
      <w:r>
        <w:rPr>
          <w:rFonts w:ascii="Times New Roman" w:cs="Times New Roman" w:eastAsia="Times New Roman" w:hAnsi="Times New Roman"/>
          <w:sz w:val="18"/>
          <w:szCs w:val="18"/>
          <w:color w:val="auto"/>
        </w:rPr>
        <w:t>The exchange offer will expire at 5:00 p.m., New York</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City time, on June 23, 2025, or such later date and time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which the Company extends it. The Company does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 currently intend to extend the expiration time for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offer.</w:t>
      </w:r>
    </w:p>
    <w:p>
      <w:pPr>
        <w:spacing w:after="0" w:line="95"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Conditions to the Exchange Offer</w:t>
      </w:r>
      <w:r>
        <w:rPr>
          <w:sz w:val="20"/>
          <w:szCs w:val="20"/>
          <w:color w:val="auto"/>
        </w:rPr>
        <w:tab/>
      </w:r>
      <w:r>
        <w:rPr>
          <w:rFonts w:ascii="Times New Roman" w:cs="Times New Roman" w:eastAsia="Times New Roman" w:hAnsi="Times New Roman"/>
          <w:sz w:val="18"/>
          <w:szCs w:val="18"/>
          <w:color w:val="auto"/>
        </w:rPr>
        <w:t>The exchange offer is subject to the following</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conditions, which the Company may waive:</w:t>
      </w:r>
    </w:p>
    <w:p>
      <w:pPr>
        <w:spacing w:after="0" w:line="126"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  the exchange offer does not violate applicable law,</w:t>
      </w:r>
    </w:p>
    <w:p>
      <w:pPr>
        <w:spacing w:after="0" w:line="2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rule, regulation or applicable interpretations of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staff of the SEC;</w:t>
      </w:r>
    </w:p>
    <w:p>
      <w:pPr>
        <w:spacing w:after="0" w:line="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the Restricted Notes shall be validly tendered in</w:t>
      </w:r>
    </w:p>
    <w:p>
      <w:pPr>
        <w:spacing w:after="0" w:line="27"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accordance with the procedures of the exchange offer</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as described in this prospectus;</w:t>
      </w:r>
    </w:p>
    <w:p>
      <w:pPr>
        <w:spacing w:after="0" w:line="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each holder of the Restricted Notes shall have made</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those certain representations as set forth below under</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Exchange Offer — Procedures for Tendering</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i w:val="1"/>
          <w:iCs w:val="1"/>
          <w:color w:val="auto"/>
        </w:rPr>
        <w:t>the Restricted Notes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there is no action or proceeding instituted or</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threatened in any court or by any governmental</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agency with respect to the exchange offer, which, in</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the Company’s judgment, could reasonably be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expected to impair the Company’s ability to proceed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with the exchange offer; and</w:t>
      </w:r>
    </w:p>
    <w:p>
      <w:pPr>
        <w:spacing w:after="0" w:line="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the exchange offer is made to all holders of</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Restricted Notes other than any holder of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European Economic Area or the United Kingdom to</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whom the exchange offer cannot be made without</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requiring the publication of a prospectus for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purposes of Regulation (EU) 2017/1129 or, as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case may be, such regulation as it forms part of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United Kingdom domestic law by virtue of the</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European Union (Withdrawal) Act 2018 (which may</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be certified or validated by way of representations</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from holders of the Restricted Notes).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exchange offer is not conditioned upon any</w:t>
            </w:r>
          </w:p>
        </w:tc>
      </w:tr>
      <w:tr>
        <w:trPr>
          <w:trHeight w:val="203"/>
        </w:trPr>
        <w:tc>
          <w:tcPr>
            <w:tcW w:w="3680" w:type="dxa"/>
            <w:vAlign w:val="bottom"/>
          </w:tcPr>
          <w:p>
            <w:pPr>
              <w:spacing w:after="0"/>
              <w:rPr>
                <w:sz w:val="17"/>
                <w:szCs w:val="17"/>
                <w:color w:val="auto"/>
              </w:rPr>
            </w:pPr>
          </w:p>
        </w:tc>
        <w:tc>
          <w:tcPr>
            <w:tcW w:w="452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8"/>
                <w:szCs w:val="18"/>
                <w:color w:val="auto"/>
              </w:rPr>
              <w:t>minimum aggregate principal amount of the Restricted</w:t>
            </w:r>
          </w:p>
        </w:tc>
      </w:tr>
      <w:tr>
        <w:trPr>
          <w:trHeight w:val="234"/>
        </w:trPr>
        <w:tc>
          <w:tcPr>
            <w:tcW w:w="3680" w:type="dxa"/>
            <w:vAlign w:val="bottom"/>
          </w:tcPr>
          <w:p>
            <w:pPr>
              <w:spacing w:after="0"/>
              <w:rPr>
                <w:sz w:val="20"/>
                <w:szCs w:val="20"/>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Notes being tendered for exchange.</w:t>
            </w:r>
          </w:p>
        </w:tc>
      </w:tr>
      <w:tr>
        <w:trPr>
          <w:trHeight w:val="317"/>
        </w:trPr>
        <w:tc>
          <w:tcPr>
            <w:tcW w:w="3680" w:type="dxa"/>
            <w:vAlign w:val="bottom"/>
          </w:tcPr>
          <w:p>
            <w:pPr>
              <w:spacing w:after="0"/>
              <w:rPr>
                <w:sz w:val="24"/>
                <w:szCs w:val="24"/>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Terms of the Exchange Offer — Conditions to the</w:t>
            </w:r>
          </w:p>
        </w:tc>
      </w:tr>
      <w:tr>
        <w:trPr>
          <w:trHeight w:val="236"/>
        </w:trPr>
        <w:tc>
          <w:tcPr>
            <w:tcW w:w="3680" w:type="dxa"/>
            <w:vAlign w:val="bottom"/>
          </w:tcPr>
          <w:p>
            <w:pPr>
              <w:spacing w:after="0"/>
              <w:rPr>
                <w:sz w:val="20"/>
                <w:szCs w:val="20"/>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w:t>
            </w: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Procedures for Tendering the Restricted Notes</w:t>
            </w: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you wish to accept and participate in the exchange</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offer, you must complete and submit the accompanying</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letter of transmittal, according to the instructions</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contained in this prospectus and the letter of</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transmittal, together with the Restricted Notes and any</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required documents, to the exchange agent at the</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address set forth on the cover of the letter of</w:t>
            </w:r>
          </w:p>
        </w:tc>
      </w:tr>
      <w:tr>
        <w:trPr>
          <w:trHeight w:val="214"/>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transmittal. As you hold Restricted Notes through The</w:t>
            </w:r>
          </w:p>
        </w:tc>
      </w:tr>
      <w:tr>
        <w:trPr>
          <w:trHeight w:val="218"/>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and wish to</w:t>
            </w:r>
          </w:p>
        </w:tc>
      </w:tr>
      <w:tr>
        <w:trPr>
          <w:trHeight w:val="214"/>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participate in the exchange offer, you must comply with</w:t>
            </w:r>
          </w:p>
        </w:tc>
      </w:tr>
      <w:tr>
        <w:trPr>
          <w:trHeight w:val="218"/>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Automated Tender Offer Program (“</w:t>
            </w:r>
            <w:r>
              <w:rPr>
                <w:rFonts w:ascii="Times New Roman" w:cs="Times New Roman" w:eastAsia="Times New Roman" w:hAnsi="Times New Roman"/>
                <w:sz w:val="18"/>
                <w:szCs w:val="18"/>
                <w:i w:val="1"/>
                <w:iCs w:val="1"/>
                <w:color w:val="auto"/>
              </w:rPr>
              <w:t>ATOP</w:t>
            </w:r>
            <w:r>
              <w:rPr>
                <w:rFonts w:ascii="Times New Roman" w:cs="Times New Roman" w:eastAsia="Times New Roman" w:hAnsi="Times New Roman"/>
                <w:sz w:val="18"/>
                <w:szCs w:val="18"/>
                <w:color w:val="auto"/>
              </w:rPr>
              <w:t>”)</w:t>
            </w:r>
          </w:p>
        </w:tc>
      </w:tr>
      <w:tr>
        <w:trPr>
          <w:trHeight w:val="234"/>
        </w:trPr>
        <w:tc>
          <w:tcPr>
            <w:tcW w:w="3680" w:type="dxa"/>
            <w:vAlign w:val="bottom"/>
          </w:tcPr>
          <w:p>
            <w:pPr>
              <w:spacing w:after="0"/>
              <w:rPr>
                <w:sz w:val="20"/>
                <w:szCs w:val="20"/>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procedures of DTC described herein.</w:t>
            </w:r>
          </w:p>
        </w:tc>
      </w:tr>
      <w:tr>
        <w:trPr>
          <w:trHeight w:val="333"/>
        </w:trPr>
        <w:tc>
          <w:tcPr>
            <w:tcW w:w="3680" w:type="dxa"/>
            <w:vAlign w:val="bottom"/>
          </w:tcPr>
          <w:p>
            <w:pPr>
              <w:spacing w:after="0"/>
              <w:rPr>
                <w:sz w:val="24"/>
                <w:szCs w:val="24"/>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By signing or agreeing to be bound by the letter of</w:t>
            </w:r>
          </w:p>
        </w:tc>
      </w:tr>
      <w:tr>
        <w:trPr>
          <w:trHeight w:val="203"/>
        </w:trPr>
        <w:tc>
          <w:tcPr>
            <w:tcW w:w="3680" w:type="dxa"/>
            <w:vAlign w:val="bottom"/>
          </w:tcPr>
          <w:p>
            <w:pPr>
              <w:spacing w:after="0"/>
              <w:rPr>
                <w:sz w:val="17"/>
                <w:szCs w:val="17"/>
                <w:color w:val="auto"/>
              </w:rPr>
            </w:pPr>
          </w:p>
        </w:tc>
        <w:tc>
          <w:tcPr>
            <w:tcW w:w="452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8"/>
                <w:szCs w:val="18"/>
                <w:color w:val="auto"/>
              </w:rPr>
              <w:t>transmittal, or, in the case of book-entry transfer, an</w:t>
            </w:r>
          </w:p>
        </w:tc>
      </w:tr>
      <w:tr>
        <w:trPr>
          <w:trHeight w:val="203"/>
        </w:trPr>
        <w:tc>
          <w:tcPr>
            <w:tcW w:w="3680" w:type="dxa"/>
            <w:vAlign w:val="bottom"/>
          </w:tcPr>
          <w:p>
            <w:pPr>
              <w:spacing w:after="0"/>
              <w:rPr>
                <w:sz w:val="17"/>
                <w:szCs w:val="17"/>
                <w:color w:val="auto"/>
              </w:rPr>
            </w:pPr>
          </w:p>
        </w:tc>
        <w:tc>
          <w:tcPr>
            <w:tcW w:w="4520" w:type="dxa"/>
            <w:vAlign w:val="bottom"/>
            <w:gridSpan w:val="2"/>
          </w:tcPr>
          <w:p>
            <w:pPr>
              <w:ind w:left="300"/>
              <w:spacing w:after="0" w:line="202" w:lineRule="exact"/>
              <w:rPr>
                <w:sz w:val="20"/>
                <w:szCs w:val="20"/>
                <w:color w:val="auto"/>
              </w:rPr>
            </w:pPr>
            <w:r>
              <w:rPr>
                <w:rFonts w:ascii="Times New Roman" w:cs="Times New Roman" w:eastAsia="Times New Roman" w:hAnsi="Times New Roman"/>
                <w:sz w:val="18"/>
                <w:szCs w:val="18"/>
                <w:color w:val="auto"/>
              </w:rPr>
              <w:t>agent’s message in lieu of the letter of transmittal, you</w:t>
            </w:r>
          </w:p>
        </w:tc>
      </w:tr>
      <w:tr>
        <w:trPr>
          <w:trHeight w:val="234"/>
        </w:trPr>
        <w:tc>
          <w:tcPr>
            <w:tcW w:w="3680" w:type="dxa"/>
            <w:vAlign w:val="bottom"/>
          </w:tcPr>
          <w:p>
            <w:pPr>
              <w:spacing w:after="0"/>
              <w:rPr>
                <w:sz w:val="20"/>
                <w:szCs w:val="20"/>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represent to the Company that, among other things:</w:t>
            </w:r>
          </w:p>
        </w:tc>
      </w:tr>
      <w:tr>
        <w:trPr>
          <w:trHeight w:val="333"/>
        </w:trPr>
        <w:tc>
          <w:tcPr>
            <w:tcW w:w="368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Registered Notes that you receive will be</w:t>
            </w:r>
          </w:p>
        </w:tc>
      </w:tr>
      <w:tr>
        <w:trPr>
          <w:trHeight w:val="234"/>
        </w:trPr>
        <w:tc>
          <w:tcPr>
            <w:tcW w:w="3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acquired in the ordinary course of business;</w:t>
            </w:r>
          </w:p>
        </w:tc>
      </w:tr>
      <w:tr>
        <w:trPr>
          <w:trHeight w:val="346"/>
        </w:trPr>
        <w:tc>
          <w:tcPr>
            <w:tcW w:w="368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you have not engaged in, do not intend to engage in,</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have no arrangement or understanding with any</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to participate in, a distribution of the</w:t>
            </w:r>
          </w:p>
        </w:tc>
      </w:tr>
      <w:tr>
        <w:trPr>
          <w:trHeight w:val="234"/>
        </w:trPr>
        <w:tc>
          <w:tcPr>
            <w:tcW w:w="3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Notes in violation of the Securities Act;</w:t>
            </w:r>
          </w:p>
        </w:tc>
      </w:tr>
      <w:tr>
        <w:trPr>
          <w:trHeight w:val="333"/>
        </w:trPr>
        <w:tc>
          <w:tcPr>
            <w:tcW w:w="3680" w:type="dxa"/>
            <w:vAlign w:val="bottom"/>
          </w:tcPr>
          <w:p>
            <w:pPr>
              <w:spacing w:after="0"/>
              <w:rPr>
                <w:sz w:val="24"/>
                <w:szCs w:val="24"/>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if you are a broker-dealer that will receive Registered</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for your own account in exchange for</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Notes that were acquired as a result of</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market-making or other trading activities, you will</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 a prospectus, as required by law, in</w:t>
            </w:r>
          </w:p>
        </w:tc>
      </w:tr>
      <w:tr>
        <w:trPr>
          <w:trHeight w:val="234"/>
        </w:trPr>
        <w:tc>
          <w:tcPr>
            <w:tcW w:w="3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connection with any resale of the Registered Notes;</w:t>
            </w:r>
          </w:p>
        </w:tc>
      </w:tr>
      <w:tr>
        <w:trPr>
          <w:trHeight w:val="346"/>
        </w:trPr>
        <w:tc>
          <w:tcPr>
            <w:tcW w:w="368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you are not an “affiliate” of the Company as defined</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Rule 405 under the Securities Act, or if you are</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an “affiliate,” then you will comply with the</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prospectus delivery requirements of the Securities</w:t>
            </w:r>
          </w:p>
        </w:tc>
      </w:tr>
      <w:tr>
        <w:trPr>
          <w:trHeight w:val="216"/>
        </w:trPr>
        <w:tc>
          <w:tcPr>
            <w:tcW w:w="3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 to the extent applicable in connection with any</w:t>
            </w:r>
          </w:p>
        </w:tc>
      </w:tr>
      <w:tr>
        <w:trPr>
          <w:trHeight w:val="234"/>
        </w:trPr>
        <w:tc>
          <w:tcPr>
            <w:tcW w:w="3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resale of the Registered Notes; and</w:t>
            </w:r>
          </w:p>
        </w:tc>
      </w:tr>
      <w:tr>
        <w:trPr>
          <w:trHeight w:val="333"/>
        </w:trPr>
        <w:tc>
          <w:tcPr>
            <w:tcW w:w="368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you are not prohibited by law or policy from</w:t>
            </w:r>
          </w:p>
        </w:tc>
      </w:tr>
      <w:tr>
        <w:trPr>
          <w:trHeight w:val="234"/>
        </w:trPr>
        <w:tc>
          <w:tcPr>
            <w:tcW w:w="3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participating in the exchange offer.</w:t>
            </w: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Procedures for Beneficial Owners</w:t>
            </w: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you are a beneficial owner whose Restricted Notes</w:t>
            </w:r>
          </w:p>
        </w:tc>
      </w:tr>
      <w:tr>
        <w:trPr>
          <w:trHeight w:val="216"/>
        </w:trPr>
        <w:tc>
          <w:tcPr>
            <w:tcW w:w="368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are registered in the name of a broker, dealer,</w:t>
            </w:r>
          </w:p>
        </w:tc>
      </w:tr>
      <w:tr>
        <w:trPr>
          <w:trHeight w:val="234"/>
        </w:trPr>
        <w:tc>
          <w:tcPr>
            <w:tcW w:w="3680" w:type="dxa"/>
            <w:vAlign w:val="bottom"/>
          </w:tcPr>
          <w:p>
            <w:pPr>
              <w:spacing w:after="0"/>
              <w:rPr>
                <w:sz w:val="20"/>
                <w:szCs w:val="20"/>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 bank, trust company or other nominee and</w:t>
            </w:r>
          </w:p>
        </w:tc>
      </w:tr>
    </w:tbl>
    <w:p>
      <w:pPr>
        <w:ind w:left="5260"/>
        <w:spacing w:after="0"/>
        <w:rPr>
          <w:sz w:val="20"/>
          <w:szCs w:val="20"/>
          <w:color w:val="auto"/>
        </w:rPr>
      </w:pPr>
      <w:r>
        <w:rPr>
          <w:rFonts w:ascii="Times New Roman" w:cs="Times New Roman" w:eastAsia="Times New Roman" w:hAnsi="Times New Roman"/>
          <w:sz w:val="18"/>
          <w:szCs w:val="18"/>
          <w:color w:val="auto"/>
        </w:rPr>
        <w:t>you wish to tender such Restricted Notes in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you should promptly contact the person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whose name the Restricted Notes are registered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instruct that person to tender the Restricted Notes 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your behalf. If you wish to tender in the exchange offer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on your own behalf, prior to completing and executing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letter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transmittal and delivering your Restricted Notes, you</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must either make appropriate arrangements to register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ownership of the Restricted Notes in your name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obtain a properly completed bond power from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person in whose name the Restricted Notes are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The transfer of registered ownership may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take considerable time and may not be able to be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completed prior to the expiration time of the exchange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If you are a beneficial owner that holds Restricted</w:t>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through Euroclear Bank S.A./N.V., as operator of</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Euroclear System (“</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or Clearstream</w:t>
      </w:r>
    </w:p>
    <w:p>
      <w:pPr>
        <w:ind w:left="5260"/>
        <w:spacing w:after="0" w:line="234" w:lineRule="auto"/>
        <w:rPr>
          <w:sz w:val="20"/>
          <w:szCs w:val="20"/>
          <w:color w:val="auto"/>
        </w:rPr>
      </w:pPr>
      <w:r>
        <w:rPr>
          <w:rFonts w:ascii="Times New Roman" w:cs="Times New Roman" w:eastAsia="Times New Roman" w:hAnsi="Times New Roman"/>
          <w:sz w:val="18"/>
          <w:szCs w:val="18"/>
          <w:color w:val="auto"/>
        </w:rPr>
        <w:t>Banking, société anonyme (“</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and wish</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tender your Restricted Notes, contact Euroclear or</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Clearstream directly to ascertain the procedures for</w:t>
      </w:r>
    </w:p>
    <w:p>
      <w:pPr>
        <w:ind w:left="5260"/>
        <w:spacing w:after="0" w:line="234" w:lineRule="auto"/>
        <w:rPr>
          <w:sz w:val="20"/>
          <w:szCs w:val="20"/>
          <w:color w:val="auto"/>
        </w:rPr>
      </w:pPr>
      <w:r>
        <w:rPr>
          <w:rFonts w:ascii="Times New Roman" w:cs="Times New Roman" w:eastAsia="Times New Roman" w:hAnsi="Times New Roman"/>
          <w:sz w:val="18"/>
          <w:szCs w:val="18"/>
          <w:color w:val="auto"/>
        </w:rPr>
        <w:t>tendering Restricted Notes and comply with such</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procedures.</w:t>
      </w:r>
    </w:p>
    <w:p>
      <w:pPr>
        <w:spacing w:after="0" w:line="93"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Withdrawal of Tenders</w:t>
      </w:r>
      <w:r>
        <w:rPr>
          <w:sz w:val="20"/>
          <w:szCs w:val="20"/>
          <w:color w:val="auto"/>
        </w:rPr>
        <w:tab/>
      </w:r>
      <w:r>
        <w:rPr>
          <w:rFonts w:ascii="Times New Roman" w:cs="Times New Roman" w:eastAsia="Times New Roman" w:hAnsi="Times New Roman"/>
          <w:sz w:val="18"/>
          <w:szCs w:val="18"/>
          <w:color w:val="auto"/>
        </w:rPr>
        <w:t>Tenders of the Restricted Notes pursuant to the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may be withdrawn at any time prior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expiration time. To withdraw, you must send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written notice of withdrawal to the exchange agent at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its address indicated under “</w:t>
      </w:r>
      <w:r>
        <w:rPr>
          <w:rFonts w:ascii="Times New Roman" w:cs="Times New Roman" w:eastAsia="Times New Roman" w:hAnsi="Times New Roman"/>
          <w:sz w:val="18"/>
          <w:szCs w:val="18"/>
          <w:i w:val="1"/>
          <w:iCs w:val="1"/>
          <w:color w:val="auto"/>
        </w:rPr>
        <w:t>Terms of the Exchange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Offer — Exchange Agent</w:t>
      </w:r>
      <w:r>
        <w:rPr>
          <w:rFonts w:ascii="Times New Roman" w:cs="Times New Roman" w:eastAsia="Times New Roman" w:hAnsi="Times New Roman"/>
          <w:sz w:val="18"/>
          <w:szCs w:val="18"/>
          <w:color w:val="auto"/>
        </w:rPr>
        <w:t>” before the expiration time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exchange offer.</w:t>
      </w:r>
    </w:p>
    <w:p>
      <w:pPr>
        <w:spacing w:after="0" w:line="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Acceptance of the Restricted Notes and Delivery</w:t>
      </w:r>
    </w:p>
    <w:p>
      <w:pPr>
        <w:spacing w:after="0" w:line="31" w:lineRule="exact"/>
        <w:rPr>
          <w:sz w:val="20"/>
          <w:szCs w:val="20"/>
          <w:color w:val="auto"/>
        </w:rPr>
      </w:pPr>
    </w:p>
    <w:p>
      <w:pPr>
        <w:ind w:left="146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of the Registered Notes</w:t>
      </w:r>
      <w:r>
        <w:rPr>
          <w:sz w:val="20"/>
          <w:szCs w:val="20"/>
          <w:color w:val="auto"/>
        </w:rPr>
        <w:tab/>
      </w:r>
      <w:r>
        <w:rPr>
          <w:rFonts w:ascii="Times New Roman" w:cs="Times New Roman" w:eastAsia="Times New Roman" w:hAnsi="Times New Roman"/>
          <w:sz w:val="18"/>
          <w:szCs w:val="18"/>
          <w:color w:val="auto"/>
        </w:rPr>
        <w:t>If all of the conditions to the completion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are satisfied, the Company will accept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any and all Restricted Notes that are properly tendered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the exchange offer and not properly withdrawn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before the expiration time. The Company will return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any Restricted Notes that the Company does not accept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for exchange to its registered holder at the Company’s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expense promptly after the expiration time.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Company will deliver the Registered Notes to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holders of Restricted Notes accepted for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promptly after the expiration time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acceptance of such Restricted Notes. See “</w:t>
      </w:r>
      <w:r>
        <w:rPr>
          <w:rFonts w:ascii="Times New Roman" w:cs="Times New Roman" w:eastAsia="Times New Roman" w:hAnsi="Times New Roman"/>
          <w:sz w:val="18"/>
          <w:szCs w:val="18"/>
          <w:i w:val="1"/>
          <w:iCs w:val="1"/>
          <w:color w:val="auto"/>
        </w:rPr>
        <w:t>Terms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Exchange Offer — Acceptance of Restricted Notes for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Exchange; Delivery of Registered Notes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Effect on Holders of the Restricted Notes</w:t>
      </w:r>
      <w:r>
        <w:rPr>
          <w:sz w:val="20"/>
          <w:szCs w:val="20"/>
          <w:color w:val="auto"/>
        </w:rPr>
        <w:tab/>
      </w:r>
      <w:r>
        <w:rPr>
          <w:rFonts w:ascii="Times New Roman" w:cs="Times New Roman" w:eastAsia="Times New Roman" w:hAnsi="Times New Roman"/>
          <w:sz w:val="18"/>
          <w:szCs w:val="18"/>
          <w:color w:val="auto"/>
        </w:rPr>
        <w:t>As a result of making, and upon acceptance for</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 all validly tendered Restricted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pursuant to the terms of, the exchange offer,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Company will have fulfilled a covenant contained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Registration Rights Agreement. If a holder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does not tender its Restricted Notes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exchange offer, such holder will continue to hold its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and such holder will be entitled to all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rights and limitations applicable to the Restricted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in the Indenture (as defined below in “</w:t>
      </w:r>
      <w:r>
        <w:rPr>
          <w:rFonts w:ascii="Times New Roman" w:cs="Times New Roman" w:eastAsia="Times New Roman" w:hAnsi="Times New Roman"/>
          <w:sz w:val="18"/>
          <w:szCs w:val="18"/>
          <w:i w:val="1"/>
          <w:iCs w:val="1"/>
          <w:color w:val="auto"/>
        </w:rPr>
        <w:t>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Registered Notes</w:t>
      </w:r>
      <w:r>
        <w:rPr>
          <w:rFonts w:ascii="Times New Roman" w:cs="Times New Roman" w:eastAsia="Times New Roman" w:hAnsi="Times New Roman"/>
          <w:sz w:val="18"/>
          <w:szCs w:val="18"/>
          <w:color w:val="auto"/>
        </w:rPr>
        <w:t>”), except for any rights under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Registration Rights Agreement that by their terms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terminate upon the consummation of the exchange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 See “</w:t>
      </w:r>
      <w:r>
        <w:rPr>
          <w:rFonts w:ascii="Times New Roman" w:cs="Times New Roman" w:eastAsia="Times New Roman" w:hAnsi="Times New Roman"/>
          <w:sz w:val="18"/>
          <w:szCs w:val="18"/>
          <w:i w:val="1"/>
          <w:iCs w:val="1"/>
          <w:color w:val="auto"/>
        </w:rPr>
        <w:t>Terms of the Exchange Offer — Purpose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Effect of the Exchange Offer</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Consequences of Failure to Exchange</w:t>
      </w:r>
      <w:r>
        <w:rPr>
          <w:sz w:val="20"/>
          <w:szCs w:val="20"/>
          <w:color w:val="auto"/>
        </w:rPr>
        <w:tab/>
      </w:r>
      <w:r>
        <w:rPr>
          <w:rFonts w:ascii="Times New Roman" w:cs="Times New Roman" w:eastAsia="Times New Roman" w:hAnsi="Times New Roman"/>
          <w:sz w:val="18"/>
          <w:szCs w:val="18"/>
          <w:color w:val="auto"/>
        </w:rPr>
        <w:t>All untendered Restricted Notes will continue to be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subject to the restrictions on transfer provided for in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and in the Indenture. In general,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may not be offered or sold unless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under the Securities Act, except pursuant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 exemption from, or in a transaction not subject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Securities Act and applicable state or local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securities laws. The trading market for your Restricted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will likely become more limited to the extent that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other holders of Restricted Notes participate in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Following consummation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the Company will not be required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 under the Securities Act any Restricted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that remain outstanding, except in the limited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circumstances in which it is obligated to file a shelf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registration statement for certain holders of Restricted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not eligible to participate in the exchange offer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pursuant to the Registration Rights Agreement. If your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Restricted Notes are not tendered and accepted in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offer, it may become more difficult to sell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transfer the Restricted Notes. See “</w:t>
      </w:r>
      <w:r>
        <w:rPr>
          <w:rFonts w:ascii="Times New Roman" w:cs="Times New Roman" w:eastAsia="Times New Roman" w:hAnsi="Times New Roman"/>
          <w:sz w:val="18"/>
          <w:szCs w:val="18"/>
          <w:i w:val="1"/>
          <w:iCs w:val="1"/>
          <w:color w:val="auto"/>
        </w:rPr>
        <w:t>Terms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Exchange Offer — Additional Obligations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Material U.S. Federal Income Tax</w:t>
      </w:r>
    </w:p>
    <w:p>
      <w:pPr>
        <w:spacing w:after="0" w:line="31" w:lineRule="exact"/>
        <w:rPr>
          <w:sz w:val="20"/>
          <w:szCs w:val="20"/>
          <w:color w:val="auto"/>
        </w:rPr>
      </w:pPr>
    </w:p>
    <w:p>
      <w:pPr>
        <w:ind w:left="146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Considerations</w:t>
      </w:r>
      <w:r>
        <w:rPr>
          <w:sz w:val="20"/>
          <w:szCs w:val="20"/>
          <w:color w:val="auto"/>
        </w:rPr>
        <w:tab/>
      </w:r>
      <w:r>
        <w:rPr>
          <w:rFonts w:ascii="Times New Roman" w:cs="Times New Roman" w:eastAsia="Times New Roman" w:hAnsi="Times New Roman"/>
          <w:sz w:val="18"/>
          <w:szCs w:val="18"/>
          <w:color w:val="auto"/>
        </w:rPr>
        <w:t>The exchange of Restricted Notes for Registered Notes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the exchange offer will not constitute a taxable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exchange for U.S. federal income tax purposes. See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Exchange Agent</w:t>
      </w:r>
      <w:r>
        <w:rPr>
          <w:sz w:val="20"/>
          <w:szCs w:val="20"/>
          <w:color w:val="auto"/>
        </w:rPr>
        <w:tab/>
      </w:r>
      <w:r>
        <w:rPr>
          <w:rFonts w:ascii="Times New Roman" w:cs="Times New Roman" w:eastAsia="Times New Roman" w:hAnsi="Times New Roman"/>
          <w:sz w:val="18"/>
          <w:szCs w:val="18"/>
          <w:color w:val="auto"/>
        </w:rPr>
        <w:t>The Bank of New York Mellon Trust Company, N.A. is</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exchange agent for the exchange offer. The address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and telephone number of the exchange agent are set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forth under the heading “</w:t>
      </w:r>
      <w:r>
        <w:rPr>
          <w:rFonts w:ascii="Times New Roman" w:cs="Times New Roman" w:eastAsia="Times New Roman" w:hAnsi="Times New Roman"/>
          <w:sz w:val="18"/>
          <w:szCs w:val="18"/>
          <w:i w:val="1"/>
          <w:iCs w:val="1"/>
          <w:color w:val="auto"/>
        </w:rPr>
        <w:t>Terms of the Exchange Offer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 Exchange Agent</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REGISTERED NOTES</w:t>
      </w:r>
    </w:p>
    <w:p>
      <w:pPr>
        <w:spacing w:after="0" w:line="160" w:lineRule="exact"/>
        <w:rPr>
          <w:sz w:val="20"/>
          <w:szCs w:val="20"/>
          <w:color w:val="auto"/>
        </w:rPr>
      </w:pPr>
    </w:p>
    <w:p>
      <w:pPr>
        <w:ind w:left="128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terms of the Registered Notes are summarized below. This summary is not a complete description of the Registered Notes. For a more detailed description of the Registered Notes, see the discussion under the heading “Description of the Registered Notes.” In this section, the terms “WM,” “Company,” the “Issuer,” “we” and “our” refer only to Waste Management, Inc. and not any of its subsidiaries. Other than the restrictions on transfer, registration rights and additional interest provisions, the Registered Notes will have the same terms as the Restricted Notes.</w:t>
      </w:r>
    </w:p>
    <w:p>
      <w:pPr>
        <w:spacing w:after="0" w:line="117"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The Restricted Notes were, and the Registered Notes will be, issued by Waste Management, Inc. The following table sets forth the title (including interest rate), CUSIP numbers of the Restricted Notes, maturity date, aggregate principal amount and interest payment dates of the Registered Notes offered hereby. The Restricted Notes were, and the Registered Notes will be, issued under and pursuant to an Indenture dated as of September 10, 1997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between us and The Bank of New York Mellon Trust Company, N.A. (the current successor to the initial trustee, Texas Commerce Bank National Association),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a corresponding resolution of the Company’s board of directors and an accompanying officers’ certificate setting forth the specific terms applicable to the Restricted Notes and the Registered Notes (the “</w:t>
      </w:r>
      <w:r>
        <w:rPr>
          <w:rFonts w:ascii="Times New Roman" w:cs="Times New Roman" w:eastAsia="Times New Roman" w:hAnsi="Times New Roman"/>
          <w:sz w:val="18"/>
          <w:szCs w:val="18"/>
          <w:i w:val="1"/>
          <w:iCs w:val="1"/>
          <w:color w:val="auto"/>
        </w:rPr>
        <w:t>Indenture Officers’ Certificate</w:t>
      </w:r>
      <w:r>
        <w:rPr>
          <w:rFonts w:ascii="Times New Roman" w:cs="Times New Roman" w:eastAsia="Times New Roman" w:hAnsi="Times New Roman"/>
          <w:sz w:val="18"/>
          <w:szCs w:val="18"/>
          <w:color w:val="auto"/>
        </w:rPr>
        <w:t>”), which have been filed as an exhibit to the registration statement of which this prospectus forms a part.</w:t>
      </w:r>
    </w:p>
    <w:p>
      <w:pPr>
        <w:sectPr>
          <w:pgSz w:w="11900" w:h="16838" w:orient="portrait"/>
          <w:cols w:equalWidth="0" w:num="1">
            <w:col w:w="9879"/>
          </w:cols>
          <w:pgMar w:left="580" w:top="97" w:right="1440" w:bottom="1440" w:gutter="0" w:footer="0" w:header="0"/>
        </w:sectPr>
      </w:pPr>
    </w:p>
    <w:p>
      <w:pPr>
        <w:spacing w:after="0" w:line="3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Title (Including Interest Rate)</w:t>
      </w:r>
    </w:p>
    <w:p>
      <w:pPr>
        <w:spacing w:after="0" w:line="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3.875% Senior Notes due</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2029</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Subsidiary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CUSIP Nos. of</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0" w:type="dxa"/>
            <w:vAlign w:val="bottom"/>
          </w:tcPr>
          <w:p>
            <w:pPr>
              <w:spacing w:after="0"/>
              <w:rPr>
                <w:sz w:val="14"/>
                <w:szCs w:val="14"/>
                <w:color w:val="auto"/>
              </w:rPr>
            </w:pPr>
          </w:p>
        </w:tc>
      </w:tr>
      <w:tr>
        <w:trPr>
          <w:trHeight w:val="214"/>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 Notes</w:t>
            </w:r>
          </w:p>
        </w:tc>
        <w:tc>
          <w:tcPr>
            <w:tcW w:w="302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w w:val="70"/>
                <w:vertAlign w:val="subscript"/>
              </w:rPr>
              <w:t>​ ​</w:t>
            </w:r>
            <w:r>
              <w:rPr>
                <w:rFonts w:ascii="Times New Roman" w:cs="Times New Roman" w:eastAsia="Times New Roman" w:hAnsi="Times New Roman"/>
                <w:sz w:val="13"/>
                <w:szCs w:val="13"/>
                <w:b w:val="1"/>
                <w:bCs w:val="1"/>
                <w:color w:val="auto"/>
                <w:w w:val="70"/>
              </w:rPr>
              <w:t xml:space="preserve">   Maturity Date</w:t>
            </w:r>
            <w:r>
              <w:rPr>
                <w:rFonts w:ascii="Times New Roman" w:cs="Times New Roman" w:eastAsia="Times New Roman" w:hAnsi="Times New Roman"/>
                <w:sz w:val="24"/>
                <w:szCs w:val="24"/>
                <w:b w:val="1"/>
                <w:bCs w:val="1"/>
                <w:color w:val="auto"/>
                <w:w w:val="70"/>
                <w:vertAlign w:val="subscript"/>
              </w:rPr>
              <w:t xml:space="preserve">​ ​ </w:t>
            </w:r>
            <w:r>
              <w:rPr>
                <w:rFonts w:ascii="Times New Roman" w:cs="Times New Roman" w:eastAsia="Times New Roman" w:hAnsi="Times New Roman"/>
                <w:sz w:val="24"/>
                <w:szCs w:val="24"/>
                <w:b w:val="1"/>
                <w:bCs w:val="1"/>
                <w:color w:val="auto"/>
                <w:w w:val="70"/>
              </w:rPr>
              <w:t xml:space="preserve">Principal Amount </w:t>
            </w:r>
            <w:r>
              <w:rPr>
                <w:rFonts w:ascii="Times New Roman" w:cs="Times New Roman" w:eastAsia="Times New Roman" w:hAnsi="Times New Roman"/>
                <w:sz w:val="24"/>
                <w:szCs w:val="24"/>
                <w:b w:val="1"/>
                <w:bCs w:val="1"/>
                <w:color w:val="auto"/>
                <w:w w:val="70"/>
                <w:vertAlign w:val="subscript"/>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94106LBZ1 and</w:t>
            </w:r>
          </w:p>
        </w:tc>
        <w:tc>
          <w:tcPr>
            <w:tcW w:w="2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15 and</w:t>
            </w:r>
          </w:p>
        </w:tc>
        <w:tc>
          <w:tcPr>
            <w:tcW w:w="60" w:type="dxa"/>
            <w:vAlign w:val="bottom"/>
          </w:tcPr>
          <w:p>
            <w:pPr>
              <w:spacing w:after="0"/>
              <w:rPr>
                <w:sz w:val="18"/>
                <w:szCs w:val="18"/>
                <w:color w:val="auto"/>
              </w:rPr>
            </w:pPr>
          </w:p>
        </w:tc>
      </w:tr>
      <w:tr>
        <w:trPr>
          <w:trHeight w:val="261"/>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U94106AK4</w:t>
            </w: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​January 15, 2029 ​ ​ $485,084,000 ​ ​</w:t>
            </w: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July 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1420" w:right="419"/>
        <w:spacing w:after="0" w:line="256" w:lineRule="auto"/>
        <w:rPr>
          <w:sz w:val="20"/>
          <w:szCs w:val="20"/>
          <w:color w:val="auto"/>
        </w:rPr>
      </w:pPr>
      <w:r>
        <w:rPr>
          <w:rFonts w:ascii="Times New Roman" w:cs="Times New Roman" w:eastAsia="Times New Roman" w:hAnsi="Times New Roman"/>
          <w:sz w:val="18"/>
          <w:szCs w:val="18"/>
          <w:color w:val="auto"/>
        </w:rPr>
        <w:t>WM Holdings will fully and unconditionally guarantee, on a senior unsecured basis, the full and prompt payment of the principal and any premium and interest on the Registered Notes, when and as they become due and payable, whether at maturity or otherwise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420" w:right="439"/>
        <w:spacing w:after="0" w:line="252" w:lineRule="auto"/>
        <w:rPr>
          <w:sz w:val="20"/>
          <w:szCs w:val="20"/>
          <w:color w:val="auto"/>
        </w:rPr>
      </w:pPr>
      <w:r>
        <w:rPr>
          <w:rFonts w:ascii="Times New Roman" w:cs="Times New Roman" w:eastAsia="Times New Roman" w:hAnsi="Times New Roman"/>
          <w:sz w:val="18"/>
          <w:szCs w:val="18"/>
          <w:color w:val="auto"/>
        </w:rPr>
        <w:t>Interest on the Registered Notes will be payable semi-annually on January 15 and July 15, and will accrue from the most recent interest payment date of the Restricted Notes, which was January 15, 2025. The holders of the Restricted Notes that are accepted for exchange will be deemed to have waived the right to receive payment of accrued interest on those Restricted Notes from the last interest payment date on which interest was paid on such Restricted Notes to the date of issuance of the Registered Notes. Interest on the Restricted Notes accepted for exchange will cease to accrue upon issuance of the Registered Notes. Interest is payable on the Registered Notes beginning with the first interest payment date following the consummation of the exchange offer.</w:t>
      </w:r>
    </w:p>
    <w:p>
      <w:pPr>
        <w:spacing w:after="0" w:line="305" w:lineRule="exact"/>
        <w:rPr>
          <w:sz w:val="20"/>
          <w:szCs w:val="20"/>
          <w:color w:val="auto"/>
        </w:rPr>
      </w:pPr>
    </w:p>
    <w:p>
      <w:pPr>
        <w:ind w:left="1420" w:right="439"/>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holders of the Registered Notes may require the Company to purchase all or a portion of such holders’ Registered Notes at a price equal to 101% of the principal amount, plus accrued interest, if any, to the date of purchase. See “</w:t>
      </w:r>
      <w:r>
        <w:rPr>
          <w:rFonts w:ascii="Times New Roman" w:cs="Times New Roman" w:eastAsia="Times New Roman" w:hAnsi="Times New Roman"/>
          <w:sz w:val="18"/>
          <w:szCs w:val="18"/>
          <w:i w:val="1"/>
          <w:iCs w:val="1"/>
          <w:color w:val="auto"/>
        </w:rPr>
        <w:t>Description of the Registered Notes —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Offer</w:t>
      </w:r>
      <w:r>
        <w:rPr>
          <w:rFonts w:ascii="Times New Roman" w:cs="Times New Roman" w:eastAsia="Times New Roman" w:hAnsi="Times New Roman"/>
          <w:sz w:val="18"/>
          <w:szCs w:val="18"/>
          <w:color w:val="auto"/>
        </w:rPr>
        <w:t>” in this prospectus.</w:t>
      </w:r>
    </w:p>
    <w:p>
      <w:pPr>
        <w:spacing w:after="0" w:line="77" w:lineRule="exact"/>
        <w:rPr>
          <w:sz w:val="20"/>
          <w:szCs w:val="20"/>
          <w:color w:val="auto"/>
        </w:rPr>
      </w:pPr>
    </w:p>
    <w:p>
      <w:pPr>
        <w:sectPr>
          <w:pgSz w:w="11900" w:h="16838" w:orient="portrait"/>
          <w:cols w:equalWidth="0" w:num="2">
            <w:col w:w="3200" w:space="640"/>
            <w:col w:w="6039"/>
          </w:cols>
          <w:pgMar w:left="580" w:top="97" w:right="1440" w:bottom="1440" w:gutter="0" w:footer="0" w:header="0"/>
          <w:type w:val="continuous"/>
        </w:sect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Ranking</w:t>
      </w:r>
      <w:r>
        <w:rPr>
          <w:sz w:val="20"/>
          <w:szCs w:val="20"/>
          <w:color w:val="auto"/>
        </w:rPr>
        <w:tab/>
      </w:r>
      <w:r>
        <w:rPr>
          <w:rFonts w:ascii="Times New Roman" w:cs="Times New Roman" w:eastAsia="Times New Roman" w:hAnsi="Times New Roman"/>
          <w:sz w:val="18"/>
          <w:szCs w:val="18"/>
          <w:color w:val="auto"/>
        </w:rPr>
        <w:t>The Registered Notes and the Guarantee will constitute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senior unsecured debt of Waste Management, Inc.</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and WM Holdings, respectively, and will rank equally</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with all of our and its other existing and future senior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obligations from time to time outstanding. See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the Registered Notes — Ranking.</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Optional Redemption</w:t>
      </w:r>
      <w:r>
        <w:rPr>
          <w:sz w:val="20"/>
          <w:szCs w:val="20"/>
          <w:color w:val="auto"/>
        </w:rPr>
        <w:tab/>
      </w:r>
      <w:r>
        <w:rPr>
          <w:rFonts w:ascii="Times New Roman" w:cs="Times New Roman" w:eastAsia="Times New Roman" w:hAnsi="Times New Roman"/>
          <w:sz w:val="18"/>
          <w:szCs w:val="18"/>
          <w:color w:val="auto"/>
        </w:rPr>
        <w:t>We may elect to redeem and repay any or all of the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WM Notes at any time and from time to time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minimum principal amounts of $2,000 or any integral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multiple of $1,000 in excess thereof. Prior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December 15, 2028, we may redeem the Registered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at our option, in whole or in part, at any time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from time to time, at a redemption price (expressed as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 percentage of principal amount and rounded to three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decimal places) equal to the greater of: (1) (a) the sum</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the present values of the remaining scheduled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payments of principal and interest on the Registered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Notes to be redeemed discounted to the redemption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date (assuming the Registered Notes matured 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December 15, 2028) on a semi-annual basis (assuming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 360-day year consisting of twelve 30-day months) at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Treasury Rate plus 10 basis points, less (b) interest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accrued to the redemption date, and (2) 100%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principal amount of the Registered Notes to be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redeemed, plus, in either case, accrued and unpaid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interest thereon to the redemption date.</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On or after the December 15, 2028, we may redeem the</w:t>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Notes at our option, in whole or in part, at</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any time and from time to time, at a redemption price</w:t>
      </w:r>
    </w:p>
    <w:p>
      <w:pPr>
        <w:ind w:left="5260"/>
        <w:spacing w:after="0" w:line="234" w:lineRule="auto"/>
        <w:rPr>
          <w:sz w:val="20"/>
          <w:szCs w:val="20"/>
          <w:color w:val="auto"/>
        </w:rPr>
      </w:pPr>
      <w:r>
        <w:rPr>
          <w:rFonts w:ascii="Times New Roman" w:cs="Times New Roman" w:eastAsia="Times New Roman" w:hAnsi="Times New Roman"/>
          <w:sz w:val="18"/>
          <w:szCs w:val="18"/>
          <w:color w:val="auto"/>
        </w:rPr>
        <w:t>equal to 100% of the principal amount of the</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Notes to be redeemed, plus accrued and</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unpaid interest on the Registered Notes to be redeemed</w:t>
      </w:r>
    </w:p>
    <w:p>
      <w:pPr>
        <w:ind w:left="5260"/>
        <w:spacing w:after="0"/>
        <w:rPr>
          <w:sz w:val="20"/>
          <w:szCs w:val="20"/>
          <w:color w:val="auto"/>
        </w:rPr>
      </w:pPr>
      <w:r>
        <w:rPr>
          <w:rFonts w:ascii="Times New Roman" w:cs="Times New Roman" w:eastAsia="Times New Roman" w:hAnsi="Times New Roman"/>
          <w:sz w:val="18"/>
          <w:szCs w:val="18"/>
          <w:color w:val="auto"/>
        </w:rPr>
        <w:t>to the redemption date.</w:t>
      </w:r>
    </w:p>
    <w:p>
      <w:pPr>
        <w:spacing w:after="0" w:line="1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For more information on the redemption provisions of</w:t>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Registered Notes of each series, see “</w:t>
      </w:r>
      <w:r>
        <w:rPr>
          <w:rFonts w:ascii="Times New Roman" w:cs="Times New Roman" w:eastAsia="Times New Roman" w:hAnsi="Times New Roman"/>
          <w:sz w:val="18"/>
          <w:szCs w:val="18"/>
          <w:i w:val="1"/>
          <w:iCs w:val="1"/>
          <w:color w:val="auto"/>
        </w:rPr>
        <w:t>Description of</w:t>
      </w:r>
    </w:p>
    <w:p>
      <w:pPr>
        <w:spacing w:after="0" w:line="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the Registered Notes — Optional Redemption</w:t>
      </w:r>
      <w:r>
        <w:rPr>
          <w:rFonts w:ascii="Times New Roman" w:cs="Times New Roman" w:eastAsia="Times New Roman" w:hAnsi="Times New Roman"/>
          <w:sz w:val="18"/>
          <w:szCs w:val="18"/>
          <w:color w:val="auto"/>
        </w:rPr>
        <w:t>.” These</w:t>
      </w:r>
    </w:p>
    <w:p>
      <w:pPr>
        <w:ind w:left="5260"/>
        <w:spacing w:after="0" w:line="234" w:lineRule="auto"/>
        <w:rPr>
          <w:sz w:val="20"/>
          <w:szCs w:val="20"/>
          <w:color w:val="auto"/>
        </w:rPr>
      </w:pPr>
      <w:r>
        <w:rPr>
          <w:rFonts w:ascii="Times New Roman" w:cs="Times New Roman" w:eastAsia="Times New Roman" w:hAnsi="Times New Roman"/>
          <w:sz w:val="18"/>
          <w:szCs w:val="18"/>
          <w:color w:val="auto"/>
        </w:rPr>
        <w:t>redemption provisions are identical to those applicable</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the Restricted Notes to be exchanged in the exchange</w:t>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offer.</w:t>
      </w:r>
    </w:p>
    <w:p>
      <w:pPr>
        <w:spacing w:after="0" w:line="81"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Certain Covenants</w:t>
      </w:r>
      <w:r>
        <w:rPr>
          <w:sz w:val="20"/>
          <w:szCs w:val="20"/>
          <w:color w:val="auto"/>
        </w:rPr>
        <w:tab/>
      </w:r>
      <w:r>
        <w:rPr>
          <w:rFonts w:ascii="Times New Roman" w:cs="Times New Roman" w:eastAsia="Times New Roman" w:hAnsi="Times New Roman"/>
          <w:sz w:val="18"/>
          <w:szCs w:val="18"/>
          <w:color w:val="auto"/>
        </w:rPr>
        <w:t>We will issue the Registered Notes under the Indenture,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which contains covenants for your benefit. These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covenants restrict our ability, with certain exceptions,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create, incur or assume debt secured by liens;</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engage in sale and leaseback transactions; and</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merge, consolidate or transfer all or substantially all</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of our assets.</w:t>
      </w:r>
    </w:p>
    <w:p>
      <w:pPr>
        <w:spacing w:after="0" w:line="1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Registered Notes — Certain</w:t>
      </w:r>
    </w:p>
    <w:p>
      <w:pPr>
        <w:spacing w:after="0" w:line="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These covenants are identical to those applicable to the</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equivalent Restricted Notes to be exchanged in the</w:t>
      </w:r>
    </w:p>
    <w:p>
      <w:pPr>
        <w:ind w:left="5260"/>
        <w:spacing w:after="0"/>
        <w:rPr>
          <w:sz w:val="20"/>
          <w:szCs w:val="20"/>
          <w:color w:val="auto"/>
        </w:rPr>
      </w:pPr>
      <w:r>
        <w:rPr>
          <w:rFonts w:ascii="Times New Roman" w:cs="Times New Roman" w:eastAsia="Times New Roman" w:hAnsi="Times New Roman"/>
          <w:sz w:val="18"/>
          <w:szCs w:val="18"/>
          <w:color w:val="auto"/>
        </w:rPr>
        <w:t>exchange offer.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 will not receive any cash proceeds from</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issuance of the Registered Notes. In consideration</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 issuing the Registered Notes as contemplated in this</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prospectus, the Company will receive in exchange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Restricted Notes in like principal amount, which will</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 cancelled and, as such, issuing the Registered Notes</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will not result in any increase in the Company’s</w:t>
            </w:r>
          </w:p>
        </w:tc>
      </w:tr>
      <w:tr>
        <w:trPr>
          <w:trHeight w:val="234"/>
        </w:trPr>
        <w:tc>
          <w:tcPr>
            <w:tcW w:w="3980" w:type="dxa"/>
            <w:vAlign w:val="bottom"/>
          </w:tcPr>
          <w:p>
            <w:pPr>
              <w:spacing w:after="0"/>
              <w:rPr>
                <w:sz w:val="20"/>
                <w:szCs w:val="20"/>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indebtedness.</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Trustee, Registrar and Paying Agent</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30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and Denominations</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We will issue the Registered Notes in the form of one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more fully registered global securities registered in</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name of the nominee of DTC. Beneficial interests</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Registered Notes will be represented through</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book-entry accounts of financial institutions acting on</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behalf of beneficial owners as direct and indirect</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participants in DTC. Clearstream Banking S.A. and</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Euroclear Bank SA/NV will hold interests on behalf of</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their participants through their respective U.S.</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depositaries, which in turn will hold such interests in</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accounts as participants of DTC. Except in limited</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circumstances, owners of beneficial interests in the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Registered Notes will not be entitled to have Registered</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Notes registered in their names, will not receive or be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entitled to receive Registered Notes in definitive form</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will not be considered holders of Registered Notes</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Indenture. The Registered Notes will be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only in minimum denominations of $2,000 and</w:t>
            </w:r>
          </w:p>
        </w:tc>
      </w:tr>
      <w:tr>
        <w:trPr>
          <w:trHeight w:val="234"/>
        </w:trPr>
        <w:tc>
          <w:tcPr>
            <w:tcW w:w="3980" w:type="dxa"/>
            <w:vAlign w:val="bottom"/>
          </w:tcPr>
          <w:p>
            <w:pPr>
              <w:spacing w:after="0"/>
              <w:rPr>
                <w:sz w:val="20"/>
                <w:szCs w:val="20"/>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integral multiples of $1,000 in excess thereof.</w:t>
            </w:r>
          </w:p>
        </w:tc>
      </w:tr>
      <w:tr>
        <w:trPr>
          <w:trHeight w:val="30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 a discussion of factors you should carefully</w:t>
            </w:r>
          </w:p>
        </w:tc>
      </w:tr>
      <w:tr>
        <w:trPr>
          <w:trHeight w:val="214"/>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consider before deciding to invest in the Registered</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Notes, see “</w:t>
            </w:r>
            <w:r>
              <w:rPr>
                <w:rFonts w:ascii="Times New Roman" w:cs="Times New Roman" w:eastAsia="Times New Roman" w:hAnsi="Times New Roman"/>
                <w:sz w:val="18"/>
                <w:szCs w:val="18"/>
                <w:i w:val="1"/>
                <w:iCs w:val="1"/>
                <w:color w:val="auto"/>
              </w:rPr>
              <w:t>Cautionary Note Regarding Forward-</w:t>
            </w:r>
          </w:p>
        </w:tc>
      </w:tr>
      <w:tr>
        <w:trPr>
          <w:trHeight w:val="218"/>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w:t>
            </w:r>
          </w:p>
        </w:tc>
      </w:tr>
      <w:tr>
        <w:trPr>
          <w:trHeight w:val="194"/>
        </w:trPr>
        <w:tc>
          <w:tcPr>
            <w:tcW w:w="3980" w:type="dxa"/>
            <w:vAlign w:val="bottom"/>
          </w:tcPr>
          <w:p>
            <w:pPr>
              <w:spacing w:after="0"/>
              <w:rPr>
                <w:sz w:val="16"/>
                <w:szCs w:val="16"/>
                <w:color w:val="auto"/>
              </w:rPr>
            </w:pPr>
          </w:p>
        </w:tc>
        <w:tc>
          <w:tcPr>
            <w:tcW w:w="42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 xml:space="preserve">pages iii and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respectively, of this prospectus and the</w:t>
            </w:r>
          </w:p>
        </w:tc>
      </w:tr>
      <w:tr>
        <w:trPr>
          <w:trHeight w:val="20"/>
        </w:trPr>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980" w:type="dxa"/>
            <w:vAlign w:val="bottom"/>
          </w:tcPr>
          <w:p>
            <w:pPr>
              <w:spacing w:after="0"/>
              <w:rPr>
                <w:sz w:val="17"/>
                <w:szCs w:val="17"/>
                <w:color w:val="auto"/>
              </w:rPr>
            </w:pPr>
          </w:p>
        </w:tc>
        <w:tc>
          <w:tcPr>
            <w:tcW w:w="4220" w:type="dxa"/>
            <w:vAlign w:val="bottom"/>
            <w:gridSpan w:val="7"/>
          </w:tcPr>
          <w:p>
            <w:pPr>
              <w:spacing w:after="0" w:line="196" w:lineRule="exact"/>
              <w:rPr>
                <w:rFonts w:ascii="Times New Roman" w:cs="Times New Roman" w:eastAsia="Times New Roman" w:hAnsi="Times New Roman"/>
                <w:sz w:val="18"/>
                <w:szCs w:val="18"/>
                <w:color w:val="auto"/>
              </w:rPr>
            </w:pPr>
            <w:hyperlink r:id="rId15">
              <w:r>
                <w:rPr>
                  <w:rFonts w:ascii="Times New Roman" w:cs="Times New Roman" w:eastAsia="Times New Roman" w:hAnsi="Times New Roman"/>
                  <w:sz w:val="18"/>
                  <w:szCs w:val="18"/>
                  <w:color w:val="auto"/>
                </w:rPr>
                <w:t xml:space="preserve">“Risk Factors” discussed in the Company’s </w:t>
              </w:r>
              <w:r>
                <w:rPr>
                  <w:rFonts w:ascii="Times New Roman" w:cs="Times New Roman" w:eastAsia="Times New Roman" w:hAnsi="Times New Roman"/>
                  <w:sz w:val="18"/>
                  <w:szCs w:val="18"/>
                  <w:color w:val="0000EE"/>
                </w:rPr>
                <w:t>Annual</w:t>
              </w:r>
            </w:hyperlink>
          </w:p>
        </w:tc>
      </w:tr>
      <w:tr>
        <w:trPr>
          <w:trHeight w:val="20"/>
        </w:trPr>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980" w:type="dxa"/>
            <w:vAlign w:val="bottom"/>
          </w:tcPr>
          <w:p>
            <w:pPr>
              <w:spacing w:after="0"/>
              <w:rPr>
                <w:sz w:val="17"/>
                <w:szCs w:val="17"/>
                <w:color w:val="auto"/>
              </w:rPr>
            </w:pPr>
          </w:p>
        </w:tc>
        <w:tc>
          <w:tcPr>
            <w:tcW w:w="4220" w:type="dxa"/>
            <w:vAlign w:val="bottom"/>
            <w:gridSpan w:val="7"/>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Report on Form 10-K for the year ended December 31,</w:t>
              </w:r>
            </w:hyperlink>
          </w:p>
        </w:tc>
      </w:tr>
      <w:tr>
        <w:trPr>
          <w:trHeight w:val="20"/>
        </w:trPr>
        <w:tc>
          <w:tcPr>
            <w:tcW w:w="39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980" w:type="dxa"/>
            <w:vAlign w:val="bottom"/>
          </w:tcPr>
          <w:p>
            <w:pPr>
              <w:spacing w:after="0"/>
              <w:rPr>
                <w:sz w:val="17"/>
                <w:szCs w:val="17"/>
                <w:color w:val="auto"/>
              </w:rPr>
            </w:pPr>
          </w:p>
        </w:tc>
        <w:tc>
          <w:tcPr>
            <w:tcW w:w="4220" w:type="dxa"/>
            <w:vAlign w:val="bottom"/>
            <w:gridSpan w:val="7"/>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 and subsequent Quarterly Reports on Form 10-Q,</w:t>
              </w:r>
            </w:hyperlink>
          </w:p>
        </w:tc>
      </w:tr>
      <w:tr>
        <w:trPr>
          <w:trHeight w:val="20"/>
        </w:trPr>
        <w:tc>
          <w:tcPr>
            <w:tcW w:w="39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r>
      <w:tr>
        <w:trPr>
          <w:trHeight w:val="218"/>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which documents are incorporated by reference in this</w:t>
            </w:r>
          </w:p>
        </w:tc>
      </w:tr>
      <w:tr>
        <w:trPr>
          <w:trHeight w:val="234"/>
        </w:trPr>
        <w:tc>
          <w:tcPr>
            <w:tcW w:w="3980" w:type="dxa"/>
            <w:vAlign w:val="bottom"/>
          </w:tcPr>
          <w:p>
            <w:pPr>
              <w:spacing w:after="0"/>
              <w:rPr>
                <w:sz w:val="20"/>
                <w:szCs w:val="20"/>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prospectus.</w:t>
            </w:r>
          </w:p>
        </w:tc>
      </w:tr>
      <w:tr>
        <w:trPr>
          <w:trHeight w:val="30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Public Market</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Registered Notes are new securities, and there is</w:t>
            </w:r>
          </w:p>
        </w:tc>
      </w:tr>
      <w:tr>
        <w:trPr>
          <w:trHeight w:val="214"/>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currently no established trading market for the</w:t>
            </w:r>
          </w:p>
        </w:tc>
      </w:tr>
      <w:tr>
        <w:trPr>
          <w:trHeight w:val="218"/>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Registered Notes.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 active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trading market may not develop for the Registered</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Notes, and we do not intend to apply to list the</w:t>
            </w:r>
          </w:p>
        </w:tc>
      </w:tr>
      <w:tr>
        <w:trPr>
          <w:trHeight w:val="216"/>
        </w:trPr>
        <w:tc>
          <w:tcPr>
            <w:tcW w:w="3980" w:type="dxa"/>
            <w:vAlign w:val="bottom"/>
          </w:tcPr>
          <w:p>
            <w:pPr>
              <w:spacing w:after="0"/>
              <w:rPr>
                <w:sz w:val="18"/>
                <w:szCs w:val="18"/>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Registered Notes on any securities exchange or for</w:t>
            </w:r>
          </w:p>
        </w:tc>
      </w:tr>
      <w:tr>
        <w:trPr>
          <w:trHeight w:val="234"/>
        </w:trPr>
        <w:tc>
          <w:tcPr>
            <w:tcW w:w="3980" w:type="dxa"/>
            <w:vAlign w:val="bottom"/>
          </w:tcPr>
          <w:p>
            <w:pPr>
              <w:spacing w:after="0"/>
              <w:rPr>
                <w:sz w:val="20"/>
                <w:szCs w:val="20"/>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quotation in any automated dealer quotation system.</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4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State of New York.</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45"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Participating in the exchange offer and investing in the Registered Notes involves risks, which risks are substantially equivalent to those applicable to the Restricted Notes exchanged therefor except that the Registered Notes will be registered. You should carefully consider the following risk factors and all of the information contained in or incorporated by reference in this prospectus, including, but not limited to, the </w:t>
      </w:r>
      <w:hyperlink r:id="rId15">
        <w:r>
          <w:rPr>
            <w:rFonts w:ascii="Times New Roman" w:cs="Times New Roman" w:eastAsia="Times New Roman" w:hAnsi="Times New Roman"/>
            <w:sz w:val="18"/>
            <w:szCs w:val="18"/>
            <w:i w:val="1"/>
            <w:iCs w:val="1"/>
            <w:color w:val="auto"/>
          </w:rPr>
          <w:t xml:space="preserve">matters discussed under “Item 1(A). Risk Factors” of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15">
        <w:r>
          <w:rPr>
            <w:rFonts w:ascii="Times New Roman" w:cs="Times New Roman" w:eastAsia="Times New Roman" w:hAnsi="Times New Roman"/>
            <w:sz w:val="18"/>
            <w:szCs w:val="18"/>
            <w:i w:val="1"/>
            <w:iCs w:val="1"/>
            <w:u w:val="single" w:color="auto"/>
            <w:color w:val="0000EE"/>
          </w:rPr>
          <w:t>December 31, 2024</w:t>
        </w:r>
        <w:r>
          <w:rPr>
            <w:rFonts w:ascii="Times New Roman" w:cs="Times New Roman" w:eastAsia="Times New Roman" w:hAnsi="Times New Roman"/>
            <w:sz w:val="18"/>
            <w:szCs w:val="18"/>
            <w:i w:val="1"/>
            <w:iCs w:val="1"/>
            <w:color w:val="000000"/>
          </w:rPr>
          <w:t>, as updated by Part II, Item 1A of our Quarterly Reports on Form 10-Q, and other</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information which may be incorporated by reference in this prospectus after the date hereof.</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Registered Notes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impair our financial condition and our ability to fulfill our debt obligations, including our obligations under the Registered Notes.</w:t>
      </w:r>
    </w:p>
    <w:p>
      <w:pPr>
        <w:spacing w:after="0" w:line="7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substantial indebtedness. At March 31, 2025, our ratio of total debt to total capitalization was 73.4%, and we had $23.8 billion of total debt. In addition, as of March 31, 2025, we had approximately $1.1 billion of total letters of credit outstanding under our various facilities and certain bi-lateral agreements, including $224 million of such outstanding letters of credit that were issued under and supported by our $3.5 billion revolving credit facility. Our indebtedness that bears interest at a floating rate makes us vulnerable to changes in interest rates. As of March 31, 2025, we had approximately $3.8 billion of debt maturing within the next 12 months, including: (i) $1.5 billion of short-term borrowings under our commercial paper program (net of related discount on issuance); (ii) $1.3 billion of tax-exempt bonds with term interest rate periods that expire within the next 12 months, which is prior to their scheduled maturities;</w:t>
      </w:r>
    </w:p>
    <w:p>
      <w:pPr>
        <w:spacing w:after="0" w:line="3" w:lineRule="exact"/>
        <w:rPr>
          <w:sz w:val="20"/>
          <w:szCs w:val="20"/>
          <w:color w:val="auto"/>
        </w:rPr>
      </w:pPr>
    </w:p>
    <w:p>
      <w:pPr>
        <w:ind w:left="1260" w:right="439"/>
        <w:spacing w:after="0" w:line="243" w:lineRule="auto"/>
        <w:tabs>
          <w:tab w:leader="none" w:pos="15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0.75% senior notes that mature in November 2025 and (iv) $454 million of other debt with scheduled maturities within the next 12 months, including $298 million of tax-exempt bonds. Our level of indebtedness and the covenants contained in the agreements governing our debt could have important consequences, including:</w:t>
      </w:r>
    </w:p>
    <w:p>
      <w:pPr>
        <w:spacing w:after="0" w:line="7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the Registered Notes and our other indebtedness, which could in turn result in an event of default on such other indebtedness or the Registered Notes;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for working capital, capital expenditures, acquisitions, general corporate purposes or other purposes;</w:t>
      </w:r>
    </w:p>
    <w:p>
      <w:pPr>
        <w:spacing w:after="0" w:line="53" w:lineRule="exact"/>
        <w:rPr>
          <w:rFonts w:ascii="Times New Roman" w:cs="Times New Roman" w:eastAsia="Times New Roman" w:hAnsi="Times New Roman"/>
          <w:sz w:val="18"/>
          <w:szCs w:val="18"/>
          <w:color w:val="auto"/>
        </w:rPr>
      </w:pPr>
    </w:p>
    <w:p>
      <w:pPr>
        <w:jc w:val="both"/>
        <w:ind w:left="1800" w:right="1039" w:hanging="180"/>
        <w:spacing w:after="0" w:line="266" w:lineRule="auto"/>
        <w:tabs>
          <w:tab w:leader="none" w:pos="1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proportionately less debt.</w:t>
      </w:r>
    </w:p>
    <w:p>
      <w:pPr>
        <w:spacing w:after="0" w:line="9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We are not prohibited under the Indenture that will govern the Registered Notes from incurring additional indebtedness. Although our $3.5 billion revolving credit facility requires us to maintain a specified ratio of Total Debt to EBITDA (as defined in our $3.5 billion revolving credit facility), following the exchange offer we expect to have the ability to incur additional indebtedness while remaining in compliance with this covenant. Our incurrence of additional indebtedness would exacerbate the negative consequences mentioned above and could adversely affect our ability to service and repay the Registered Notes.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Registered Notes, depends in part upon the ability of our subsidiaries to make cash distributions to us. Any of our subsidiaries’ declaration of bankruptcy, liquidation or reorganization could materially adversely affect their ability to make cash distributions to us. Additionally,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Registered Notes.</w:t>
      </w:r>
    </w:p>
    <w:p>
      <w:pPr>
        <w:spacing w:after="0" w:line="179" w:lineRule="exact"/>
        <w:rPr>
          <w:sz w:val="20"/>
          <w:szCs w:val="20"/>
          <w:color w:val="auto"/>
        </w:rPr>
      </w:pPr>
    </w:p>
    <w:p>
      <w:pPr>
        <w:ind w:left="12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or changes in the debt markets may adversely affect the market price of the Registered Notes.</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market price for the Registered Notes will depend on a number of factors, including:</w:t>
      </w:r>
    </w:p>
    <w:p>
      <w:pPr>
        <w:spacing w:after="0" w:line="117"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operating performance and future prospects;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 and global and domestic economies.</w:t>
      </w:r>
    </w:p>
    <w:p>
      <w:pPr>
        <w:spacing w:after="0" w:line="14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price of the Registered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Registered Notes.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Registered Notes will be effectively subordinated to certain of our subsidiaries’ debt and our secured debt.</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While the Registered Notes will be guaranteed by WM Holdings and will rank equally with all of our and WM Holdings’ existing and future senior indebtedness and will have the same interest payment dates, maturity date and interest rate as the Restricted Notes, the Registered Notes will be structurally subordinated to all obligations of our subsidiaries other than WM Holdings, including trade payables of our operating subsidiaries. This means that holders of the Registered Notes will have a junior position to the claims of creditors of our operating subsidiaries on their assets and earnings. The Registered Notes will also be effectively subordinated to any secured debt we have or may incur, to the extent of the value of the assets securing that debt, including, without limitation, indebtedness under our $3.5 billion revolving credit facility. The Indenture governing the Registered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March 31, 2025 was $655 million. As of March 31, 2025, our operating subsidiaries had $2.7 billion of indebtedness and WM Holdings had $223 million of long-term debt (excluding guarantees of $17.8 billion of our senior debt), in each case excluding intercompany loans. For a description of the ranking of the Registered Notes, see “</w:t>
      </w:r>
      <w:r>
        <w:rPr>
          <w:rFonts w:ascii="Times New Roman" w:cs="Times New Roman" w:eastAsia="Times New Roman" w:hAnsi="Times New Roman"/>
          <w:sz w:val="18"/>
          <w:szCs w:val="18"/>
          <w:i w:val="1"/>
          <w:iCs w:val="1"/>
          <w:color w:val="auto"/>
        </w:rPr>
        <w:t>Description of the Registered Notes — Brief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Registered Notes and the Guarantee</w:t>
      </w:r>
      <w:r>
        <w:rPr>
          <w:rFonts w:ascii="Times New Roman" w:cs="Times New Roman" w:eastAsia="Times New Roman" w:hAnsi="Times New Roman"/>
          <w:sz w:val="18"/>
          <w:szCs w:val="18"/>
          <w:color w:val="auto"/>
        </w:rPr>
        <w:t>” in this prospectus.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guarantees of the Registered Notes.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obligations under the Registered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Registered Notes may be limited. Different jurisdictions define “insolvency” differently, and we cannot assure you as to what standard a court would apply to determine whether WM Holdings was insolvent. If a court determined that WM Holdings was insolvent on the date the guarantees of the Registered Notes were issued, or that the guarantees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constituted a fraudulent transfer on another ground, the claims of creditors of WM Holdings would effectively have priority with respect to WM Holdings’ assets and earnings over the claims of the holders of the Registered Notes.</w:t>
      </w:r>
    </w:p>
    <w:p>
      <w:pPr>
        <w:spacing w:after="0" w:line="165"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Registered Notes upon a change of control triggering event, and this covenant provides limited protection to investors.</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the Registered Notes may require us to purchase their Registered Notes upon a change of control triggering event, as set forth under “</w:t>
      </w:r>
      <w:r>
        <w:rPr>
          <w:rFonts w:ascii="Times New Roman" w:cs="Times New Roman" w:eastAsia="Times New Roman" w:hAnsi="Times New Roman"/>
          <w:sz w:val="18"/>
          <w:szCs w:val="18"/>
          <w:i w:val="1"/>
          <w:iCs w:val="1"/>
          <w:color w:val="auto"/>
        </w:rPr>
        <w:t>Description of the Registered Notes — Change of Control Offer</w:t>
      </w:r>
      <w:r>
        <w:rPr>
          <w:rFonts w:ascii="Times New Roman" w:cs="Times New Roman" w:eastAsia="Times New Roman" w:hAnsi="Times New Roman"/>
          <w:sz w:val="18"/>
          <w:szCs w:val="18"/>
          <w:color w:val="auto"/>
        </w:rPr>
        <w:t>” in this prospectus. We cannot assure you that we will have sufficient financial resources, or will be able to arrange sufficient financing, to pay the purchase price of the Registered Notes, particularly if a change of control event triggers a similar repurchase requirement for, or results in the acceleration of, our other then-existing debt.</w:t>
      </w:r>
    </w:p>
    <w:p>
      <w:pPr>
        <w:spacing w:after="0" w:line="323"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Registered Notes — Change of Control Offer.” </w:t>
      </w:r>
      <w:r>
        <w:rPr>
          <w:rFonts w:ascii="Times New Roman" w:cs="Times New Roman" w:eastAsia="Times New Roman" w:hAnsi="Times New Roman"/>
          <w:sz w:val="18"/>
          <w:szCs w:val="18"/>
          <w:color w:val="auto"/>
        </w:rPr>
        <w:t>We have no present intention to engage in a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Registered Notes, but that could increase the amount of indebtedness outstanding at such time or otherwise materially adversely affect our capital structure or credit ratings.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Registered Notes for a profit or at all.</w:t>
      </w:r>
    </w:p>
    <w:p>
      <w:pPr>
        <w:spacing w:after="0" w:line="148"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There is no existing active trading market for the Registered Notes, and a market may never develop. We do not currently intend to apply for listing of the Registered Notes on any securities exchange. If a market does not develop, you may be unable to resell the Registered Notes for a long time, if at all. If the Registered Notes are traded after their initial issuance, they may trade at a discount from initial offering prices. Factors that could cause the Registered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Holders will be required to include original issue discount on the Registered Notes in income as it accrues.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Registered Notes will be treated as having been issued with original issue discount for U.S. federal income tax purposes. A holder of a Registered Note who is subject to U.S. federal income tax generally is required to include any original issue discount in gross income (as ordinary income) as it accrues, in advance of the receipt of cash attributable to that income and regardless of such holder’s regular method of accounting for U.S. federal income tax purposes.</w:t>
      </w:r>
    </w:p>
    <w:p>
      <w:pPr>
        <w:spacing w:after="0" w:line="177"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 bankruptcy petition were filed by or against the Company, holders of the Registered Notes may receive a lesser amount for their claim than they would have been entitled to receive under the Indenture.</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a bankruptcy petition were filed by or against the Company under Title 11 of the United States Bankruptcy Code (“</w:t>
      </w:r>
      <w:r>
        <w:rPr>
          <w:rFonts w:ascii="Times New Roman" w:cs="Times New Roman" w:eastAsia="Times New Roman" w:hAnsi="Times New Roman"/>
          <w:sz w:val="18"/>
          <w:szCs w:val="18"/>
          <w:i w:val="1"/>
          <w:iCs w:val="1"/>
          <w:color w:val="auto"/>
        </w:rPr>
        <w:t>U.S. Bankruptcy Code</w:t>
      </w:r>
      <w:r>
        <w:rPr>
          <w:rFonts w:ascii="Times New Roman" w:cs="Times New Roman" w:eastAsia="Times New Roman" w:hAnsi="Times New Roman"/>
          <w:sz w:val="18"/>
          <w:szCs w:val="18"/>
          <w:color w:val="auto"/>
        </w:rPr>
        <w:t>”) after the issuance of the Registered Notes, the claim by any holder of the Registered Notes for the principal amount of the Registered Notes may be limited to an amount equal to the sum of: (i) the original issue price for the Registered Notes (which is the same as the original issue price for the Restricted Notes); and (ii) that portion of the original issue discount that does not constitute “unmatured interest” for purposes of the U.S. Bankruptcy Code. Any original issue discount that was not amortized as of the date of the bankruptcy filing would constitute unmatured interest. Accordingly, holders of the Registered Notes under these circumstances may receive a lesser amount than they would be entitled to receive under the terms of the indenture governing the Registered Notes, even if sufficient funds are available.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selling the Restricted Notes that you do not exchange.</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If you do not exchange your Restricted Notes for Registered Notes in the exchange offer, you will continue to be subject to the restrictions on transfer of your Restricted Notes described in the legend 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your Restricted Notes and we will not be required to offer another opportunity for you to exchange your Restricted Notes for registered notes, except in limited circumstances. The restrictions on transfer of your Restricted Notes arise because we issued the Restricted Notes under exemptions from, or in transactions not subject to, the registration requirements of the Securities Act and applicable state securities laws. In general, you may offer or sell the Restricted Notes only if they are registered under the Securities Act and applicable state securities laws or are offered and sold under an exemption from these requirements. We do not intend to register the Restricted Notes under the Securities Act. We may in the future seek to acquire untendered Restricted Notes in the open market or privately negotiated transactions, through subsequent exchange offers or otherwise. We have no present plans to acquire any Restricted Notes that are not tendered in the exchange offer or to file a registration statement to permit resales of any untendered Restricted Notes. To the extent Restricted Notes are tendered and accepted in the exchange offer, the trading market, if any, for the remaining Restricted Notes would likely be adversely affected. See “</w:t>
      </w:r>
      <w:r>
        <w:rPr>
          <w:rFonts w:ascii="Times New Roman" w:cs="Times New Roman" w:eastAsia="Times New Roman" w:hAnsi="Times New Roman"/>
          <w:sz w:val="18"/>
          <w:szCs w:val="18"/>
          <w:i w:val="1"/>
          <w:iCs w:val="1"/>
          <w:color w:val="auto"/>
        </w:rPr>
        <w:t>Terms of the Exchange Offer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Failure to Exchange</w:t>
      </w:r>
      <w:r>
        <w:rPr>
          <w:rFonts w:ascii="Times New Roman" w:cs="Times New Roman" w:eastAsia="Times New Roman" w:hAnsi="Times New Roman"/>
          <w:sz w:val="18"/>
          <w:szCs w:val="18"/>
          <w:color w:val="auto"/>
        </w:rPr>
        <w:t>” for a discussion of the possible consequences of failing to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Restricted Notes.</w:t>
      </w:r>
    </w:p>
    <w:p>
      <w:pPr>
        <w:spacing w:after="0" w:line="32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Because we anticipate that most holders of the Restricted Notes will elect to exchange their Restricted Notes, we expect that the liquidity of the market for any Restricted Notes remaining after the completion of the exchange offer will be substantially limited. Any Restricted Notes tendered and exchanged in the exchange offer will reduce the aggregate principal amount of the Restricted Notes of the applicable series outstanding. Following the exchange offer, if you do not tender your Restricted Notes you generally will not have any further registration rights, and your Restricted Notes will continue to be subject to certain transfer restrictions. Accordingly, the liquidity of the market for the Restricted Notes could be adversely affected.</w:t>
      </w:r>
    </w:p>
    <w:p>
      <w:pPr>
        <w:spacing w:after="0" w:line="177"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Broker-dealers or noteholders may become subject to the registration and prospectus delivery requirements of the Securities Act.</w:t>
      </w:r>
    </w:p>
    <w:p>
      <w:pPr>
        <w:spacing w:after="0" w:line="9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Any broker-dealer that exchanges its Restricted Notes in the exchange offer for the purpose of participating in a distribution of the Registered Notes, or resells Registered Notes that were received by it for its own account in the exchange offer, may be deemed to have received restricted securities and may be required to comply with the registration and prospectus delivery requirements of the Securities Act in connection with any resale transaction by that broker-dealer. Any profit on the resale of the Registered Notes and any commission or concessions received by a broker-dealer may be deemed to be underwriting compensation under the Securities Act.</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addition to broker-dealers, any noteholder that exchanges its Restricted Notes in the exchange offer for the purpose of participating in a distribution of the Registered Notes may be deemed to have received restricted securities and may be required to comply with the registration and prospectus delivery requirements of the Securities Act in connection with any resale transaction by that noteholder.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must follow the exchange offer procedures carefully in order to receive freely tradable Registered Notes.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Delivery of the Registered Notes in exchange for the Restricted Notes tendered and accepted for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 pursuant to the exchange offer will be made only if such tenders comply with the exchange offer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procedures described herein, including the timely receipt by the exchange agent of book-entry transfer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Restricted Notes into such exchange agent’s account at DTC, as depositary, including an agent’s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message. We are not required to notify you of defects or irregularities in tenders of Restricted Notes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 The method of delivery of Restricted Notes and the letter of transmittal and all other required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documents to the exchange agent is at the election and risk of the holders of the Restricted Notes. See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Terms of the Exchange Offer — Procedures for Tendering the Restricted Notes</w:t>
      </w:r>
      <w:r>
        <w:rPr>
          <w:rFonts w:ascii="Times New Roman" w:cs="Times New Roman" w:eastAsia="Times New Roman" w:hAnsi="Times New Roman"/>
          <w:sz w:val="18"/>
          <w:szCs w:val="18"/>
          <w:color w:val="auto"/>
        </w:rPr>
        <w:t>” for additional information.</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exchange offer may not occur.</w:t>
      </w:r>
    </w:p>
    <w:p>
      <w:pPr>
        <w:spacing w:after="0" w:line="146" w:lineRule="exact"/>
        <w:rPr>
          <w:sz w:val="20"/>
          <w:szCs w:val="20"/>
          <w:color w:val="auto"/>
        </w:rPr>
      </w:pPr>
    </w:p>
    <w:p>
      <w:pPr>
        <w:ind w:left="1260" w:right="499" w:firstLine="360"/>
        <w:spacing w:after="0" w:line="248" w:lineRule="auto"/>
        <w:rPr>
          <w:sz w:val="20"/>
          <w:szCs w:val="20"/>
          <w:color w:val="auto"/>
        </w:rPr>
      </w:pPr>
      <w:r>
        <w:rPr>
          <w:rFonts w:ascii="Times New Roman" w:cs="Times New Roman" w:eastAsia="Times New Roman" w:hAnsi="Times New Roman"/>
          <w:sz w:val="18"/>
          <w:szCs w:val="18"/>
          <w:color w:val="auto"/>
        </w:rPr>
        <w:t>The exchange offer is subject to the satisfaction of certain conditions. See “</w:t>
      </w:r>
      <w:r>
        <w:rPr>
          <w:rFonts w:ascii="Times New Roman" w:cs="Times New Roman" w:eastAsia="Times New Roman" w:hAnsi="Times New Roman"/>
          <w:sz w:val="18"/>
          <w:szCs w:val="18"/>
          <w:i w:val="1"/>
          <w:iCs w:val="1"/>
          <w:color w:val="auto"/>
        </w:rPr>
        <w:t>Terms of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 — Conditions to the Exchange Offer</w:t>
      </w:r>
      <w:r>
        <w:rPr>
          <w:rFonts w:ascii="Times New Roman" w:cs="Times New Roman" w:eastAsia="Times New Roman" w:hAnsi="Times New Roman"/>
          <w:sz w:val="18"/>
          <w:szCs w:val="18"/>
          <w:color w:val="auto"/>
        </w:rPr>
        <w:t>.” Even if the exchange offer is completed, it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on the timing described in this prospectus. Accordingly, holders participating in the exchange offer may have to wait longer than expected to receive their Registered Notes, during which time such holders will not be able to effect transfers of their Restricted Notes tendered in the exchange offer. Until we announce</w:t>
      </w: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whether we have accepted valid tenders of Restricted Notes for exchange pursuant to the exchange offer, no assurance can be given that the exchange offer will be completed. In addition, subject to applicable law and as provided in this prospectus, we may, in our sole discretion, extend, re-open, amend, waive any condition of or terminate the exchange offer at any time before our announcement of whether we will accept valid tenders of Restricted Notes for exchange pursuant to exchange offer, which we expect to make as soon as reasonably practicable after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Registered Notes. In consideration for issuing the Registered Notes as contemplated in this prospectus, the Company will receive in exchange Restricted Notes in like principal amount, which will be cancelled, and, as such, issuing the Registered Notes will not result in any increase in the Company’s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and the dealer managers entered into a Registration Rights Agreement with respect to the Restricted Notes on November 8, 2024. Pursuant to the Registration Rights Agreement, we agreed, among other things, to use commercially reasonable efforts to (1) file a registration statement on Form S-4 with respect to a registered offer to exchange the Restricted Notes for a like aggregate principal amount of Registered Notes, with terms substantially identical in all material respects to the Restricted Notes (except that the Registered Notes will not contain terms with respect to transfer restrictions or any increase in annual interest rate) and (2) cause the registration statement to be declared effective under the Securities Act by November 9, 2025. In furtherance of the foregoing, we have filed with the SEC a registration statement on Form S-4 (File No. 333-287083) with respect to the exchange offer and the Registered Notes. We agreed to use commercially reasonable efforts to complete the exchange offer by November 9, 2025. If the Company determines that any changes in applicable law or applicable interpretations of the SEC do not permit the Company to effect the exchange offer, or a holder of Restricted Notes participating in the exchange offer does not receive Registered Notes on the date of the exchange that may be sold without restriction under state and U.S. federal securities laws (other than due solely to the status of such holder as an affiliate of the Company within the meaning of the Securities Act) and notifies the Company within 30 days after such holder first becomes aware of such restrictions, or the exchange offer, for any other reason, is not completed by November 9, 2025, or the Company receives a written request from any holder of Restricted Notes within 20 business days after the consummation of the exchange offer representing that they hold Restricted Notes that are or were ineligible to be exchanged in the exchange offer then the Company will be required to use commercially reasonable efforts to file as promptly as practicable after the date of such determination, a shelf registration statement under the Securities Act and to have such shelf registration statement become effective, which shelf registration statement would cover resales of the registrable securities of such series held by such persons.</w:t>
      </w:r>
    </w:p>
    <w:p>
      <w:pPr>
        <w:spacing w:after="0" w:line="35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After the SEC declares this exchange offer registration statement effective, we will offer the Registered Notes in return for the Restricted Notes. The exchange offer will remain open for no fewer than 20 business days (or longer if required by applicable law) from the date the prospectus is mailed or made available to the holders of the Restricted Notes. For each Restricted Note surrendered to us pursuant to an exchange offer, the holder of the Restricted Note will receive a Registered Note having a principal amount equal to that of the surrendered Restricted Note. Interest on the Registered Notes will be payable semi-annually on January 15 and July 15 and will accrue from the most recent interest payment date of the Restricted Notes, which was January 15, 2025.</w:t>
      </w:r>
    </w:p>
    <w:p>
      <w:pPr>
        <w:spacing w:after="0" w:line="3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existing SEC interpretations, the Registered Notes acquired in the exchange offer by holders of Restricted Notes will be freely transferable without further registration under the Securities Act if the holder of the Registered Notes is acquiring the Registered Notes in the ordinary course of its business, that it has no arrangement or understanding to participate in the distribution of the Registered Notes and that it is not an affiliate of the Company (or, if the holder such an “affiliate,” then the holder will comply with the prospectus delivery requirements of the Securities Act to the extent applicable in connection with any resale of the Registered Notes), as such terms are interpreted by the SEC; however, broker-dealers (“</w:t>
      </w:r>
      <w:r>
        <w:rPr>
          <w:rFonts w:ascii="Times New Roman" w:cs="Times New Roman" w:eastAsia="Times New Roman" w:hAnsi="Times New Roman"/>
          <w:sz w:val="18"/>
          <w:szCs w:val="18"/>
          <w:i w:val="1"/>
          <w:iCs w:val="1"/>
          <w:color w:val="auto"/>
        </w:rPr>
        <w:t>participating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broker-dealers</w:t>
      </w:r>
      <w:r>
        <w:rPr>
          <w:rFonts w:ascii="Times New Roman" w:cs="Times New Roman" w:eastAsia="Times New Roman" w:hAnsi="Times New Roman"/>
          <w:sz w:val="18"/>
          <w:szCs w:val="18"/>
          <w:color w:val="auto"/>
        </w:rPr>
        <w:t>”) receiving Registered Notes in a registered exchange offer will also have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requirement with respect to resales of such Registered Notes. The SEC has taken the position that participating broker-dealers may fulfill their prospectus delivery requirements with respect to Registered Notes (other than a resale of an unsold allotment from the original sale of the Restricted Notes) with the prospectus contained in the exchange offer registration statement relating to such Registered Notes.</w:t>
      </w:r>
    </w:p>
    <w:p>
      <w:pPr>
        <w:spacing w:after="0" w:line="12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We have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58" w:lineRule="auto"/>
        <w:rPr>
          <w:sz w:val="20"/>
          <w:szCs w:val="20"/>
          <w:color w:val="auto"/>
        </w:rPr>
      </w:pPr>
      <w:r>
        <w:rPr>
          <w:rFonts w:ascii="Times New Roman" w:cs="Times New Roman" w:eastAsia="Times New Roman" w:hAnsi="Times New Roman"/>
          <w:sz w:val="18"/>
          <w:szCs w:val="18"/>
          <w:color w:val="auto"/>
        </w:rPr>
        <w:t>broker-dealers, the Company will use commercially reasonable efforts to amend or supplement this prospectus in order to expedite or facilitate the disposition of any Registered Notes by any such broker-dealers.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holder of Restricted Notes who wishes to exchange its Restricted Notes for Registered Notes in the exchange offer will be required to represent that (1) any Registered Notes to be received by it will be acquired in the ordinary course of its business, (2) at the time of the commencement of the exchange offer, it is not engaged in, does not intend to engage in and it has no arrangement or understanding with any person to participate in the distribution (within the meaning of the Securities Act) of the Registered Notes in violation of the provisions of the Securities Act and it is not engaged in, and does not intend to engage in, the distribution of the Registered Notes, (3) it is not an “affiliate” ​(within the meaning of Rule 405 under the Securities Act) of the Company, or if it is such an “affiliate”, such holder will comply with the prospectus delivery requirements of the Securities Act to the extent applicable in connection with any resale of the Exchange Securities, (4) if such holder is a broker-dealer that will receive the Registered Notes for its own account in exchange for the Restricted Notes that were acquired as a result of market-making or other trading activities, then such holder will deliver a prospectus (or, to the extent permitted by law, make available a prospectus to purchasers) in connection with any resale of such Registered Notes and (5) it is not prohibited by any law of policy from participating in the exchange offer.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Registration Rights Agreement provides, among other things, that if we have not exchanged Registered Notes for all Restricted Notes validly tendered in accordance with the terms of the exchange offer on or prior to November 9, 2025, or if a shelf registration statement is required under the limited circumstances set forth in the Registration Rights Agreement and such shelf registration statement is not declared effective on or prior to the 60th day after the later of November 9, 2025 and the date on which the Company receives a duly executed request from certain holders of Restricted Notes for the filing of a shelf registration, then, subject to certain exceptions, the annual interest rate on the Restricted Notes will increase initially by 0.25% per annum beginning on the day immediately following the occurrence of such registration default. The additional interest will cease to accrue when all registration defaults are cured. See “</w:t>
      </w:r>
      <w:r>
        <w:rPr>
          <w:rFonts w:ascii="Times New Roman" w:cs="Times New Roman" w:eastAsia="Times New Roman" w:hAnsi="Times New Roman"/>
          <w:sz w:val="18"/>
          <w:szCs w:val="18"/>
          <w:i w:val="1"/>
          <w:iCs w:val="1"/>
          <w:color w:val="auto"/>
        </w:rPr>
        <w:t>Exchange Offer; Registration Rights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Resale of Registered Notes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Based on the position that the staff of the SEC enunciated in the no-action letters issued to </w:t>
      </w:r>
      <w:r>
        <w:rPr>
          <w:rFonts w:ascii="Times New Roman" w:cs="Times New Roman" w:eastAsia="Times New Roman" w:hAnsi="Times New Roman"/>
          <w:sz w:val="18"/>
          <w:szCs w:val="18"/>
          <w:i w:val="1"/>
          <w:iCs w:val="1"/>
          <w:color w:val="auto"/>
        </w:rPr>
        <w:t>Exxon</w:t>
      </w:r>
    </w:p>
    <w:p>
      <w:pPr>
        <w:spacing w:after="0" w:line="2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Capital Holdings Corporation </w:t>
      </w:r>
      <w:r>
        <w:rPr>
          <w:rFonts w:ascii="Times New Roman" w:cs="Times New Roman" w:eastAsia="Times New Roman" w:hAnsi="Times New Roman"/>
          <w:sz w:val="18"/>
          <w:szCs w:val="18"/>
          <w:color w:val="auto"/>
        </w:rPr>
        <w:t>(available May 13, 1988),</w:t>
      </w:r>
      <w:r>
        <w:rPr>
          <w:rFonts w:ascii="Times New Roman" w:cs="Times New Roman" w:eastAsia="Times New Roman" w:hAnsi="Times New Roman"/>
          <w:sz w:val="18"/>
          <w:szCs w:val="18"/>
          <w:i w:val="1"/>
          <w:iCs w:val="1"/>
          <w:color w:val="auto"/>
        </w:rPr>
        <w:t xml:space="preserve"> Morgan Stanley &amp; Co., Incorporated </w:t>
      </w:r>
      <w:r>
        <w:rPr>
          <w:rFonts w:ascii="Times New Roman" w:cs="Times New Roman" w:eastAsia="Times New Roman" w:hAnsi="Times New Roman"/>
          <w:sz w:val="18"/>
          <w:szCs w:val="18"/>
          <w:color w:val="auto"/>
        </w:rPr>
        <w:t>(available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xml:space="preserve"> (available July 2, 1993), the Registered Notes issued in the exchange offer may be offered for resale, resold and otherwise transferred without registration under the Securities Act, and without delivering a prospectus that satisfies the requirements of Section 10 of the Securities Act, if the holder of the Restricted Notes who wishes to exchange its Restricted Notes for Registered Notes can make the representations set forth below under “— </w:t>
      </w:r>
      <w:r>
        <w:rPr>
          <w:rFonts w:ascii="Times New Roman" w:cs="Times New Roman" w:eastAsia="Times New Roman" w:hAnsi="Times New Roman"/>
          <w:sz w:val="18"/>
          <w:szCs w:val="18"/>
          <w:i w:val="1"/>
          <w:iCs w:val="1"/>
          <w:color w:val="auto"/>
        </w:rPr>
        <w:t>Procedures for Tendering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Restricted Notes</w:t>
      </w:r>
      <w:r>
        <w:rPr>
          <w:rFonts w:ascii="Times New Roman" w:cs="Times New Roman" w:eastAsia="Times New Roman" w:hAnsi="Times New Roman"/>
          <w:sz w:val="18"/>
          <w:szCs w:val="18"/>
          <w:color w:val="auto"/>
        </w:rPr>
        <w:t>.” However, if such holder intends to participate in a distribution of the Registered Notes,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broker-dealer that acquired the Restricted Notes directly from us for its own account in the initial offering of the Restricted Notes and not as a result of market-making activities or other trading activities or is an “affiliate” of the Company as defined in Rule 405 under the Securities Act, such holder will not be eligible to participate in the exchange offer, and must comply with the registration and prospectus delivery requirements of the Securities Act in connection with the resale of its Restricted Notes. See “—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below.</w:t>
      </w:r>
    </w:p>
    <w:p>
      <w:pPr>
        <w:spacing w:after="0" w:line="34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 broker-dealer that has acquired Restricted Notes as a result of market-making or other trading activities has to deliver a prospectus in order to resell any Registered Notes it receives for its own account in the exchange offer. 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We have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 broker-dealers, the Company will use commercially reasonable efforts to amend or supplement this prospectus in order to expedite or facilitate the disposition of any Registered Notes by any such broker-dealers.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 regarding broker-dealers.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exchange offer is not being made to, nor will we accept tenders for exchange from, holders of Restricted Notes in any jurisdiction in which the exchange offer or the acceptance of the exchange offer would not be in compliance with the securities or blue sky laws.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and in the letter of transmittal, we will accept for exchange any and all Restricted Notes properly tendered and not withdrawn prior to the expiration time. The Restricted Notes may only be tendered in minimum denominations of $2,000 and integral multiples of $1,000 in excess of $2,000. We will issue $2,000 principal amount or an integral multiple of $1,000 in excess thereof of Registered Notes in exchange for a corresponding principal amount of Restricted Notes surrendered in the exchange offer. In exchange for each Restricted Note surrendered in the exchange offer, we will issue a Registered Note with a like principal amount.</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form and terms of the Registered Notes will be substantially identical in all material respects to the form and terms of the Restricted Notes, except that the Registered Notes will not be subject to restrictions on transfer or to any increase in annual interest rate for failure to comply with the Registration Rights Agreement.</w:t>
      </w:r>
    </w:p>
    <w:p>
      <w:pPr>
        <w:spacing w:after="0" w:line="323"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Registered Notes will evidence the same debt as the Restricted Notes. The Registered Notes will be issued under and entitled to the benefits of the same Indenture that authorized the issuance of the Restricted Notes. Consequently, the Registered Notes and the Restricted Notes that are not exchanged in the exchange offer will be treated as a single series of debt securities under the Indenture for all purposes of the Indenture, along with any additional notes of any applicable series issued pursuant to the Indenture.</w:t>
      </w:r>
    </w:p>
    <w:p>
      <w:pPr>
        <w:spacing w:after="0" w:line="11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exchange offer is not conditioned upon any minimum aggregate principal amount of Registered Notes being tendered for exchange.</w:t>
      </w:r>
    </w:p>
    <w:p>
      <w:pPr>
        <w:spacing w:after="0" w:line="67"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There will be no fixed record date for determining registered holders of Restricted Notes entitled to participate in the exchange offer.</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intend to conduct the exchange offer in accordance with the provisions of the Registration Rights Agreement, the applicable requirements of the Securities Act and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the rules and regulations of the SEC. Restricted Notes that are not tendered for exchange in the exchange offer will remain outstanding and continue to accrue interest and will be entitled to the rights and benefits such holders have under the Indenture, but will not retain any rights under the Registration Rights Agreement.</w:t>
      </w:r>
    </w:p>
    <w:p>
      <w:pPr>
        <w:spacing w:after="0" w:line="114"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for exchange properly tendered Restricted Notes when we have given written notice of the acceptance to the exchange agent. The exchange agent will act as agent for the tendering holders for the purposes of receiving the Registered Notes from the Company and delivering the Registered Notes to such holders. Subject to the terms of the exchange offer and the Registration Rights Agreement, we expressly reserve the right to amend or terminate the exchange offer, and to not accept for exchange any Restricted Notes not previously accepted for exchange.</w:t>
      </w:r>
    </w:p>
    <w:p>
      <w:pPr>
        <w:spacing w:after="0" w:line="120"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We will pay all charges and expenses, other than those brokerage commissions or fees or transfer or other taxes described below, in connection with the exchange offer. It is important that you read the section titled “— </w:t>
      </w: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below for more details regarding fees and expenses incurred in the exchange offer.</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Expiration Time; Extensions; Amendments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exchange offer will expire at 5:00 p.m., New York City time, on June 23, 2025, unless, in our sole discretion, we extend the expiration time of the exchange offer.</w:t>
      </w:r>
    </w:p>
    <w:p>
      <w:pPr>
        <w:spacing w:after="0" w:line="8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order to extend the exchange offer, we will notify the exchange agent in writing of any extension of the exchange offer. We will notify registered holders of the Restricted Notes in writing or by public announcement of the extension, if any, of the expiration time by no later than 9:00 a.m., New York City time, on the business day after the previously scheduled expiration time.</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expressly reserve the right, in our sole discretion:</w:t>
      </w:r>
    </w:p>
    <w:p>
      <w:pPr>
        <w:spacing w:after="0" w:line="117"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accepting for exchange any Restricted Notes due to an extension of the exchange offer;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extend the exchange offer or to terminate the exchange offer and to refuse to accept Restricted Notes not previously accepted if any of the conditions set forth under “— </w:t>
      </w:r>
      <w:r>
        <w:rPr>
          <w:rFonts w:ascii="Times New Roman" w:cs="Times New Roman" w:eastAsia="Times New Roman" w:hAnsi="Times New Roman"/>
          <w:sz w:val="18"/>
          <w:szCs w:val="18"/>
          <w:i w:val="1"/>
          <w:iCs w:val="1"/>
          <w:color w:val="auto"/>
        </w:rPr>
        <w: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have not been satisfied by giving written notice of such extension or termination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agent; or</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Registration Rights Agreement, to amend the terms of the exchange offer in any manner.</w:t>
      </w:r>
    </w:p>
    <w:p>
      <w:pPr>
        <w:spacing w:after="0" w:line="81"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Any such delay in acceptance, extension or termination will be followed as promptly as practicable by written notice or public announcement thereof to the registered holders of Restricted Notes. If we amend the exchange offer in a manner that we determine to constitute a material change, we will promptly disclose such amendment in a manner reasonably calculated to inform the holders of the Restricted Notes of such amendment.</w:t>
      </w:r>
    </w:p>
    <w:p>
      <w:pPr>
        <w:spacing w:after="0" w:line="32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Without limiting the manner in which we may choose to make public announcements of any delay in acceptance, extension, termination or amendment of the exchange offer, we shall have no obligation to publish, advertise or otherwise communicate any such public announcement other than by issuing a timely press release to a financial news service. If we make any material change to the exchange offer, we will disclose this change by means of a post-effective amendment to the registration statement that includes this prospectus and will distribute an amended or supplemented prospectus to each registered holder of Restricted Notes. In addition, we will extend the exchange offer for an additional five to ten business days as required by the Exchange Act, depending on the significance of the amendment, if the exchange offer would otherwise expire during that period. We will promptly notify the exchange agent by written notice of any delay in acceptance, extension, termination or amendment of the exchange offer.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other terms of the exchange offer, we will not be required to accept for exchange, or exchange any Registered Notes for, any Restricted Notes, and we may terminate the exchange offer as provided in this prospectus before accepting any Restricted Notes for exchange, if:</w:t>
      </w:r>
    </w:p>
    <w:p>
      <w:pPr>
        <w:spacing w:after="0" w:line="69" w:lineRule="exact"/>
        <w:rPr>
          <w:sz w:val="20"/>
          <w:szCs w:val="20"/>
          <w:color w:val="auto"/>
        </w:rPr>
      </w:pPr>
    </w:p>
    <w:p>
      <w:pPr>
        <w:ind w:left="1800" w:right="5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would violate any applicable law, rule, regulation or applicable interpretations of the staff of the SEC;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Securities are not validly tendered in accordance with the exchange offer;</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made to any holder of the European Economic Area or the United Kingdom to whom the exchange offer cannot be made without requiring the publication of a prospectus for the purposes of Regulation (EU) 2017/1129 or, as the case may be, such regulation as it forms part of United Kingdom domestic law by virtue of the European Union (Withdrawal) Act 2018 (which may be certified or validated by way of representations from holders of Restricted Notes); and</w:t>
      </w:r>
    </w:p>
    <w:p>
      <w:pPr>
        <w:spacing w:after="0" w:line="75"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has been instituted or threatened in any court or by or before any governmental agency with respect to the exchange offer which, in our judgment, could reasonably be expected to impair our ability to proceed with the exchange offer.</w:t>
      </w:r>
    </w:p>
    <w:p>
      <w:pPr>
        <w:spacing w:after="0" w:line="10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In addition, we will not be obligated to accept for exchange the Restricted Notes of any holder that has not made the representations described in the letter of transmittal and under “— </w:t>
      </w:r>
      <w:r>
        <w:rPr>
          <w:rFonts w:ascii="Times New Roman" w:cs="Times New Roman" w:eastAsia="Times New Roman" w:hAnsi="Times New Roman"/>
          <w:sz w:val="18"/>
          <w:szCs w:val="18"/>
          <w:i w:val="1"/>
          <w:iCs w:val="1"/>
          <w:color w:val="auto"/>
        </w:rPr>
        <w:t>Purpose and Effect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Procedures for Tendering the Restricted Notes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representations as may be reasonably necessary under applicable SEC rules, regulations or interpretations to make available to it an appropriate form for registration of the Registered Notes under the Securities Act.</w:t>
      </w:r>
    </w:p>
    <w:p>
      <w:pPr>
        <w:spacing w:after="0" w:line="32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expressly reserve the right, at any time or at various times, to extend the period of time during which the exchange offer is open. Consequently, we may delay acceptance of any Restricted Notes by giving written notice (including by public announcement) of such extension to the registered holders of the Restricted Notes as promptly as practicable. During any such extensions, all Restricted Notes previously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1" w:lineRule="auto"/>
        <w:rPr>
          <w:sz w:val="20"/>
          <w:szCs w:val="20"/>
          <w:color w:val="auto"/>
        </w:rPr>
      </w:pPr>
      <w:r>
        <w:rPr>
          <w:rFonts w:ascii="Times New Roman" w:cs="Times New Roman" w:eastAsia="Times New Roman" w:hAnsi="Times New Roman"/>
          <w:sz w:val="18"/>
          <w:szCs w:val="18"/>
          <w:color w:val="auto"/>
        </w:rPr>
        <w:t>tendered will remain subject to the exchange offer, and we may accept them for exchange unless they have been previously withdrawn. We will return any Restricted Notes that we do not accept for exchange for any reason without expense to the tendering holder promptly after the expiration or termination of the exchange offer.</w:t>
      </w:r>
    </w:p>
    <w:p>
      <w:pPr>
        <w:spacing w:after="0" w:line="323"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expressly reserve the right to amend or terminate the exchange offer, and to reject for exchange any Restricted Notes not previously accepted for exchange, upon the occurrence of any of the conditions of the exchange offer specified above. We will give written notice or public announcement of any extension, amendment, non-acceptance or termination to the registered holders of the Restricted Notes as promptly as practicable. In the case of any extension, such notice will be issued no later than 9:00 a.m., New York City time, on the business day after the previously scheduled expiration time.</w:t>
      </w:r>
    </w:p>
    <w:p>
      <w:pPr>
        <w:spacing w:after="0" w:line="11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These conditions are for our sole benefit, and we may assert them regardless of the circumstances that may give rise to them or waive them in whole or in part at any or at various times in our sole discretion;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waiver of a condition of tender with respect to the exchange offer will apply to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Restricted Notes and not only to particular Restricted Notes. If we fail at any time to exercise any of the foregoing rights, that failure will not constitute a waiver of such right. Each such right will be deemed an ongoing right that we may assert at any time or at various times.</w:t>
      </w:r>
    </w:p>
    <w:p>
      <w:pPr>
        <w:spacing w:after="0" w:line="11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tendered, and will not issue Registered Notes in exchange for any such Restricted Notes, if at such time any stop order will be threatened or in effect with respect to the Registration Statement of which this prospectus constitutes a part or the qualification of the Indenture under the Trust Indenture Act of 1939, as amended (the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Indenture Act</w:t>
      </w:r>
      <w:r>
        <w:rPr>
          <w:rFonts w:ascii="Times New Roman" w:cs="Times New Roman" w:eastAsia="Times New Roman" w:hAnsi="Times New Roman"/>
          <w:sz w:val="18"/>
          <w:szCs w:val="18"/>
          <w:color w:val="auto"/>
        </w:rPr>
        <w: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Tendering the Restricted Notes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below, a holder tendering Restricted Notes must, prior to 5:00 p.m., New York City time, on the expiration date:</w:t>
      </w:r>
    </w:p>
    <w:p>
      <w:pPr>
        <w:spacing w:after="0" w:line="54" w:lineRule="exact"/>
        <w:rPr>
          <w:sz w:val="20"/>
          <w:szCs w:val="20"/>
          <w:color w:val="auto"/>
        </w:rPr>
      </w:pPr>
    </w:p>
    <w:p>
      <w:pPr>
        <w:ind w:left="1800" w:right="5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a properly completed and duly executed letter of transmittal, including all other documents required by the letter of transmittal, to the exchange agent, or</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Restricted Notes are tendered in accordance with the book-entry procedures described below, the tendering holder must transmit an agent’s message (described below) to the exchange agent.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Transmittal will be deemed made only when actually received or confirmed by the exchange agent.</w:t>
      </w:r>
    </w:p>
    <w:p>
      <w:pPr>
        <w:spacing w:after="0" w:line="144"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the exchange agent must receive, before 5:00 p.m., New York City time, on the expiration date book-entry transfer of the Restricted Notes into the exchange agent’s account at DTC, the book-entry transfer facility.</w:t>
      </w:r>
    </w:p>
    <w:p>
      <w:pPr>
        <w:spacing w:after="0" w:line="10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agent’s message</w:t>
      </w:r>
      <w:r>
        <w:rPr>
          <w:rFonts w:ascii="Times New Roman" w:cs="Times New Roman" w:eastAsia="Times New Roman" w:hAnsi="Times New Roman"/>
          <w:sz w:val="18"/>
          <w:szCs w:val="18"/>
          <w:color w:val="auto"/>
        </w:rPr>
        <w:t>” means a computer-generated message, transmitted by DTC to, and received by, the exchange agent and forming a part of a book-entry confirmation, which states that DTC has received an express acknowledgment from the tendering participant that such participant has received and agrees to be bound by, and makes the representations and warranties contained in, the letter of transmittal and that we may enforce the letter of transmittal against such participant.</w:t>
      </w:r>
    </w:p>
    <w:p>
      <w:pPr>
        <w:spacing w:after="0" w:line="111"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method of delivery of Restricted Notes, letters of transmittal and all other required documents is at the holder’s election and risk. If delivery is by mail, we recommend that holders use registered mail, properly insured, with return receipt requested. In all cases, holders should allow sufficient time to assure timely delivery. Holders should not send letters of transmittal or Restricted Notes to anyone other than the exchange agent.</w:t>
      </w:r>
    </w:p>
    <w:p>
      <w:pPr>
        <w:spacing w:after="0" w:line="32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holder is a beneficial owner whose Restricted Notes are registered in the name of a broker, dealer, commercial bank, trust company or other nominee and wishes to tender, such holder should promptly instruct the registered holder to tender on its behalf. Any registered holder that is a participant in DTC’s book-entry transfer facility system may make book-entry delivery of the Restricted Notes by causing DTC to transfer the Restricted Notes into the exchange agent’s account.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must be guaranteed unless the Restricted Notes surrendered for exchange are tendered: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registered holder of the Restricted Notes that has not completed the box entitled “Special Issuance Instructions” or “Special Delivery Instructions” on the letter of transmittal; or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 of an “eligible institution.”</w:t>
      </w:r>
    </w:p>
    <w:p>
      <w:pPr>
        <w:spacing w:after="0" w:line="15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signatures on a letter of transmittal or a notice of withdrawal are required to be guaranteed, the guarantees must be by an “eligible institution.” An “</w:t>
      </w:r>
      <w:r>
        <w:rPr>
          <w:rFonts w:ascii="Times New Roman" w:cs="Times New Roman" w:eastAsia="Times New Roman" w:hAnsi="Times New Roman"/>
          <w:sz w:val="18"/>
          <w:szCs w:val="18"/>
          <w:i w:val="1"/>
          <w:iCs w:val="1"/>
          <w:color w:val="auto"/>
        </w:rPr>
        <w:t>eligible institution</w:t>
      </w:r>
      <w:r>
        <w:rPr>
          <w:rFonts w:ascii="Times New Roman" w:cs="Times New Roman" w:eastAsia="Times New Roman" w:hAnsi="Times New Roman"/>
          <w:sz w:val="18"/>
          <w:szCs w:val="18"/>
          <w:color w:val="auto"/>
        </w:rPr>
        <w:t>” is a financial institution, including most banks, savings and loan associations and brokerage houses, that is a participant in the Securities Transfer Agents Medallion Program or the New York Stock Exchange Medallion Signature Program.</w:t>
      </w:r>
    </w:p>
    <w:p>
      <w:pPr>
        <w:spacing w:after="0" w:line="11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will reasonably determine all questions as to the validity, form and eligibility of Restricted Notes tendered for exchange and all questions concerning the timing of receipts and acceptance of tenders. These determinations will be final and binding.</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reserve the right to reject any particular Restricted Note not validly tendered, or any acceptance that might, in our judgment, be unlawful. We also reserve the right to waive any defects or irregularities with respect to the form of, or procedures applicable to, the tender of any particular Restricted Note before the expiration time. Unless waived, any defects or irregularities in connection with tenders of Restricted Notes must be cured before the expiration time of the exchange offer. None of the Company, the exchange agent or any other person will be under any duty to give notification of any defect or irregularity in any tender of the Restricted Notes. None of the Company, the exchange agent or any other person will incur any liability for failing to give notification of any defect or irregularity.</w:t>
      </w:r>
    </w:p>
    <w:p>
      <w:pPr>
        <w:spacing w:after="0" w:line="119"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If the letter of transmittal is executed by a person other than the registered holder of Restricted Notes, the letter of transmittal must be accompanied by the Restricted Notes endorsed by the registered holder or written instrument of transfer or exchange in satisfactory form, duly executed by the registered holder, in either case with the signature guaranteed by an eligible institution. In addition, in either case, the original endorsement or the instrument of transfer must be signed exactly as the name of any registered holder appears on the Restricted Notes.</w:t>
      </w:r>
    </w:p>
    <w:p>
      <w:pPr>
        <w:spacing w:after="0" w:line="9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If the letter of transmittal or any Restricted Notes or powers of attorney are signed by trustees, executors, administrators, guardians, attorneys-in- fact, officers of corporations or others acting in a fiduciary or representative capacity, these persons should so indicate when signing. Unless waived by us, proper evidence satisfactory to us of their authority to so act must be submitted.</w:t>
      </w:r>
    </w:p>
    <w:p>
      <w:pPr>
        <w:spacing w:after="0" w:line="110"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All questions as to the form of documents and validity, eligibility (including time of receipt), acceptance for exchange and withdrawal of tendered Restricted Notes will be determined by the Company in its sole discretion, and its determination will be final and binding.</w:t>
      </w:r>
    </w:p>
    <w:p>
      <w:pPr>
        <w:spacing w:after="0" w:line="10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By signing or agreeing to be bound by the letter of transmittal, each tendering holder of Restricted Notes will represent, among other things, that:</w:t>
      </w:r>
    </w:p>
    <w:p>
      <w:pPr>
        <w:spacing w:after="0" w:line="54" w:lineRule="exact"/>
        <w:rPr>
          <w:sz w:val="20"/>
          <w:szCs w:val="20"/>
          <w:color w:val="auto"/>
        </w:rPr>
      </w:pPr>
    </w:p>
    <w:p>
      <w:pPr>
        <w:ind w:left="1800" w:right="4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of ours or, if an affiliate of ours, will comply with the registration and prospectus delivery requirements of the Securities Act to the extent applicable in connection with the resale of the Registered Notes;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Notes will be acquired in the ordinary course of its business;</w:t>
      </w:r>
    </w:p>
    <w:p>
      <w:pPr>
        <w:spacing w:after="0" w:line="9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commencement of the exchange offer, it is not engaged in, and does not intend to engage in, and it has no arrangement or understanding with anyone to participate, in the distribution (within the meaning of the Securities Act) of the Registered Notes;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 broker-dealer that will receive Registered Notes for its own account in exchange for Restricted Notes that were acquired as a result of market-making activities or other trading activities, that it will deliver a prospectus (or to the extent permitted by law, make available a prospectus to purchasers) in connection with any resale of such Registered Notes; and</w:t>
      </w:r>
    </w:p>
    <w:p>
      <w:pPr>
        <w:spacing w:after="0" w:line="42" w:lineRule="exact"/>
        <w:rPr>
          <w:rFonts w:ascii="Times New Roman" w:cs="Times New Roman" w:eastAsia="Times New Roman" w:hAnsi="Times New Roman"/>
          <w:sz w:val="18"/>
          <w:szCs w:val="18"/>
          <w:color w:val="auto"/>
        </w:rPr>
      </w:pPr>
    </w:p>
    <w:p>
      <w:pPr>
        <w:ind w:left="1800" w:right="979" w:hanging="180"/>
        <w:spacing w:after="0" w:line="284"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prohibited by any law or policy from participating in the exchange offer.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Acceptance of Restricted Notes for Exchange; Delivery of Registered Notes</w:t>
      </w:r>
    </w:p>
    <w:p>
      <w:pPr>
        <w:spacing w:after="0" w:line="14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Upon satisfaction of all of the conditions to the exchange offer, we will accept, promptly after the expiration date, all Restricted Notes validly tendered and not validly withdrawn. We will issue the Registered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 xml:space="preserve">Notes promptly after the expiration of the exchange offer and acceptance of the Restricted Notes. See “— </w:t>
      </w:r>
      <w:r>
        <w:rPr>
          <w:rFonts w:ascii="Times New Roman" w:cs="Times New Roman" w:eastAsia="Times New Roman" w:hAnsi="Times New Roman"/>
          <w:sz w:val="18"/>
          <w:szCs w:val="18"/>
          <w:i w:val="1"/>
          <w:iCs w:val="1"/>
          <w:color w:val="auto"/>
        </w:rPr>
        <w:t>Conditions to the Exchange Offer</w:t>
      </w:r>
      <w:r>
        <w:rPr>
          <w:rFonts w:ascii="Times New Roman" w:cs="Times New Roman" w:eastAsia="Times New Roman" w:hAnsi="Times New Roman"/>
          <w:sz w:val="18"/>
          <w:szCs w:val="18"/>
          <w:color w:val="auto"/>
        </w:rPr>
        <w:t>” above. For purposes of the exchange offer, we will be deemed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validly tendered Restricted Notes for exchange when, as and if we have given written notice of such acceptance to the exchange agent.</w:t>
      </w:r>
    </w:p>
    <w:p>
      <w:pPr>
        <w:spacing w:after="0" w:line="11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For each Restricted Note accepted for exchange, the holder of the Restricted Note will receive a Registered Note having a principal amount equal to that of the surrendered Restricted Note. Restricted Notes accepted for exchange will cease to accrue interest from and after the date of completion of the exchange offer. Holders of Restricted Notes whose Restricted Notes are accepted for exchange will not receive any payment for accrued interest on the Restricted Notes otherwise payable on any interest payment date, the record date for which occurs on or after completion of the exchange offer and will be deemed to have waived their rights to receive such accrued interest on the Restricted Notes.</w:t>
      </w:r>
    </w:p>
    <w:p>
      <w:pPr>
        <w:spacing w:after="0" w:line="11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In all cases, issuance of Registered Notes for Restricted Notes will be made only after timely receipt by the exchange agent of:</w:t>
      </w:r>
    </w:p>
    <w:p>
      <w:pPr>
        <w:spacing w:after="0" w:line="54" w:lineRule="exact"/>
        <w:rPr>
          <w:sz w:val="20"/>
          <w:szCs w:val="20"/>
          <w:color w:val="auto"/>
        </w:rPr>
      </w:pPr>
    </w:p>
    <w:p>
      <w:pPr>
        <w:ind w:left="1800" w:right="5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confirmation of the deposit of the Restricted Notes into the exchange agent’s account at the book-entry transfer facility;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or a transmitted agent’s message;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required documents.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Unaccepted or non-exchanged Restricted Notes will be returned without expense to the tendering holder of the Restricted Notes promptly after the expiration of the exchange offer. In the case of Restricted Notes tendered by book-entry transfer in accordance with the book-entry procedures described below, the non-exchanged Restricted Notes will be returned or recredited promptly after the expiration of the exchange offer.</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exchange agent will make a request to establish an account for the Restricted Notes at DTC for purposes of the exchange offer within two business days after the date of this prospectus. Any financial institution that is a participant in DTC’s systems and is tendering Restricted Notes must make book-entry delivery of the Restricted Notes by causing DTC to transfer those Restricted Notes into the exchange agent’s account at DTC in accordance with DTC’s procedures for transfer, including its ATOP procedures. The participant should transmit its acceptance to DTC prior to 5:00 p.m., New York City time, on the expiration date. DTC will verify this acceptance, execute a book-entry transfer of the tendered Restricted Notes into the exchange agent’s account at DTC and then send to the exchange agent confirmation of this book-entry transfer, which confirmation must be received prior to 5:00 p.m., New York City time, on the expiration date. The confirmation of this book-entry transfer will include an agent’s message confirming that DTC has received an express acknowledgment from the participant that the participant has received and agrees to be bound by the letter of transmittal and that we may enforce the letter of transmittal against the participant. Delivery of Registered Notes issued in the exchange offer may be effected through book-entry transfer at DTC. However, the letter of transmittal (or an agent’s message in lieu thereof), with any required signature guarantees and any other required documents, must be transmitted to, and received by, the exchange agent at the address listed below under “— </w:t>
      </w:r>
      <w:r>
        <w:rPr>
          <w:rFonts w:ascii="Times New Roman" w:cs="Times New Roman" w:eastAsia="Times New Roman" w:hAnsi="Times New Roman"/>
          <w:sz w:val="18"/>
          <w:szCs w:val="18"/>
          <w:i w:val="1"/>
          <w:iCs w:val="1"/>
          <w:color w:val="auto"/>
        </w:rPr>
        <w:t>Exchange Agent</w:t>
      </w:r>
      <w:r>
        <w:rPr>
          <w:rFonts w:ascii="Times New Roman" w:cs="Times New Roman" w:eastAsia="Times New Roman" w:hAnsi="Times New Roman"/>
          <w:sz w:val="18"/>
          <w:szCs w:val="18"/>
          <w:color w:val="auto"/>
        </w:rPr>
        <w:t>” (or​ its account at DTC with respect to an agent’s message) prior to 5:00 p.m., New York City time, on the expiration date.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48"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in this prospectus, holders of Restricted Notes may withdraw (and resubmit) their tenders at any time prior to the expiration of the exchange offer. For a withdrawal to be effective, the exchange agent must receive a written notice of withdrawal at one of the addresses set forth below under “— </w:t>
      </w:r>
      <w:r>
        <w:rPr>
          <w:rFonts w:ascii="Times New Roman" w:cs="Times New Roman" w:eastAsia="Times New Roman" w:hAnsi="Times New Roman"/>
          <w:sz w:val="18"/>
          <w:szCs w:val="18"/>
          <w:i w:val="1"/>
          <w:iCs w:val="1"/>
          <w:color w:val="auto"/>
        </w:rPr>
        <w:t>Exchange Agent</w:t>
      </w:r>
      <w:r>
        <w:rPr>
          <w:rFonts w:ascii="Times New Roman" w:cs="Times New Roman" w:eastAsia="Times New Roman" w:hAnsi="Times New Roman"/>
          <w:sz w:val="18"/>
          <w:szCs w:val="18"/>
          <w:color w:val="auto"/>
        </w:rPr>
        <w:t>,” or the holder must comply with the appropriate procedure of DTC’s ATOP system.</w:t>
      </w:r>
    </w:p>
    <w:p>
      <w:pPr>
        <w:spacing w:after="0" w:line="116"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such notice of withdrawal must specify the name of the person who tendered the Restricted Notes to be withdrawn, identify the Restricted Notes to be withdrawn (including the principal amount of such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4" w:lineRule="auto"/>
        <w:rPr>
          <w:sz w:val="20"/>
          <w:szCs w:val="20"/>
          <w:color w:val="auto"/>
        </w:rPr>
      </w:pPr>
      <w:r>
        <w:rPr>
          <w:rFonts w:ascii="Times New Roman" w:cs="Times New Roman" w:eastAsia="Times New Roman" w:hAnsi="Times New Roman"/>
          <w:sz w:val="18"/>
          <w:szCs w:val="18"/>
          <w:color w:val="auto"/>
        </w:rPr>
        <w:t>Restricted Notes and the CUSIP numbers and total principal amount of such Restricted Notes) and, where Restricted Notes have been transmitted via ATOP, specify the name in which such Restricted Notes were registered if different from that of the withdrawing holder. Any such notice of withdrawal must also be signed by the person having tendered the Restricted Notes to be withdrawn in the same manner as the original signature on the letter of transmittal by which these Restricted Notes were tendered, including any required signature guarantees, or be accompanied by documents of transfer sufficient to permit the Trustee for the Restricted Notes to register the transfer of these notes into the name of the person having made the original tender and withdrawing the tender and, if applicable because the Restricted Notes have been tendered through the book-entry procedure, specify the name and number of the participant’s account at DTC to be credited if different than that of the person having tendered the Restricted Notes to be withdrawn.</w:t>
      </w:r>
    </w:p>
    <w:p>
      <w:pPr>
        <w:spacing w:after="0" w:line="32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Restricted Notes have been tendered pursuant to the procedure for book-entry transfer described above, any notice of withdrawal must specify the name and number of the account at DTC to be credited with the withdrawn Restricted Notes and otherwise comply with the procedures of such facility. We will determine all questions as to the validity, form and eligibility (including time of receipt) of such notices, and our determination shall be final and binding on all parties. We will deem any Restricted Notes so withdrawn not to have been validly tendered for exchange for purposes of the exchange offer. Any Restricted Notes that have been tendered for exchange but that are not exchanged for any reason will be returned to their holder without cost to the holder (or, in the case of Restricted Notes tendered by book-entry transfer into the exchange agent’s account of DTC according to the procedures described above, such Restricted Notes will be credited to an account maintained with DTC for Restricted Notes) promptly after withdrawal, rejection of tender or termination of the exchange offer. Properly withdrawn Restricted Notes may be retendered by following one of the procedures described under “Procedures for Tendering the Restricted Notes” above at any time prior to the expiration time.</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Bank of New York Mellon Trust Company, N.A. has been appointed as exchange agent for the exchange offer. You should direct questions and requests for assistance or requests for additional copies of this prospectus, or the letter of transmittal, to the exchange agent addressed as follows:</w:t>
      </w:r>
    </w:p>
    <w:p>
      <w:pPr>
        <w:spacing w:after="0" w:line="17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Bank of New York Mellon Trust Company, N.A.</w:t>
      </w:r>
    </w:p>
    <w:p>
      <w:pPr>
        <w:spacing w:after="0" w:line="16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By Registered or Certified Mail, Overnight Delivery:</w:t>
      </w:r>
    </w:p>
    <w:p>
      <w:pPr>
        <w:spacing w:after="0" w:line="16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Bank of New York Mellon Trust Company, N.A., as Exchange Agent</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 The Bank of New York Mellon</w:t>
      </w:r>
    </w:p>
    <w:p>
      <w:pPr>
        <w:jc w:val="center"/>
        <w:ind w:right="-800"/>
        <w:spacing w:after="0"/>
        <w:rPr>
          <w:sz w:val="20"/>
          <w:szCs w:val="20"/>
          <w:color w:val="auto"/>
        </w:rPr>
      </w:pPr>
      <w:r>
        <w:rPr>
          <w:rFonts w:ascii="Times New Roman" w:cs="Times New Roman" w:eastAsia="Times New Roman" w:hAnsi="Times New Roman"/>
          <w:sz w:val="18"/>
          <w:szCs w:val="18"/>
          <w:color w:val="auto"/>
        </w:rPr>
        <w:t>Corporate Trust Reorg Unit</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500 Ross Street, Suite 625</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Pittsburgh, PA 15262</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CT_REORG_UNIT_INQUIRIES@bnymellon.com</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(Raman) Uthandaraman K.</w:t>
      </w:r>
    </w:p>
    <w:p>
      <w:pPr>
        <w:jc w:val="center"/>
        <w:ind w:right="-840"/>
        <w:spacing w:after="0"/>
        <w:rPr>
          <w:sz w:val="20"/>
          <w:szCs w:val="20"/>
          <w:color w:val="auto"/>
        </w:rPr>
      </w:pPr>
      <w:r>
        <w:rPr>
          <w:rFonts w:ascii="Times New Roman" w:cs="Times New Roman" w:eastAsia="Times New Roman" w:hAnsi="Times New Roman"/>
          <w:sz w:val="18"/>
          <w:szCs w:val="18"/>
          <w:color w:val="auto"/>
        </w:rPr>
        <w:t>615-381-1655</w:t>
      </w:r>
    </w:p>
    <w:p>
      <w:pPr>
        <w:spacing w:after="0" w:line="1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Delivery to an address other than as set forth above does not constitute a valid delivery to the exchange agent.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make any payment to brokers, dealers or others soliciting acceptances of the exchange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offer. We have agreed under the Registration Rights Agreement to pay all expenses incident to the exchange offer other than fees, expenses, commissions or concessions of any counsel, advisors and broker-dealers and we will indemnify and hold harmless the holders of the Restricted Notes and the Registered Notes (including any broker-dealers, among other persons) against certain liabilities, including liabilities under the Securities Act. The cash expenses to be incurred in connection with the exchange offer, including out-of-pocket expenses for the exchange agent, will be paid by the Company. We will not pay for underwriting discounts and commissions, brokerage commissions and transfer taxes, if any, relating to the sale or disposition of Restricted Notes by a holder.</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Holders of Restricted Notes who do not exchange their Restricted Notes for Registered Notes under the exchange offer will remain subject to the restrictions on transfer of such Restricted Notes as set forth in the legend printed on the Restricted Notes as a consequence of the issuance of the Restricted Notes pursuant to the exemptions from, or in transactions not subject to, the registration requirements of the Securities Act and applicable state securities laws and otherwise as set forth in the offering memorandum distributed in connection with the private placement offering of the Restricted Notes.</w:t>
      </w:r>
    </w:p>
    <w:p>
      <w:pPr>
        <w:spacing w:after="0" w:line="120" w:lineRule="exact"/>
        <w:rPr>
          <w:sz w:val="20"/>
          <w:szCs w:val="20"/>
          <w:color w:val="auto"/>
        </w:rPr>
      </w:pPr>
    </w:p>
    <w:p>
      <w:pPr>
        <w:ind w:left="1260" w:right="439" w:firstLine="360"/>
        <w:spacing w:after="0" w:line="231" w:lineRule="auto"/>
        <w:rPr>
          <w:sz w:val="20"/>
          <w:szCs w:val="20"/>
          <w:color w:val="auto"/>
        </w:rPr>
      </w:pPr>
      <w:r>
        <w:rPr>
          <w:rFonts w:ascii="Times New Roman" w:cs="Times New Roman" w:eastAsia="Times New Roman" w:hAnsi="Times New Roman"/>
          <w:sz w:val="18"/>
          <w:szCs w:val="18"/>
          <w:color w:val="auto"/>
        </w:rPr>
        <w:t>In general, you may not offer or sell the Restricted Notes unless they are registered under the Securities Act or if the offer or sale is exempt from registration under the Securities Act and applicable state securities laws. Except as required by the Registration Rights Agreement, we do not intend to register resales of the Restricted Notes under the Securities Act. Based on interpretations of the SEC staff, Registered Notes issued pursuant to the exchange offer may be offered for resale, resold or otherwise transferred by their holders (other than any such holder that is the Company’s “affiliate” within the meaning of Rule 405 under the Securities Act) without compliance with the registration and prospectus delivery provisions of the Securities Act; so long as the holders acquired the Registered Notes in the ordinary course of the holders’ business and the holders have no arrangement or understanding with respect to the distribution of the Registered Notes to be acquired in the exchange offer. Any holder who tenders in the exchange offer for the purpose of participating in a distribution of the Registered Notes could not rely on the applicable interpretations of the SEC and must comply with the registration and prospectus delivery requirements of the Securities Act in connection with a secondary resale transaction.</w:t>
      </w:r>
    </w:p>
    <w:p>
      <w:pPr>
        <w:spacing w:after="0" w:line="124" w:lineRule="exact"/>
        <w:rPr>
          <w:sz w:val="20"/>
          <w:szCs w:val="20"/>
          <w:color w:val="auto"/>
        </w:rPr>
      </w:pPr>
    </w:p>
    <w:p>
      <w:pPr>
        <w:ind w:left="1260" w:right="599" w:firstLine="360"/>
        <w:spacing w:after="0" w:line="238" w:lineRule="auto"/>
        <w:rPr>
          <w:sz w:val="20"/>
          <w:szCs w:val="20"/>
          <w:color w:val="auto"/>
        </w:rPr>
      </w:pPr>
      <w:r>
        <w:rPr>
          <w:rFonts w:ascii="Times New Roman" w:cs="Times New Roman" w:eastAsia="Times New Roman" w:hAnsi="Times New Roman"/>
          <w:sz w:val="18"/>
          <w:szCs w:val="18"/>
          <w:color w:val="auto"/>
        </w:rPr>
        <w:t>We do not currently anticipate that we will register under the Securities Act any Restricted Notes that remain outstanding after completion of the exchange offer. See “</w:t>
      </w:r>
      <w:r>
        <w:rPr>
          <w:rFonts w:ascii="Times New Roman" w:cs="Times New Roman" w:eastAsia="Times New Roman" w:hAnsi="Times New Roman"/>
          <w:sz w:val="18"/>
          <w:szCs w:val="18"/>
          <w:i w:val="1"/>
          <w:iCs w:val="1"/>
          <w:color w:val="auto"/>
        </w:rPr>
        <w:t>Risk Factors — Risks Related to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 Offer — You may have difficulty selling the Restricted Notes that you do not exchange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35" w:lineRule="exact"/>
        <w:rPr>
          <w:sz w:val="20"/>
          <w:szCs w:val="20"/>
          <w:color w:val="auto"/>
        </w:rPr>
      </w:pPr>
    </w:p>
    <w:p>
      <w:pPr>
        <w:ind w:left="1260" w:right="499" w:firstLine="360"/>
        <w:spacing w:after="0" w:line="238" w:lineRule="auto"/>
        <w:rPr>
          <w:sz w:val="20"/>
          <w:szCs w:val="20"/>
          <w:color w:val="auto"/>
        </w:rPr>
      </w:pPr>
      <w:r>
        <w:rPr>
          <w:rFonts w:ascii="Times New Roman" w:cs="Times New Roman" w:eastAsia="Times New Roman" w:hAnsi="Times New Roman"/>
          <w:sz w:val="18"/>
          <w:szCs w:val="18"/>
          <w:color w:val="auto"/>
        </w:rPr>
        <w:t>We will record the Registered Notes in our accounting records at the same carrying value as the Restricted Notes for which they were exchanged in respect of the offer made pursuant to this prospectus, as reflected in our accounting records on the date of exchange. Accordingly, we will not recognize any gain or loss for accounting purposes in connection with the exchange offer. We will expense the costs of the exchange offer and amortize the remaining unamortized expenses related to the issuance of the Restricted Notes over the term of the Registered Notes.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Obligations</w:t>
      </w:r>
    </w:p>
    <w:p>
      <w:pPr>
        <w:spacing w:after="0" w:line="148"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In the Registration Rights Agreement, we agreed that under certain circumstances we would file a shelf registration statement with the SEC covering resales of notes by holders thereof if (i) we determine that any changes in applicable law or applicable interpretations of the staff of the SEC or the SEC do not permit us to effect the exchange offer, (ii) a holder of Restricted Notes participating in the exchange offer does not receive Registered Notes on the date of the exchange that may be sold without restriction under state and U.S. federal security laws (other than due solely to the status of such holder as our affiliate within the meaning of the Securities Act) and notifies us within 30 days of such holder first becoming aware of such restrictions, (iii) for any other reason, the exchange offer is not completed on or prior to November 9, 2025, or (iv) within 20 business days after the consummation of the exchange offer, the Company receives a written request from certain holders of the Restricted Notes for the filing of a shelf registration statement. In such an event, we would be under a continuing obligation to use commercially reasonable efforts to keep the shelf registration statement effective and to provide copies of the latest version of the prospectus contained therein to any broker-dealer that requests copies for use in a resale.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35" w:lineRule="exact"/>
        <w:rPr>
          <w:sz w:val="20"/>
          <w:szCs w:val="20"/>
          <w:color w:val="auto"/>
        </w:rPr>
      </w:pPr>
    </w:p>
    <w:p>
      <w:pPr>
        <w:ind w:left="1260" w:right="499" w:firstLine="360"/>
        <w:spacing w:after="0" w:line="235" w:lineRule="auto"/>
        <w:rPr>
          <w:sz w:val="20"/>
          <w:szCs w:val="20"/>
          <w:color w:val="auto"/>
        </w:rPr>
      </w:pPr>
      <w:r>
        <w:rPr>
          <w:rFonts w:ascii="Times New Roman" w:cs="Times New Roman" w:eastAsia="Times New Roman" w:hAnsi="Times New Roman"/>
          <w:sz w:val="18"/>
          <w:szCs w:val="18"/>
          <w:color w:val="auto"/>
        </w:rPr>
        <w:t>Participation in the exchange offer is voluntary, and you should carefully consider whether to accept. You are urged to consult your financial and tax advisors in making your own decision on what action to take. We may in the future seek to acquire untendered Restricted Notes in the open market or privately negotiated transactions, through subsequent exchange offers or otherwise. We have no present plans to acquire any Restricted Notes that are not tendered in the exchange offer or to file a registration statement to permit resales of any untendered Restricted Notes.</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DESCRIPTION OF THE REGISTERED NOTES</w:t>
      </w:r>
    </w:p>
    <w:p>
      <w:pPr>
        <w:spacing w:after="0" w:line="16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This Description of the Registered Notes is intended to be an overview of the material provisions of the Registered Notes. It does not include all of the provisions of the Indenture. WM urges you to read the Indenture because it defines your rights. The terms of the Registered Notes include those stated in the Indenture and those made part of the Indenture by reference to the Trust Indenture Act.</w:t>
      </w:r>
    </w:p>
    <w:p>
      <w:pPr>
        <w:spacing w:after="0" w:line="10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You can find the definitions of certain terms used in this description under the caption “— Glossary.” In this description, (i) the term “WM” refers only to Waste Management, Inc. and not to any of its Subsidiaries and (ii) the words “us,” “we” and “our” refer to Waste Management, Inc. and its consolidated subsidiaries and consolidated variable interest entities, taken as a whole, unless the context clearly indicates otherwise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title (including the interest rate), CUSIP number, maturity date, maximum aggregate principal amount, interest payment dates and record dates of the Registered Notes offered.</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(Including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6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CUSIP Nos.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Maturity Date</w:t>
            </w:r>
          </w:p>
        </w:tc>
        <w:tc>
          <w:tcPr>
            <w:tcW w:w="15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Principal Amount </w:t>
            </w:r>
            <w:r>
              <w:rPr>
                <w:rFonts w:ascii="Times New Roman" w:cs="Times New Roman" w:eastAsia="Times New Roman" w:hAnsi="Times New Roman"/>
                <w:sz w:val="24"/>
                <w:szCs w:val="24"/>
                <w:b w:val="1"/>
                <w:bCs w:val="1"/>
                <w:color w:val="auto"/>
                <w:vertAlign w:val="subscript"/>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3.875% Senior</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and</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and</w:t>
            </w:r>
          </w:p>
        </w:tc>
        <w:tc>
          <w:tcPr>
            <w:tcW w:w="60" w:type="dxa"/>
            <w:vAlign w:val="bottom"/>
          </w:tcPr>
          <w:p>
            <w:pPr>
              <w:spacing w:after="0"/>
              <w:rPr>
                <w:sz w:val="18"/>
                <w:szCs w:val="18"/>
                <w:color w:val="auto"/>
              </w:rPr>
            </w:pPr>
          </w:p>
        </w:tc>
      </w:tr>
      <w:tr>
        <w:trPr>
          <w:trHeight w:val="261"/>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due 2029</w:t>
            </w:r>
          </w:p>
        </w:tc>
        <w:tc>
          <w:tcPr>
            <w:tcW w:w="418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​94106LCA5 ​ ​January 15, 2029 ​ ​ $485,084,000 ​ ​</w:t>
            </w:r>
          </w:p>
        </w:tc>
        <w:tc>
          <w:tcPr>
            <w:tcW w:w="1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July 15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July 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-316865</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-316865</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-316865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-316865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-316865</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will issue the Registered Notes under and pursuant to the Indenture. We will issue the Registered Notes pursuant to a resolution of WM’s Board of Directors and an accompanying officers’ certificate setting forth the specific terms applicable to the Registered Notes.</w:t>
      </w:r>
    </w:p>
    <w:p>
      <w:pPr>
        <w:spacing w:after="0" w:line="107" w:lineRule="exact"/>
        <w:rPr>
          <w:sz w:val="20"/>
          <w:szCs w:val="20"/>
          <w:color w:val="auto"/>
        </w:rPr>
      </w:pPr>
    </w:p>
    <w:p>
      <w:pPr>
        <w:ind w:left="1260" w:right="1159" w:firstLine="360"/>
        <w:spacing w:after="0" w:line="284" w:lineRule="auto"/>
        <w:rPr>
          <w:sz w:val="20"/>
          <w:szCs w:val="20"/>
          <w:color w:val="auto"/>
        </w:rPr>
      </w:pPr>
      <w:r>
        <w:rPr>
          <w:rFonts w:ascii="Times New Roman" w:cs="Times New Roman" w:eastAsia="Times New Roman" w:hAnsi="Times New Roman"/>
          <w:sz w:val="18"/>
          <w:szCs w:val="18"/>
          <w:color w:val="auto"/>
        </w:rPr>
        <w:t>A registered holder of a Registered Note (each, a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will be treated as its owner for all purposes. Only registered Holders will have rights under the Indenture.</w:t>
      </w:r>
    </w:p>
    <w:p>
      <w:pPr>
        <w:spacing w:after="0" w:line="79" w:lineRule="exact"/>
        <w:rPr>
          <w:sz w:val="20"/>
          <w:szCs w:val="20"/>
          <w:color w:val="auto"/>
        </w:rPr>
      </w:pPr>
    </w:p>
    <w:p>
      <w:pPr>
        <w:ind w:left="1260" w:right="939" w:firstLine="360"/>
        <w:spacing w:after="0" w:line="246" w:lineRule="auto"/>
        <w:rPr>
          <w:sz w:val="20"/>
          <w:szCs w:val="20"/>
          <w:color w:val="auto"/>
        </w:rPr>
      </w:pPr>
      <w:r>
        <w:rPr>
          <w:rFonts w:ascii="Times New Roman" w:cs="Times New Roman" w:eastAsia="Times New Roman" w:hAnsi="Times New Roman"/>
          <w:sz w:val="18"/>
          <w:szCs w:val="18"/>
          <w:color w:val="auto"/>
        </w:rPr>
        <w:t>The Registered Notes and the Restricted Notes that are not exchanged in the exchange offer (collectively, and together with any additional Restricted Notes issued under the Indenture Officers’ Certificate, the “</w:t>
      </w:r>
      <w:r>
        <w:rPr>
          <w:rFonts w:ascii="Times New Roman" w:cs="Times New Roman" w:eastAsia="Times New Roman" w:hAnsi="Times New Roman"/>
          <w:sz w:val="18"/>
          <w:szCs w:val="18"/>
          <w:i w:val="1"/>
          <w:iCs w:val="1"/>
          <w:color w:val="auto"/>
        </w:rPr>
        <w:t>WM Notes</w:t>
      </w:r>
      <w:r>
        <w:rPr>
          <w:rFonts w:ascii="Times New Roman" w:cs="Times New Roman" w:eastAsia="Times New Roman" w:hAnsi="Times New Roman"/>
          <w:sz w:val="18"/>
          <w:szCs w:val="18"/>
          <w:color w:val="auto"/>
        </w:rPr>
        <w:t>”) will be treated as a single series of debt securities under the Indenture, pursuant to which the Restricted Notes were, and the Registered Notes will be, issued, along with any additional notes of any applicable series issued pursuant to the Indenture.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Registered Notes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Notes will:</w:t>
      </w:r>
    </w:p>
    <w:p>
      <w:pPr>
        <w:spacing w:after="0" w:line="104"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our general unsecured, senior obligations;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Restricted Notes that are not exchanged in the exchange offer, constitute and be treated as a single series of debt securities under the Indenture, and will be initially limited to an aggregate principal amount of up to $485,084,000;</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January 15, 2029;</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our wholly owned subsidiary WM Holdings;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entitled to the benefit of any sinking fund;</w:t>
      </w:r>
    </w:p>
    <w:p>
      <w:pPr>
        <w:spacing w:after="0" w:line="90"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minimum denominations of $2,000 and integral multiples of $1,000 in excess thereof; and</w:t>
      </w:r>
    </w:p>
    <w:p>
      <w:pPr>
        <w:spacing w:after="0" w:line="28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only in book-entry form represented by one or more global notes registered initially in the name of Cede &amp; Co., as nominee of the DTC, or such other name as may be requested by an authorized representative of DTC, and deposited with the Trustee, as custodian for DTC.</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Interest on the Registered Notes will be payable semi-annually and will accrue from the most recent interest payment date of the Restricted Notes, which was January 15, 2025. The Holders whose Restricted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7" w:lineRule="auto"/>
        <w:rPr>
          <w:sz w:val="20"/>
          <w:szCs w:val="20"/>
          <w:color w:val="auto"/>
        </w:rPr>
      </w:pPr>
      <w:r>
        <w:rPr>
          <w:rFonts w:ascii="Times New Roman" w:cs="Times New Roman" w:eastAsia="Times New Roman" w:hAnsi="Times New Roman"/>
          <w:sz w:val="18"/>
          <w:szCs w:val="18"/>
          <w:color w:val="auto"/>
        </w:rPr>
        <w:t>Notes are accepted for exchange will be deemed to have waived the right to receive payment of accrued interest on those Restricted Notes from the last interest payment date on which interest was paid on such Restricted Notes to the date of issuance of the Registered Notes. Interest on the Restricted Notes accepted for exchange will cease to accrue upon issuance of the Registered Notes. Interest is payable on the Registered Notes beginning with the first interest payment date following the consummation of the exchange offer.</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on the Registered Notes will:</w:t>
      </w:r>
    </w:p>
    <w:p>
      <w:pPr>
        <w:spacing w:after="0" w:line="117"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at a rate of 3.875% per annum;</w:t>
      </w:r>
    </w:p>
    <w:p>
      <w:pPr>
        <w:spacing w:after="0" w:line="13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January 15 and July 15 of each year, beginning on July 15, 2025;</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on the January 1 and July 1 immediately preceding the related interest payment dates;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Guarantee</w:t>
      </w:r>
    </w:p>
    <w:p>
      <w:pPr>
        <w:spacing w:after="0" w:line="148"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WM Holdings will unconditionally guarantee our obligations under the Registered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such Guarantee to the amount that will result in the Guarantee not constituting a fraudulent transfer or improper corporate distribution.</w:t>
      </w:r>
    </w:p>
    <w:p>
      <w:pPr>
        <w:spacing w:after="0" w:line="120"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Guarantee of the Registered Notes shall be binding on WM Holdings, its successors and assigns, and shall continue in full force and effect for the benefit of the Holders until the earliest to occur of:</w:t>
      </w:r>
    </w:p>
    <w:p>
      <w:pPr>
        <w:spacing w:after="0" w:line="54"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WM or its successor;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or its successor into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Registered Notes; or</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WM under its $3.5 billion revolving credit facility (or any replacement or new principal credit facility). WM’s $3.5 billion revolving credit facility currently states that WM Holdings’ guarantees under such facility can only be released with the written consent of each of the lenders that is a party thereto.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48"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Beneficial interests in Registered Notes in global form will be shown on, and transfers of interests in Registered Notes in global form will be made only through, records maintained by DTC and its direct and indirect participants. Registered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33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Payment of principal of, premium, if any, and interest on Registered Notes in global form registered in the name of or held by DTC or its nominee will be made in immediately available funds to DTC or its nominee, as the case may be, as the Holder of such global note. If any of the Registered Notes are no longer represented by global notes, payment of interest on the Registered Notes in definitive form may, at our option, be made at the corporate trust office of The Bank of New York Mellon, by check mailed directly to Holders at their registered addresses or by wire transfer to an account designated by a Holder.</w:t>
      </w:r>
    </w:p>
    <w:p>
      <w:pPr>
        <w:spacing w:after="0" w:line="12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Registered Notes, but we may require payment of a sum sufficient to cover any transfer tax or other governmental charge payable in connection therewith. We are not required to transfer or exchange any Registered Notes selected for redemption for a period beginning 15 days before selection of Registered Notes to be redeemed and ending on the day of mailing of the notice of redemption.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Holder of a Registered Notes will be treated as the owner of it for all purposes.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62"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Prior to the Par Call Date, we may redeem the Registered Notes at our option, in whole or in part, at any time and from time to time, at a redemption price (expressed as a percentage of principal amount and rounded to three decimal places) equal to the greater of:</w:t>
      </w:r>
    </w:p>
    <w:p>
      <w:pPr>
        <w:spacing w:after="0" w:line="102" w:lineRule="exact"/>
        <w:rPr>
          <w:sz w:val="20"/>
          <w:szCs w:val="20"/>
          <w:color w:val="auto"/>
        </w:rPr>
      </w:pPr>
    </w:p>
    <w:p>
      <w:pPr>
        <w:ind w:left="1620" w:right="519" w:firstLine="360"/>
        <w:spacing w:after="0" w:line="247" w:lineRule="auto"/>
        <w:tabs>
          <w:tab w:leader="none" w:pos="23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sum of the present values of the remaining scheduled payments of principal and interest on the Registered Notes to be redeemed discounted to the redemption date (assuming the Registered Notes matured on the Par Call Date) on a semi-annual basis (assuming a 360-day year consisting of twelve 30-day months) at the Treasury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 basis points,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redemption date, and</w:t>
      </w:r>
    </w:p>
    <w:p>
      <w:pPr>
        <w:spacing w:after="0" w:line="32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Registered Notes to be redeemed,</w:t>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146"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On or after the Par Call Date, we may redeem the Registered Notes at our option, in whole or in part, at any time and from time to time, at a redemption price equal to 100% of the principal amount of the Registered Notes to be redeemed, plus accrued and unpaid interest on the Registered Notes to be redeemed to the redemption date.</w:t>
      </w:r>
    </w:p>
    <w:p>
      <w:pPr>
        <w:spacing w:after="0" w:line="3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December 15, 2028 (one month prior to the maturity date).</w:t>
      </w:r>
    </w:p>
    <w:p>
      <w:pPr>
        <w:spacing w:after="0" w:line="158"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9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 —  Treasury constant maturities — Nominal” ​(or any successor caption or heading) (“</w:t>
      </w:r>
      <w:r>
        <w:rPr>
          <w:rFonts w:ascii="Times New Roman" w:cs="Times New Roman" w:eastAsia="Times New Roman" w:hAnsi="Times New Roman"/>
          <w:sz w:val="18"/>
          <w:szCs w:val="18"/>
          <w:i w:val="1"/>
          <w:iCs w:val="1"/>
          <w:color w:val="auto"/>
        </w:rPr>
        <w:t>H.15 TCM</w:t>
      </w:r>
      <w:r>
        <w:rPr>
          <w:rFonts w:ascii="Times New Roman" w:cs="Times New Roman" w:eastAsia="Times New Roman" w:hAnsi="Times New Roman"/>
          <w:sz w:val="18"/>
          <w:szCs w:val="18"/>
          <w:color w:val="auto"/>
        </w:rPr>
        <w:t>”). In determining the Treasury Rate, we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Life </w:t>
      </w:r>
      <w:r>
        <w:rPr>
          <w:rFonts w:ascii="Times New Roman" w:cs="Times New Roman" w:eastAsia="Times New Roman" w:hAnsi="Times New Roman"/>
          <w:sz w:val="18"/>
          <w:szCs w:val="18"/>
          <w:color w:val="auto"/>
        </w:rPr>
        <w:t>”); or (2) if there is no such Treasury constant maturity on H.15 exactly equal to the Remaining Life,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3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47" w:lineRule="auto"/>
        <w:rPr>
          <w:sz w:val="20"/>
          <w:szCs w:val="20"/>
          <w:color w:val="auto"/>
        </w:rPr>
      </w:pPr>
      <w:r>
        <w:rPr>
          <w:rFonts w:ascii="Times New Roman" w:cs="Times New Roman" w:eastAsia="Times New Roman" w:hAnsi="Times New Roman"/>
          <w:sz w:val="18"/>
          <w:szCs w:val="18"/>
          <w:color w:val="auto"/>
        </w:rPr>
        <w:t>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3" w:lineRule="exact"/>
        <w:rPr>
          <w:sz w:val="20"/>
          <w:szCs w:val="20"/>
          <w:color w:val="auto"/>
        </w:rPr>
      </w:pPr>
    </w:p>
    <w:p>
      <w:pPr>
        <w:ind w:left="1260" w:right="1019"/>
        <w:spacing w:after="0" w:line="245" w:lineRule="auto"/>
        <w:rPr>
          <w:sz w:val="20"/>
          <w:szCs w:val="20"/>
          <w:color w:val="auto"/>
        </w:rPr>
      </w:pPr>
      <w:r>
        <w:rPr>
          <w:rFonts w:ascii="Times New Roman" w:cs="Times New Roman" w:eastAsia="Times New Roman" w:hAnsi="Times New Roman"/>
          <w:sz w:val="18"/>
          <w:szCs w:val="18"/>
          <w:color w:val="auto"/>
        </w:rPr>
        <w:t>a percentage of principal amount) at 11:00 a.m., New York City time, of such United States Treasury security, and rounded to three decimal places.</w:t>
      </w:r>
    </w:p>
    <w:p>
      <w:pPr>
        <w:spacing w:after="0" w:line="11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Registered Notes to be redeemed at its registered address. The notice of redemption for the Registered Notes will state, among other things, the amount of Registered Notes to be redeemed, the redemption date, the redemption price or, if not ascertainable, the manner of determining the redemption price and the place(s) that payment will be made upon presentation and surrender of the Registered Notes to be redeemed. Unless we default in payment of the redemption price, interest will cease to accrue on any Registered Notes that have been called for redemption at the redemption date. Registered Notes called for redemption will be redeemed and repaid in principal amounts of $2,000 or any integral multiple of $1,000 in excess thereof. If less than all the Registered Notes are redeemed at any time, the Trustee will select the Registered Notes to be redeemed on a pro rata basis, by lot or by such other method as the Trustee in its sole discretion deems appropriate and fair. In the case of Registered Notes in global form, DTC will determine the allocation of the redemption price among beneficial owners in such global notes in accordance with DTC’s applicable procedures.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Mandatory Redemption</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WM is not required to make mandatory redemption or sinking fund payments with respect to the Registered Notes. However, WM may at any time and from time to time purchase the Registered Notes in the open market or otherwise.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A Holder may transfer or exchange Registered Notes in accordance with the Indenture. The registrar and the Trustee may require a Holder to furnish appropriate endorsements and transfer documents in connection with a transfer of Registered Notes. Holders will be required to pay all taxes due on transfer. WM will not be required to transfer or exchange any Registered Note selected for redemption or tendered (and not withdrawn) for repurchase in connection with a change of control offer. Also, WM will not be required to issue, register the transfer of or exchange any Registered Note during the period of 15 days before the delivery of a notice of redemption of Registered Notes to be redeemed.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If a change of control triggering event occurs, unless WM has exercised its option to redeem the Registered Notes as described above, WM will be required to make an offer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to each holder of WM Notes to repurchase all or any part (equal to $2,000 or an integral multiple of $1,000 in excess thereof) of such holder’s notes on the terms set forth in such notes. In a change of control offer, WM will be required to offer payment in cash equal to 101% of the aggregate principal amount of notes repurchased (a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plus accrued and unpaid interest, if any, on the WM Notes repurchased to the date of repurchase, subject to the right of holders of record on the applicable record date to receive interest due on the next interest payment date.</w:t>
      </w:r>
    </w:p>
    <w:p>
      <w:pPr>
        <w:spacing w:after="0" w:line="119"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constitute the change of control triggering event and offering to repurchase such notes on the date specified in the applicable notice, which date will be no earlier than 30 days and no later than 60 days from the date such notice is mailed (a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change of control payment date, WM will, to the extent lawful:</w:t>
      </w:r>
    </w:p>
    <w:p>
      <w:pPr>
        <w:spacing w:after="0" w:line="104" w:lineRule="exact"/>
        <w:rPr>
          <w:sz w:val="20"/>
          <w:szCs w:val="20"/>
          <w:color w:val="auto"/>
        </w:rPr>
      </w:pPr>
    </w:p>
    <w:p>
      <w:pPr>
        <w:ind w:left="1800" w:right="6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WM Notes properly accepted together with an officers’ certificate stating the aggregate principal amount of notes or portions of notes being repurchased.</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WM will not be required to make a change of control offer upon the occurrence of a change of control triggering event if a third party makes such an offer in the manner, at the times and otherwise in compliance with the requirements for an offer made by WM and the third party repurchases all notes properly tendered and not withdrawn under its offer. In addition, WM will not repurchase the WM Notes if there has occurred and is continuing on the change of control payment date an event of default under the Indenture with respect to the WM Notes, other than a default in the payment of the change of control payment upon a change of control triggering event.</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WM will comply with the applicable requirements of Rule 14e-1 under the Exchange Act, and any other securities laws and regulations thereunder to the extent those laws and regulations are applicable in connection with the repurchase of the WM Notes as a result of a change of control triggering event. To the extent that the provisions of any securities laws or regulations conflict with the change of control offer provisions of the WM Notes, WM will comply with those securities laws and regulations and will not be deemed to have breached our obligations under the change of control offer provisions of the WM Notes by virtue of any such conflict.</w:t>
      </w:r>
    </w:p>
    <w:p>
      <w:pPr>
        <w:spacing w:after="0" w:line="32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change of control offer provisions of the WM Notes, the following terms will be applicable:</w:t>
      </w:r>
    </w:p>
    <w:p>
      <w:pPr>
        <w:spacing w:after="0" w:line="9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333"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we become a direct or indirect wholly owned subsidiary of a holding company and</w:t>
      </w:r>
    </w:p>
    <w:p>
      <w:pPr>
        <w:ind w:left="1260" w:right="699"/>
        <w:spacing w:after="0" w:line="255" w:lineRule="auto"/>
        <w:tabs>
          <w:tab w:leader="none" w:pos="15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1" w:lineRule="auto"/>
        <w:rPr>
          <w:sz w:val="20"/>
          <w:szCs w:val="20"/>
          <w:color w:val="auto"/>
        </w:rPr>
      </w:pPr>
      <w:r>
        <w:rPr>
          <w:rFonts w:ascii="Times New Roman" w:cs="Times New Roman" w:eastAsia="Times New Roman" w:hAnsi="Times New Roman"/>
          <w:sz w:val="18"/>
          <w:szCs w:val="18"/>
          <w:color w:val="auto"/>
        </w:rPr>
        <w:t>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WM Notes as a result of a sale, lease, transfer, conveyance or other disposition of less than all of our assets and the assets of our subsidiaries, taken as a whole, to another person may be uncertain.</w:t>
      </w:r>
    </w:p>
    <w:p>
      <w:pPr>
        <w:spacing w:after="0" w:line="107" w:lineRule="exact"/>
        <w:rPr>
          <w:sz w:val="20"/>
          <w:szCs w:val="20"/>
          <w:color w:val="auto"/>
        </w:rPr>
      </w:pPr>
    </w:p>
    <w:p>
      <w:pPr>
        <w:ind w:left="1260" w:right="799" w:firstLine="360"/>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58" w:lineRule="exact"/>
        <w:rPr>
          <w:sz w:val="20"/>
          <w:szCs w:val="20"/>
          <w:color w:val="auto"/>
        </w:rPr>
      </w:pPr>
    </w:p>
    <w:p>
      <w:pPr>
        <w:ind w:left="1260" w:right="479" w:firstLine="36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58"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WM Notes or fails to make a rating of the WM Notes publicly available for reasons outside of our control, a “nationally recognized statistical rating organization” within the meaning of Section 3(a)(62) of the Exchange Act selected by WM (as certified by a resolution of our Board of Directors) as a replacement agency for Fitch, Moody’s or S&amp;P, or all of them, as the case may be.</w:t>
      </w:r>
    </w:p>
    <w:p>
      <w:pPr>
        <w:spacing w:after="0" w:line="10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means the rating on the WM Notes is lowered by at least two of the three rating agencies and the WM Notes are rated below an investment grade rating by at least two of the three rating agencies, in any case on any day during the period (which period will be extended so long as the rating of the WM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144" w:lineRule="exact"/>
        <w:rPr>
          <w:sz w:val="20"/>
          <w:szCs w:val="20"/>
          <w:color w:val="auto"/>
        </w:rPr>
      </w:pPr>
    </w:p>
    <w:p>
      <w:pPr>
        <w:ind w:left="1260" w:right="439" w:firstLine="360"/>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6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WM may from time to time, without notice or the consent of the holders of the WM Notes, create and issue further notes ranking equally and ratably with the Registered Notes offered by this prospectus in all respects (or in all respects except for the issue date, the initial interest payment date, if applicable, and the payment of interest accruing prior to the issue date of such further Registered Notes), so that such further notes will be consolidated and form a single series with the Registered Notes offered by this prospectus and shall have the same terms, as to status, redemption or otherwise except for the issue date, the initial interest payment date, if applicable, and the payment of interest accruing prior to the issue date of such additional notes; provided, however, that a separate CUSIP or ISIN will be issued for the additional notes unless the Registered Notes and the additional Registered Notes are fungible for U.S. federal income tax purposes. WM may at any time purchase Registered Notes in the open market or otherwise at any price.</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WM has agreed that WM and its Restricted Subsidiaries will create, issue, incur or assume Indebtedness secured by a lien upon a Principal Property only if the outstanding Registered Notes are secured equally and ratably with or prior to the Indebtedness secured by that lien. This covenant has exceptions that permit:</w:t>
      </w:r>
    </w:p>
    <w:p>
      <w:pPr>
        <w:spacing w:after="0" w:line="110" w:lineRule="exact"/>
        <w:rPr>
          <w:sz w:val="20"/>
          <w:szCs w:val="20"/>
          <w:color w:val="auto"/>
        </w:rPr>
      </w:pPr>
    </w:p>
    <w:p>
      <w:pPr>
        <w:ind w:left="1980" w:right="45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WM or WM’s Restricted Subsidiaries;</w:t>
      </w:r>
    </w:p>
    <w:p>
      <w:pPr>
        <w:spacing w:after="0" w:line="80" w:lineRule="exact"/>
        <w:rPr>
          <w:rFonts w:ascii="Times New Roman" w:cs="Times New Roman" w:eastAsia="Times New Roman" w:hAnsi="Times New Roman"/>
          <w:sz w:val="18"/>
          <w:szCs w:val="18"/>
          <w:color w:val="auto"/>
        </w:rPr>
      </w:pPr>
    </w:p>
    <w:p>
      <w:pPr>
        <w:ind w:left="1980" w:right="121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WM or a Restricted Subsidiary;</w:t>
      </w:r>
    </w:p>
    <w:p>
      <w:pPr>
        <w:spacing w:after="0" w:line="80" w:lineRule="exact"/>
        <w:rPr>
          <w:rFonts w:ascii="Times New Roman" w:cs="Times New Roman" w:eastAsia="Times New Roman" w:hAnsi="Times New Roman"/>
          <w:sz w:val="18"/>
          <w:szCs w:val="18"/>
          <w:color w:val="auto"/>
        </w:rPr>
      </w:pPr>
    </w:p>
    <w:p>
      <w:pPr>
        <w:ind w:left="1980" w:right="71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WM or a Restricted Subsidiary or at the time the entity becomes a Restricted Subsidiary;</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WM in accordance with “</w:t>
      </w:r>
      <w:r>
        <w:rPr>
          <w:rFonts w:ascii="Times New Roman" w:cs="Times New Roman" w:eastAsia="Times New Roman" w:hAnsi="Times New Roman"/>
          <w:sz w:val="18"/>
          <w:szCs w:val="18"/>
          <w:i w:val="1"/>
          <w:iCs w:val="1"/>
          <w:color w:val="auto"/>
        </w:rPr>
        <w:t>— Consolidation, Merger and Sale of Assets</w:t>
      </w:r>
      <w:r>
        <w:rPr>
          <w:rFonts w:ascii="Times New Roman" w:cs="Times New Roman" w:eastAsia="Times New Roman" w:hAnsi="Times New Roman"/>
          <w:sz w:val="18"/>
          <w:szCs w:val="18"/>
          <w:color w:val="auto"/>
        </w:rPr>
        <w:t>,” below;</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color w:val="auto"/>
        </w:rPr>
      </w:pPr>
    </w:p>
    <w:p>
      <w:pPr>
        <w:ind w:left="2160" w:right="499" w:hanging="180"/>
        <w:spacing w:after="0" w:line="259" w:lineRule="auto"/>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3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157" w:lineRule="exact"/>
        <w:rPr>
          <w:rFonts w:ascii="Times New Roman" w:cs="Times New Roman" w:eastAsia="Times New Roman" w:hAnsi="Times New Roman"/>
          <w:sz w:val="18"/>
          <w:szCs w:val="18"/>
          <w:color w:val="auto"/>
        </w:rPr>
      </w:pPr>
    </w:p>
    <w:p>
      <w:pPr>
        <w:ind w:left="1980" w:right="103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80"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 faith;</w:t>
      </w:r>
    </w:p>
    <w:p>
      <w:pPr>
        <w:spacing w:after="0" w:line="94" w:lineRule="exact"/>
        <w:rPr>
          <w:rFonts w:ascii="Times New Roman" w:cs="Times New Roman" w:eastAsia="Times New Roman" w:hAnsi="Times New Roman"/>
          <w:sz w:val="18"/>
          <w:szCs w:val="18"/>
          <w:color w:val="auto"/>
        </w:rPr>
      </w:pPr>
    </w:p>
    <w:p>
      <w:pPr>
        <w:ind w:left="1980" w:right="73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80"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WM or Restricted Subsidiaries in the ordinary course of business;</w:t>
      </w:r>
    </w:p>
    <w:p>
      <w:pPr>
        <w:spacing w:after="0" w:line="80" w:lineRule="exact"/>
        <w:rPr>
          <w:rFonts w:ascii="Times New Roman" w:cs="Times New Roman" w:eastAsia="Times New Roman" w:hAnsi="Times New Roman"/>
          <w:sz w:val="18"/>
          <w:szCs w:val="18"/>
          <w:color w:val="auto"/>
        </w:rPr>
      </w:pPr>
    </w:p>
    <w:p>
      <w:pPr>
        <w:ind w:left="1980" w:right="103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94"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due to deposits to qualify WM or a Restricted Subsidiary to do business, maintain self-insurance or obtain the benefit of or comply with laws;</w:t>
      </w:r>
    </w:p>
    <w:p>
      <w:pPr>
        <w:spacing w:after="0" w:line="80"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44"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0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addition, without securing the Registered Notes as described above, WM and WM’s Restricted Subsidiaries may issue, assume or guarantee Indebtedness that this covenant would otherwise restrict in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auto"/>
        </w:rPr>
        <w:t>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WM exclude from the calculation Attributable Debt from Sale/Leaseback Transactions in connection with which WM has purchased property or retired or defeased Indebtedness as described in clause (b) below under “</w:t>
      </w:r>
      <w:r>
        <w:rPr>
          <w:rFonts w:ascii="Times New Roman" w:cs="Times New Roman" w:eastAsia="Times New Roman" w:hAnsi="Times New Roman"/>
          <w:sz w:val="18"/>
          <w:szCs w:val="18"/>
          <w:i w:val="1"/>
          <w:iCs w:val="1"/>
          <w:color w:val="auto"/>
        </w:rPr>
        <w:t>— Limitation on Sale/Leaseback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WM and WM’s Restricted Subsidiaries will not enter into a Sale/Leaseback Transaction unless at least one of the following applies:</w:t>
      </w:r>
    </w:p>
    <w:p>
      <w:pPr>
        <w:spacing w:after="0" w:line="95" w:lineRule="exact"/>
        <w:rPr>
          <w:sz w:val="20"/>
          <w:szCs w:val="20"/>
          <w:color w:val="auto"/>
        </w:rPr>
      </w:pPr>
    </w:p>
    <w:p>
      <w:pPr>
        <w:ind w:left="1980" w:right="519" w:hanging="360"/>
        <w:spacing w:after="0" w:line="261"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 that Restricted Subsidiary could incur Indebtedness in a principal amount equal to the Attributable Debt for that Sale/Leaseback Transaction and, without violating specified provisions of the covenant under “</w:t>
      </w:r>
      <w:r>
        <w:rPr>
          <w:rFonts w:ascii="Times New Roman" w:cs="Times New Roman" w:eastAsia="Times New Roman" w:hAnsi="Times New Roman"/>
          <w:sz w:val="18"/>
          <w:szCs w:val="18"/>
          <w:i w:val="1"/>
          <w:iCs w:val="1"/>
          <w:color w:val="auto"/>
        </w:rPr>
        <w:t>— Limitation on Liens</w:t>
      </w:r>
      <w:r>
        <w:rPr>
          <w:rFonts w:ascii="Times New Roman" w:cs="Times New Roman" w:eastAsia="Times New Roman" w:hAnsi="Times New Roman"/>
          <w:sz w:val="18"/>
          <w:szCs w:val="18"/>
          <w:color w:val="auto"/>
        </w:rPr>
        <w:t>,” could secure that debt by a lien on the property to be leased without equally and ratably securing the Registered Notes;</w:t>
      </w:r>
    </w:p>
    <w:p>
      <w:pPr>
        <w:spacing w:after="0" w:line="98"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WM will apply an amount equal to the fair value (as determined by WM’s Board of Directors) of the property to be leased to the redemption or retirement of any Registered Notes or to payment or other retirement of other debt of WM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Registered Notes listed under the Indenture or debt incurred by a Restricted Subsidiary; or</w:t>
      </w:r>
    </w:p>
    <w:p>
      <w:pPr>
        <w:spacing w:after="0" w:line="102" w:lineRule="exact"/>
        <w:rPr>
          <w:rFonts w:ascii="Times New Roman" w:cs="Times New Roman" w:eastAsia="Times New Roman" w:hAnsi="Times New Roman"/>
          <w:sz w:val="18"/>
          <w:szCs w:val="18"/>
          <w:color w:val="auto"/>
        </w:rPr>
      </w:pPr>
    </w:p>
    <w:p>
      <w:pPr>
        <w:ind w:left="1980" w:right="839" w:hanging="360"/>
        <w:spacing w:after="0" w:line="261"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WM has entered into a commitment to expend for the acquisition or capital improvement of a Principal Property an amount equal to the fair value (as determined WM’s Board of Directors) of the property to be leased.</w:t>
      </w:r>
    </w:p>
    <w:p>
      <w:pPr>
        <w:spacing w:after="0" w:line="112"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above, WM and WM’s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w:t>
      </w:r>
      <w:r>
        <w:rPr>
          <w:rFonts w:ascii="Times New Roman" w:cs="Times New Roman" w:eastAsia="Times New Roman" w:hAnsi="Times New Roman"/>
          <w:sz w:val="18"/>
          <w:szCs w:val="18"/>
          <w:i w:val="1"/>
          <w:iCs w:val="1"/>
          <w:color w:val="auto"/>
        </w:rPr>
        <w:t>— Limitation on Liens</w:t>
      </w:r>
      <w:r>
        <w:rPr>
          <w:rFonts w:ascii="Times New Roman" w:cs="Times New Roman" w:eastAsia="Times New Roman" w:hAnsi="Times New Roman"/>
          <w:sz w:val="18"/>
          <w:szCs w:val="18"/>
          <w:color w:val="auto"/>
        </w:rPr>
        <w:t>,” do not exceed 15% of Consolidated Net Tangible Assets.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4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prohibit a consolidation or merger of WM into another person, or a conveyance, transfer or lease of our properties and assets substantially as an entirety to another person unless:</w:t>
      </w:r>
    </w:p>
    <w:p>
      <w:pPr>
        <w:spacing w:after="0" w:line="40" w:lineRule="exact"/>
        <w:rPr>
          <w:sz w:val="20"/>
          <w:szCs w:val="20"/>
          <w:color w:val="auto"/>
        </w:rPr>
      </w:pPr>
    </w:p>
    <w:p>
      <w:pPr>
        <w:ind w:left="1800" w:right="4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WM is merged or the person which acquires our properties and assets substantially as an entirety assumes the performance of the covenants and obligations under the Indenture and the due and punctual payments on the Registered Notes; and</w:t>
      </w:r>
    </w:p>
    <w:p>
      <w:pPr>
        <w:spacing w:after="0" w:line="54"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9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Indenture and the Registered Notes. In the case of an asset transfer or disposition other than a lease, we will be released from the Indenture.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are events of default with respect to Registered Notes:</w:t>
      </w:r>
    </w:p>
    <w:p>
      <w:pPr>
        <w:spacing w:after="0" w:line="104"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Registered Notes for 30 days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the Registered Notes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0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the Registered Notes or the Indenture (other than an agreement or covenant that has been included in the Indenture solely for the benefit of other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82" w:lineRule="auto"/>
        <w:rPr>
          <w:sz w:val="20"/>
          <w:szCs w:val="20"/>
          <w:color w:val="auto"/>
        </w:rPr>
      </w:pPr>
      <w:r>
        <w:rPr>
          <w:rFonts w:ascii="Times New Roman" w:cs="Times New Roman" w:eastAsia="Times New Roman" w:hAnsi="Times New Roman"/>
          <w:sz w:val="18"/>
          <w:szCs w:val="18"/>
          <w:color w:val="auto"/>
        </w:rPr>
        <w:t>series of debt securities) for 60 days after written notice by the Trustee or by the Holders of at least 25% in principal amount of the Registered Notes that are affected by that failure; and</w:t>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specified events involving bankruptcy, insolvency or reorganization.</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 event of default for the Registered Notes occurs and is continuing, the Trustee or the Holders of at least 25% in principal amount of the outstanding WM Notes may declare the principal of and all accrued and unpaid interest on the WM Notes to be due and payable. The holders of a majority in principal amount of the outstanding WM Notes may in some cases rescind this accelerated payment requirement.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Holder may pursue any remedy under the Indenture only if:</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the Registered Notes;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WM Notes make a written request to the Trustee to pursue the remedy;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WM Notes do not give the Trustee a direction inconsistent with the request.</w:t>
      </w:r>
    </w:p>
    <w:p>
      <w:pPr>
        <w:spacing w:after="0" w:line="9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to sue for enforcement of any overdue payment.</w:t>
      </w:r>
    </w:p>
    <w:p>
      <w:pPr>
        <w:spacing w:after="0" w:line="95" w:lineRule="exact"/>
        <w:rPr>
          <w:sz w:val="20"/>
          <w:szCs w:val="20"/>
          <w:color w:val="auto"/>
        </w:rPr>
      </w:pPr>
    </w:p>
    <w:p>
      <w:pPr>
        <w:jc w:val="both"/>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WM Notes may direct the time, method and place of:</w:t>
      </w:r>
    </w:p>
    <w:p>
      <w:pPr>
        <w:spacing w:after="0" w:line="61"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Indenture will require us to file each year with the Trustee a written statement as to our compliance with the covenants contained in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Indenture may be amended or supplemented if the majority in principal amount of the outstanding WM Notes issued under the Indenture that are affected by the amendment or supplement (acting as one class) consent to it. Additionally, without the consent of the Holder of each Registered Notes affected, no modification may:</w:t>
      </w:r>
    </w:p>
    <w:p>
      <w:pPr>
        <w:spacing w:after="0" w:line="69" w:lineRule="exact"/>
        <w:rPr>
          <w:sz w:val="20"/>
          <w:szCs w:val="20"/>
          <w:color w:val="auto"/>
        </w:rPr>
      </w:pPr>
    </w:p>
    <w:p>
      <w:pPr>
        <w:ind w:left="1800" w:right="4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Registered Notes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Registered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Registered Notes or change its stated maturity;</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Registered Notes or change the time at which the Registered Notes may or must be redeemed;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Registered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Registered Notes payable in currency other than as originally stated in the Registered Notes;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Registered Notes; or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Registered Notes necessary to waive compliance with certain provisions of the Indenture or to make any change in the provision related to modification.</w:t>
      </w:r>
    </w:p>
    <w:p>
      <w:pPr>
        <w:spacing w:after="0" w:line="10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WM Notes may waive any existing or past default or event of default with respect to the Registered Notes. Those holders may not, however, waive any:</w:t>
      </w:r>
    </w:p>
    <w:p>
      <w:pPr>
        <w:spacing w:after="0" w:line="282"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the WM Notes; or</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jc w:val="both"/>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When we use the term defeasance, we mean discharge from some or all of our obligations under the Indenture. If any combination of funds or government securities are deposited with the Trustee under the Indenture sufficient to make payments on the Registered Notes on the dates those payments are due and payable, then, at our option, either of the following will occur:</w:t>
      </w:r>
    </w:p>
    <w:p>
      <w:pPr>
        <w:spacing w:after="0" w:line="72" w:lineRule="exact"/>
        <w:rPr>
          <w:sz w:val="20"/>
          <w:szCs w:val="20"/>
          <w:color w:val="auto"/>
        </w:rPr>
      </w:pPr>
    </w:p>
    <w:p>
      <w:pPr>
        <w:ind w:left="1800" w:right="8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Registered Notes and the related guarantees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Indenture, and the related events of default will no longer apply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If the Registered Notes are defeased, the Holders will not be entitled to the benefits of the Indenture, except for obligations to register the transfer or exchange of Registered Notes, replace stolen, lost or mutilated Registered Notes, maintain paying agencies, and hold moneys for payment in trust. In the case of covenant defeasance, our obligation to pay principal, premium and interest on the Registered Notes will also survive.</w:t>
      </w:r>
    </w:p>
    <w:p>
      <w:pPr>
        <w:spacing w:after="0" w:line="32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will be required to deliver to the Trustee an opinion of counsel that the deposit and related defeasance would not cause the Holders to recognize income, gain or loss for U.S. federal income tax purposes. If we elect legal defeasance, that opinion of counsel must be based upon a ruling from the U.S. Internal Revenue Service or a change in law to that effect.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Registered Notes and as otherwise expressly provided for in the Indenture) as to all outstanding Registered Notes, when:</w:t>
      </w:r>
    </w:p>
    <w:p>
      <w:pPr>
        <w:spacing w:after="0" w:line="108" w:lineRule="exact"/>
        <w:rPr>
          <w:sz w:val="20"/>
          <w:szCs w:val="20"/>
          <w:color w:val="auto"/>
        </w:rPr>
      </w:pPr>
    </w:p>
    <w:p>
      <w:pPr>
        <w:ind w:left="2340" w:hanging="360"/>
        <w:spacing w:after="0"/>
        <w:tabs>
          <w:tab w:leader="none" w:pos="2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rFonts w:ascii="Times New Roman" w:cs="Times New Roman" w:eastAsia="Times New Roman" w:hAnsi="Times New Roman"/>
          <w:sz w:val="18"/>
          <w:szCs w:val="18"/>
          <w:color w:val="auto"/>
        </w:rPr>
      </w:pPr>
    </w:p>
    <w:p>
      <w:pPr>
        <w:ind w:left="2700" w:right="499" w:hanging="360"/>
        <w:spacing w:after="0" w:line="258" w:lineRule="auto"/>
        <w:tabs>
          <w:tab w:leader="none" w:pos="2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Registered Notes theretofore authenticated and delivered (except lost, stolen or destroyed Registered Notes which have been replaced or paid and Registered Notes for whose payment money has theretofore been deposited in trust or segregated and held in trust by us and thereafter repaid to us or discharged from such trust) have been delivered to the Trustee for cancellation; or</w:t>
      </w:r>
    </w:p>
    <w:p>
      <w:pPr>
        <w:spacing w:after="0" w:line="115" w:lineRule="exact"/>
        <w:rPr>
          <w:rFonts w:ascii="Times New Roman" w:cs="Times New Roman" w:eastAsia="Times New Roman" w:hAnsi="Times New Roman"/>
          <w:sz w:val="18"/>
          <w:szCs w:val="18"/>
          <w:color w:val="auto"/>
        </w:rPr>
      </w:pPr>
    </w:p>
    <w:p>
      <w:pPr>
        <w:ind w:left="2700" w:right="439" w:hanging="360"/>
        <w:spacing w:after="0" w:line="254" w:lineRule="auto"/>
        <w:tabs>
          <w:tab w:leader="none" w:pos="2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Registered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U.S. legal tender, U.S. Governmental Obligations or a combination thereof, in an amount sufficient to pay and discharge the entire indebtedness on the Registered Notes not theretofore delivered to the Trustee for cancellation, including any premium and interest on the Registered Notes to the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39"/>
        <w:spacing w:after="0" w:line="250" w:lineRule="auto"/>
        <w:rPr>
          <w:sz w:val="20"/>
          <w:szCs w:val="20"/>
          <w:color w:val="auto"/>
        </w:rPr>
      </w:pPr>
      <w:r>
        <w:rPr>
          <w:rFonts w:ascii="Times New Roman" w:cs="Times New Roman" w:eastAsia="Times New Roman" w:hAnsi="Times New Roman"/>
          <w:sz w:val="18"/>
          <w:szCs w:val="18"/>
          <w:color w:val="auto"/>
        </w:rPr>
        <w:t>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10" w:lineRule="exact"/>
        <w:rPr>
          <w:sz w:val="20"/>
          <w:szCs w:val="20"/>
          <w:color w:val="auto"/>
        </w:rPr>
      </w:pPr>
    </w:p>
    <w:p>
      <w:pPr>
        <w:ind w:left="1620" w:right="539" w:firstLine="360"/>
        <w:spacing w:after="0" w:line="266" w:lineRule="auto"/>
        <w:tabs>
          <w:tab w:leader="none" w:pos="23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with respect to the Registered Notes; and</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8" w:lineRule="auto"/>
        <w:tabs>
          <w:tab w:leader="none" w:pos="23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0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Governmental Obligations</w:t>
      </w:r>
      <w:r>
        <w:rPr>
          <w:rFonts w:ascii="Times New Roman" w:cs="Times New Roman" w:eastAsia="Times New Roman" w:hAnsi="Times New Roman"/>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Registered Notes will be our unsecured and unsubordinated obligations, and will rank equally in contractual right of payment with all of our other existing and future senior indebtedness from time to time outstanding.</w:t>
      </w:r>
    </w:p>
    <w:p>
      <w:pPr>
        <w:spacing w:after="0" w:line="10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w:t>
      </w:r>
      <w:r>
        <w:rPr>
          <w:rFonts w:ascii="Times New Roman" w:cs="Times New Roman" w:eastAsia="Times New Roman" w:hAnsi="Times New Roman"/>
          <w:sz w:val="18"/>
          <w:szCs w:val="18"/>
          <w:i w:val="1"/>
          <w:iCs w:val="1"/>
          <w:color w:val="auto"/>
        </w:rPr>
        <w:t>— Further Issuances</w:t>
      </w:r>
      <w:r>
        <w:rPr>
          <w:rFonts w:ascii="Times New Roman" w:cs="Times New Roman" w:eastAsia="Times New Roman" w:hAnsi="Times New Roman"/>
          <w:sz w:val="18"/>
          <w:szCs w:val="18"/>
          <w:color w:val="auto"/>
        </w:rPr>
        <w:t>” above.</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Registered Notes. While the Registered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will have a junior position to the claims of creditors of our operating subsidiaries on their assets and earnings. The Registered Notes will also be effectively subordinated to any secured debt we have or may incur, to the extent of the value of the assets securing that debt. The Indenture does not limit the amount of debt our subsidiaries can incur, and it permits us to incur some secured debt.</w:t>
      </w:r>
    </w:p>
    <w:p>
      <w:pPr>
        <w:spacing w:after="0" w:line="12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As of March 31, 2025, our operating subsidiaries had $2.7 billion of indebtedness and WM Holdings had $223 million of long-term debt (excluding guarantees of $17.8 billion of our senior debt), in each case excluding intercompany loans.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 York law will govern the Indenture and the Registered Notes.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Bank of New York Mellon Trust Company, N.A. is the Trustee under the Indenture and has been appointed by WM as the paying agent and registrar with regard to the Registered Notes.</w:t>
      </w:r>
    </w:p>
    <w:p>
      <w:pPr>
        <w:spacing w:after="0" w:line="9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such duties as are specifically set forth in the Indenture. During the existence of an event of</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unless such Holder shall have offered to the Trustee indemnity satisfactory to it against any loss, liability or expense.</w:t>
      </w:r>
    </w:p>
    <w:p>
      <w:pPr>
        <w:spacing w:after="0" w:line="110"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will issue the notes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3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1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While the following information concerning DTC, Euroclear and Clearstream and their respective</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book-entry systems has been obtained from sources that we believe to be reliable, we take no responsibility for the accuracy of that information.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and the dealer-managers as follows:</w:t>
      </w:r>
    </w:p>
    <w:p>
      <w:pPr>
        <w:spacing w:after="0" w:line="104" w:lineRule="exact"/>
        <w:rPr>
          <w:sz w:val="20"/>
          <w:szCs w:val="20"/>
          <w:color w:val="auto"/>
        </w:rPr>
      </w:pPr>
    </w:p>
    <w:p>
      <w:pPr>
        <w:ind w:left="1800" w:right="61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58"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58"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328"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10"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0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340"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None of us, the Trustee or the dealer-managers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1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1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dealer-managers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20"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95"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32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9"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4"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2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dealer-managers, securities brokers and dealers, banks, trust companies and clearing corporations. In the United States, Clearstream participants are limited to securities brokers and dealers and banks, and may include the dealer-managers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328"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9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2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1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61" w:lineRule="auto"/>
        <w:rPr>
          <w:sz w:val="20"/>
          <w:szCs w:val="20"/>
          <w:color w:val="auto"/>
        </w:rPr>
      </w:pPr>
      <w:r>
        <w:rPr>
          <w:rFonts w:ascii="Times New Roman" w:cs="Times New Roman" w:eastAsia="Times New Roman" w:hAnsi="Times New Roman"/>
          <w:sz w:val="18"/>
          <w:szCs w:val="18"/>
          <w:color w:val="auto"/>
        </w:rPr>
        <w:t>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1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93"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less:</w:t>
      </w:r>
    </w:p>
    <w:p>
      <w:pPr>
        <w:spacing w:after="0" w:line="52" w:lineRule="exact"/>
        <w:rPr>
          <w:sz w:val="20"/>
          <w:szCs w:val="20"/>
          <w:color w:val="auto"/>
        </w:rPr>
      </w:pPr>
    </w:p>
    <w:p>
      <w:pPr>
        <w:ind w:left="1800" w:right="73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15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0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lease any Principal Property that we or such Restricted Subsidiary has sold or transferred or will sell or transfer to that person. This term excludes the following:</w:t>
      </w:r>
    </w:p>
    <w:p>
      <w:pPr>
        <w:spacing w:after="0" w:line="67"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56"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us or by one or more other Subsidiaries, or by us and one or more other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EXCHANGE OFFER; REGISTRATION RIGHTS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On November 8, 2024, the Company, WM Holdings, Barclays Capital Inc., Deutsche Bank Securities Inc. and Goldman Sachs &amp; Co. LLC, as dealer managers, entered into the Registration Rights Agreement with respect to the Restricted Notes. In the Registration Rights Agreement, the Company agreed, among other things, for the benefit of the holders of the Restricted Notes to use commercially reasonable efforts to (1) file or cause to be filed a registration statement on Form S-4 with respect to a registered offer</w:t>
      </w:r>
    </w:p>
    <w:p>
      <w:pPr>
        <w:spacing w:after="0" w:line="1"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to exchange the Restricted Notes for Registered Notes, with terms substantially identical in all material respects to the Restricted Notes (except that the Registered Notes will not contain terms with respect to transfer restrictions or any increase in annual interest rate) and (2) keep such registration statement effective until 180 days after the consummation of the exchange offer for use by one or more participating broker-dealers.</w:t>
      </w:r>
    </w:p>
    <w:p>
      <w:pPr>
        <w:spacing w:after="0" w:line="325"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the SEC declares the registration statement of which this prospectus forms a part effective, the Company will offer the Registered Notes in exchange for the Restricted Notes. The exchange offer will remain open for at least 20 business days from the date such prospectus is mailed and/or electronically delivered. For each Restricted Note surrendered to the Company under the exchange offer, the holders of such Restricted Note will receive a Registered Note of equal principal amount. Interest on the Registered Notes will be payable semi-annually on January 15 and July 15 and will accrue from the most recent interest payment date of the Restricted Notes, which was January 15, 2025. A holder of registrable securities that participates in the exchange offer will be required to make certain representations to us. The Company will use commercially reasonable efforts to complete the exchange offer no later than November 9, 2025.</w:t>
      </w:r>
    </w:p>
    <w:p>
      <w:pPr>
        <w:spacing w:after="0" w:line="11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Under existing interpretations of the SEC contained in several no-action letters to third parties, the Registered Notes will be freely transferable after the exchange offer without further registration under the Securities Act, except that any broker-dealer that participates in the exchange offer must deliver a prospectus meeting the requirements of the Securities Act when it resells the Registered Notes. In addition, under applicable interpretations of the staff of the SEC, the Company’s affiliates will not be permitted to exchange their Restricted Notes for Registered Notes in the exchange offer.</w:t>
      </w:r>
    </w:p>
    <w:p>
      <w:pPr>
        <w:spacing w:after="0" w:line="114"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Company will agree to make available, during the period required by the Securities Act, a prospectus meeting the requirements of the Securities Act for use by participating broker-dealers and other persons, if any, with similar prospectus delivery requirements for use in connection with any resale of the Registered Notes. Restricted Notes of any series not tendered in the exchange offer will continue to bear interest at the rate set forth in the Indenture with respect to the Restricted Notes and be subject to all the terms and conditions specified in the Indenture, including transfer restrictions, but will not retain any rights under the Registration Rights Agreement (including with respect to increases in annual interest rate described below) after the consummation of the exchange offer.</w:t>
      </w:r>
    </w:p>
    <w:p>
      <w:pPr>
        <w:spacing w:after="0" w:line="119"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the Company determines that any changes in applicable law or applicable interpretations of the SEC do not permit the Company to effect the exchange offer, or a holder of Restricted Notes participating in the exchange offer does not receive Registered Notes on the date of the exchange that may be sold without restriction under state and U.S. federal securities laws (other than due solely to the status of such holder as an affiliate of the Company within the meaning of the Securities Act) and notifies the Company within</w:t>
      </w:r>
    </w:p>
    <w:p>
      <w:pPr>
        <w:spacing w:after="0" w:line="3"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30 days after such holder first becomes aware of such restrictions, or the exchange offer, for any other reason, is not completed by November 9, 2025, or the Company receives a written request from any holder of Restricted Notes within 20 business days after the consummation of the exchange offer representing that they hold Restricted Notes that are or were ineligible to be exchanged in the exchange offer then the Company will be required to use commercially reasonable efforts to file as promptly as practicable after the date of such determination, a shelf registration statement under the Securities Act and to have such shelf registration statement become effective, which shelf registration statement would cover resales of the registrable securities of such series held by such persons. The Company will, in the event of such a shelf registration, provide to each participating holder of Restricted Notes copies of a prospectus, notify each participating holder of Restricted Notes when the shelf registration statement has become effective and take certain other actions to permit resales of the Restricted Notes. A holder of registrable securities that sells Restricted Notes under the shelf registration statement generally will be required to make certain representations to the Company, to be named as a selling security holder in the related prospectus and to deliver a prospectus to purchasers, will be subject to certain of the civil liability provisions under the Securities Act in connection with those sales and will be bound by the provisions of the Registration Rights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39"/>
        <w:spacing w:after="0" w:line="266" w:lineRule="auto"/>
        <w:rPr>
          <w:sz w:val="20"/>
          <w:szCs w:val="20"/>
          <w:color w:val="auto"/>
        </w:rPr>
      </w:pPr>
      <w:r>
        <w:rPr>
          <w:rFonts w:ascii="Times New Roman" w:cs="Times New Roman" w:eastAsia="Times New Roman" w:hAnsi="Times New Roman"/>
          <w:sz w:val="18"/>
          <w:szCs w:val="18"/>
          <w:color w:val="auto"/>
        </w:rPr>
        <w:t>that are applicable to such a holder of registrable securities (including certain indemnification obligations). Holders of registrable securities will also be required to suspend their use of the prospectus included in the shelf registration statement under specified circumstances upon receipt of notice from the Company.</w:t>
      </w:r>
    </w:p>
    <w:p>
      <w:pPr>
        <w:spacing w:after="0" w:line="10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If a “registration default” (as​ defined below) occurs with respect to a series of registrable securities, then additional interest shall accrue on the principal amount of the Restricted Notes of a particular series that are registrable securities at a rate of 0.25% per annum. The additional interest will cease to accrue when the registration defaults ends. A “</w:t>
      </w:r>
      <w:r>
        <w:rPr>
          <w:rFonts w:ascii="Times New Roman" w:cs="Times New Roman" w:eastAsia="Times New Roman" w:hAnsi="Times New Roman"/>
          <w:sz w:val="18"/>
          <w:szCs w:val="18"/>
          <w:i w:val="1"/>
          <w:iCs w:val="1"/>
          <w:color w:val="auto"/>
        </w:rPr>
        <w:t>registration default</w:t>
      </w:r>
      <w:r>
        <w:rPr>
          <w:rFonts w:ascii="Times New Roman" w:cs="Times New Roman" w:eastAsia="Times New Roman" w:hAnsi="Times New Roman"/>
          <w:sz w:val="18"/>
          <w:szCs w:val="18"/>
          <w:color w:val="auto"/>
        </w:rPr>
        <w:t>” occurs if (i) the exchange offer of the Restricted Notes for Registered Notes validly tendered in accordance with the terms of the exchange offer is not completed on or prior to November 9, 2025, or, if a shelf registration statement is required, such shelf registration statement is not declared effective on or prior to the 60th day after the later of (a) November 9, 2025, and (b) the date on which the Company receives a duly executed notice from certain holders of the Restricted Notes or (ii) if applicable, a shelf registration statement covering resales of the Restricted Securities has been declared effective and such shelf registration statement ceases to be effective or the prospectus contained therein ceases to be usable for resales of Restricted Securities at any time during the effectiveness period of the shelf registration statement, and such failure to remain effective or be so usable exists for more than 90 days (whether or not consecutive) in any 12-month period. A registration default ends with respect to the Restricted Notes when such Restricted Note ceases to be a registrable security or, if earlier, in the case of a registration default under clause (ii) of the definition thereof, when the registration statement again becomes effective or the prospectus again becomes usable as permitted by the definition thereof.</w:t>
      </w:r>
    </w:p>
    <w:p>
      <w:pPr>
        <w:spacing w:after="0" w:line="34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Registration Rights Agreement defines “</w:t>
      </w: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initially to mean the Restricted Notes and provides that the Restricted Notes will cease to be registrable securities when: (i) when a registration statement with respect to such Restricted Notes has become effective and such Restricted Notes have been exchanged or disposed of or distributed pursuant to such registration statement, (ii) when such Restricted Notes cease to be outstanding or (iii) when the exchange offer is consummated, except in the case of Restricted Notes that otherwise remain registrable securities that are held by a holder that was ineligible to participate in the exchange offer or participate in the exchange offer and did not receive fully tradable Registered Notes pursuant to the exchange offer.</w:t>
      </w:r>
    </w:p>
    <w:p>
      <w:pPr>
        <w:spacing w:after="0" w:line="10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amounts of additional interest due will be payable in cash on the same original interest payment dates as interest on the Restricted Notes is payable.</w:t>
      </w:r>
    </w:p>
    <w:p>
      <w:pPr>
        <w:spacing w:after="0" w:line="94" w:lineRule="exact"/>
        <w:rPr>
          <w:sz w:val="20"/>
          <w:szCs w:val="20"/>
          <w:color w:val="auto"/>
        </w:rPr>
      </w:pPr>
    </w:p>
    <w:p>
      <w:pPr>
        <w:jc w:val="both"/>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This summary of the provisions of the Registration Rights Agreement does not purport to be complete and is subject to, and is qualified in its entirety to, all the provisions of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considerations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relating to the exchange of Restricted Notes for Registered Notes in the exchange offer. It does not include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discussion of the ownership and disposition of Registered Notes acquired pursuant to the exchange offer,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nor does it purport to contain a complete analysis of all the potential tax considerations relating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 This discussion is limited to holders of Restricted Notes who hold the Restricted Notes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“capital assets” within the meaning of Section 1221 of the Internal Revenue Code of 1986, as amended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(generally, property held for investment). This discussion is based upon the Code, the Treasury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Regulations promulgated thereunder, judicial authorities and published positions of the Internal Revenue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Service (the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all as currently in effect, and all of which are subject to change or differing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interpretations possibly with retroactive effect, and any such change or differing interpretation could affect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accuracy of the statements and conclusions set forth herein.</w:t>
      </w:r>
    </w:p>
    <w:p>
      <w:pPr>
        <w:spacing w:after="0" w:line="1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discussion is for general information purposes only and does not address all of the U.S. federal income tax consequences and considerations that may be relevant to a particular holder in light of such holder’s particular facts and circumstances and does not apply to holders that are subject to special treatment under U.S. federal income tax laws, such as, for example, banks or other financial institutions; insurance companies, regulated investment companies, real estate investment trusts or mutual funds; holders liable for the alternative minimum tax; certain former citizens or former long-term residents of the United States; U.S. holders having a “functional currency” other than the U.S. dollar; tax-exempt organizations; dealers in securities; entities or arrangements treated as partnerships for U.S. federal income tax purposes or other flow-through entities (or investors therein); subchapter S corporations, retirement plans, individual retirement accounts or other tax-deferred accounts; traders in securities that elect to use a mark to market method of accounting; or holders that hold Restricted Notes as part of a straddle, constructive sale, or conversion transaction or other integrated or risk reduction transaction.</w:t>
      </w:r>
    </w:p>
    <w:p>
      <w:pPr>
        <w:spacing w:after="0" w:line="10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discussion does not address any tax consequences under U.S. federal tax laws other than those pertaining to income tax, nor does it address any considerations under any state, local or foreign tax laws or under the unearned income Medicare contribution tax pursuant to the Health Care and Education Reconciliation Act of 2010. This discussion also does not address any withholding considerations under the Foreign Account Tax Compliance Act of 2010 (including the Treasury Regulations issued thereunder and intergovernmental agreements entered into pursuant thereto or in connection therewith). No assurance can be given that the IRS would not assert, or that a court would not sustain, a position contrary to any of the tax consequences set forth below.</w:t>
      </w:r>
    </w:p>
    <w:p>
      <w:pPr>
        <w:spacing w:after="0" w:line="12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Restricted Notes, the tax treatment of a person treated as a partner in such partnership for U.S. federal income tax purposes generally will depend upon the status of the partner and the activities of the partnership. Such partnerships and partners in such partnerships should consult their tax advisors about the tax consequences of the exchange to them.</w:t>
      </w:r>
    </w:p>
    <w:p>
      <w:pPr>
        <w:spacing w:after="0" w:line="112"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general purposes only. All holders are urged to consult with their tax advisors as to the specific tax consequences to them of the exchange of Restricted Notes for Registered Notes in light of their particular facts and circumstances, including the applicability and effect of any U.S. federal, state, local, foreign or other tax laws.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of Tendering Restricted Notes</w:t>
      </w:r>
    </w:p>
    <w:p>
      <w:pPr>
        <w:spacing w:after="0" w:line="14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The exchange of Restricted Notes for Registered Notes in the exchange offer will not constitute a taxable exchange for U.S. federal income tax purposes. Accordingly, you will not recognize gain or loss upon the exchange of Restricted Notes for Registered Notes, your basis in the Registered Notes will be the same as your basis in the Restricted Notes surrendered in exchange therefor immediately before the exchange, and your holding period in the Registered Notes will include your holding period for the Restricted Notes exchanged.</w:t>
      </w: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broker-dealer that receives Registered Notes for its own account pursuant to the exchange offer must acknowledge that it will deliver a prospectus in connection with any resale of such Registered Notes. This prospectus, as it may be amended or supplemented from time to time, may be used by a broker-dealer in connection with resales of Registered Notes received in exchange for Restricted Notes that were acquired by such broker-dealer as a result of market-making or other trading activities. WM has agreed that, for a period ending on the earlier of (A) 180 days after the expiration date of the exchange offer and (B) the date on which each broker-dealer is no longer required to deliver a prospectus in connection with market marking or other trading activities, in each case to the extent necessary to ensure that the exchange offer registrations statement is available for resale of the Restricted Securities and if requested by one or more such broker-dealers, WM will use commercially reasonable efforts to amend or supplement this prospectus in order to expedite or facilitate the disposition of any Registered Notes by any such broker-dealers.</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WM will not receive any proceeds from any sale of Registered Notes by broker-dealers. Registered Notes received by broker-dealers for their own account pursuant to the exchange offer may be sold from time to time in one or more transactions in the over-the-counter market, in negotiated transactions, through the writing of options on the Registered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Registered Notes. Any broker-dealer that resells Registered Notes that were received by it for its own account pursuant to the exchange offer, and any broker or dealer that participates in a distribution of such Registered Notes may be deemed to be an “underwriter” within the meaning of the Securities Act, and any profit on any such resale of Registered Notes and any commissions or concessions received by any such persons may be deemed to be underwriting compensation under the Securities Act.</w:t>
      </w:r>
    </w:p>
    <w:p>
      <w:pPr>
        <w:spacing w:after="0" w:line="109"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The letter of transmittal states that, by acknowledging that it will deliver and by delivering a prospectus, a broker-dealer will not be deemed to admit that it is an “underwriter” within the meaning of the Securities Act.</w:t>
      </w:r>
    </w:p>
    <w:p>
      <w:pPr>
        <w:spacing w:after="0" w:line="32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For a period of 180 days after the expiration date of the exchange offer, WM will promptly send additional copies of this prospectus and any amendment or supplement to this prospectus to any broker-dealer that requests such documents in the letter of transmittal. WM has agreed to pay certain expenses incident to the exchange offer (including the expenses of one firm counsel for the holders of the Registered Notes) other than commissions or concessions of any brokers or dealers and WM will indemnify the holders of the Registered Notes (including any broker-dealers) against certain liabilities pursuant to the Registration Rights Agreement,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Baker Botts L.L.P. will pass upon certain legal matters for us in connection with the issuance of the Registered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15">
        <w:r>
          <w:rPr>
            <w:rFonts w:ascii="Times New Roman" w:cs="Times New Roman" w:eastAsia="Times New Roman" w:hAnsi="Times New Roman"/>
            <w:sz w:val="18"/>
            <w:szCs w:val="18"/>
            <w:u w:val="single" w:color="auto"/>
            <w:color w:val="0000EE"/>
          </w:rPr>
          <w:t>Annual Report (Form 10-K) for the year ended December 31, 2024</w:t>
        </w:r>
      </w:hyperlink>
      <w:r>
        <w:rPr>
          <w:rFonts w:ascii="Times New Roman" w:cs="Times New Roman" w:eastAsia="Times New Roman" w:hAnsi="Times New Roman"/>
          <w:sz w:val="18"/>
          <w:szCs w:val="18"/>
          <w:color w:val="auto"/>
        </w:rPr>
        <w:t>, and the effectiveness of Waste Management, Inc.’s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14"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our securities.</w:t>
      </w:r>
    </w:p>
    <w:p>
      <w:pPr>
        <w:spacing w:after="0" w:line="10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3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5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SEC Filing (Our SEC File Number is 1-12154)</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16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Annual Report on Form 10-K for the year ended December 31, 2024</w:t>
              </w:r>
            </w:hyperlink>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February 19,</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Quarterly Report on Form 10-Q for the quarter ended March 31, 2025</w:t>
              </w:r>
            </w:hyperlink>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29,</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Current Report on Form 8-K</w:t>
              </w:r>
            </w:hyperlink>
          </w:p>
        </w:tc>
        <w:tc>
          <w:tcPr>
            <w:tcW w:w="396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February 28,</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140" w:type="dxa"/>
            <w:vAlign w:val="bottom"/>
            <w:tcBorders>
              <w:top w:val="single" w:sz="8" w:color="CCEEFF"/>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Current Report on Form 8-K</w:t>
              </w:r>
            </w:hyperlink>
          </w:p>
        </w:tc>
        <w:tc>
          <w:tcPr>
            <w:tcW w:w="3960" w:type="dxa"/>
            <w:vAlign w:val="bottom"/>
            <w:tcBorders>
              <w:top w:val="single" w:sz="8" w:color="CCEEFF"/>
              <w:bottom w:val="single" w:sz="8" w:color="CCEEFF"/>
            </w:tcBorders>
            <w:gridSpan w:val="3"/>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May 14,</w:t>
            </w:r>
          </w:p>
        </w:tc>
        <w:tc>
          <w:tcPr>
            <w:tcW w:w="3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Current Report on Form 8-K</w:t>
              </w:r>
            </w:hyperlink>
          </w:p>
        </w:tc>
        <w:tc>
          <w:tcPr>
            <w:tcW w:w="396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14,</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Borders>
              <w:top w:val="single" w:sz="8" w:color="CCEEFF"/>
            </w:tcBorders>
            <w:gridSpan w:val="9"/>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portions of our proxy statement for our 2025 annual meeting of stockholders</w:t>
              </w:r>
            </w:hyperlink>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in our Annual Report on Form 10-K for the year ended</w:t>
              </w:r>
            </w:hyperlink>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December 31, 2024</w:t>
              </w:r>
            </w:hyperlink>
          </w:p>
        </w:tc>
        <w:tc>
          <w:tcPr>
            <w:tcW w:w="4920" w:type="dxa"/>
            <w:vAlign w:val="bottom"/>
            <w:gridSpan w:val="6"/>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April 1,</w:t>
            </w:r>
          </w:p>
        </w:tc>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-1242695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1"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Inc. as described below, or through the SEC’s Internet website or through our website. Information contained on, or that can be accessed through, our website is not incorporated by reference into this prospectus and does not constitute a part of this prospectus.</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this prospectus is delivered, excluding all exhibits unless an exhibit has been specifically incorporated by reference into this prospectus, by requesting them in writing or by telephone using the contact information below:</w:t>
      </w:r>
    </w:p>
    <w:p>
      <w:pPr>
        <w:spacing w:after="0" w:line="11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ind w:left="4360"/>
        <w:spacing w:after="0" w:line="234" w:lineRule="auto"/>
        <w:rPr>
          <w:sz w:val="20"/>
          <w:szCs w:val="20"/>
          <w:color w:val="auto"/>
        </w:rPr>
      </w:pPr>
      <w:r>
        <w:rPr>
          <w:rFonts w:ascii="Times New Roman" w:cs="Times New Roman" w:eastAsia="Times New Roman" w:hAnsi="Times New Roman"/>
          <w:sz w:val="18"/>
          <w:szCs w:val="18"/>
          <w:color w:val="auto"/>
        </w:rPr>
        <w:t>Attn: Corporate Secretary</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512-6200</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Except as expressly provided above, no other information is incorporated by reference into this prospectus.</w:t>
      </w: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1116330</wp:posOffset>
            </wp:positionV>
            <wp:extent cx="2057400" cy="548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Offer to Exchange the Notes Set Forth Below</w:t>
      </w:r>
    </w:p>
    <w:p>
      <w:pPr>
        <w:spacing w:after="0" w:line="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b w:val="1"/>
          <w:bCs w:val="1"/>
          <w:color w:val="auto"/>
        </w:rPr>
        <w:t>Registered Under the Securities Act of 1933, as amended</w:t>
      </w:r>
    </w:p>
    <w:p>
      <w:pPr>
        <w:spacing w:after="0" w:line="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for</w:t>
      </w:r>
    </w:p>
    <w:p>
      <w:pPr>
        <w:jc w:val="center"/>
        <w:ind w:right="-800"/>
        <w:spacing w:after="0" w:line="225" w:lineRule="auto"/>
        <w:rPr>
          <w:sz w:val="20"/>
          <w:szCs w:val="20"/>
          <w:color w:val="auto"/>
        </w:rPr>
      </w:pPr>
      <w:r>
        <w:rPr>
          <w:rFonts w:ascii="Times New Roman" w:cs="Times New Roman" w:eastAsia="Times New Roman" w:hAnsi="Times New Roman"/>
          <w:sz w:val="25"/>
          <w:szCs w:val="25"/>
          <w:b w:val="1"/>
          <w:bCs w:val="1"/>
          <w:color w:val="auto"/>
        </w:rPr>
        <w:t>Any and All Outstanding Restricted Notes</w:t>
      </w: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Set Forth Opposite the Registered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540" w:hanging="1280"/>
        <w:spacing w:after="0"/>
        <w:tabs>
          <w:tab w:leader="none" w:pos="2540" w:val="left"/>
        </w:tabs>
        <w:numPr>
          <w:ilvl w:val="0"/>
          <w:numId w:val="31"/>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4"/>
          <w:szCs w:val="14"/>
          <w:b w:val="1"/>
          <w:bCs w:val="1"/>
          <w:color w:val="auto"/>
        </w:rPr>
        <w:t>REGISTERED NOTES</w:t>
      </w:r>
    </w:p>
    <w:p>
      <w:pPr>
        <w:spacing w:after="0" w:line="59" w:lineRule="exact"/>
        <w:rPr>
          <w:rFonts w:ascii="Times New Roman" w:cs="Times New Roman" w:eastAsia="Times New Roman" w:hAnsi="Times New Roman"/>
          <w:sz w:val="29"/>
          <w:szCs w:val="29"/>
          <w:b w:val="1"/>
          <w:bCs w:val="1"/>
          <w:color w:val="auto"/>
          <w:vertAlign w:val="subscript"/>
        </w:rPr>
      </w:pPr>
    </w:p>
    <w:p>
      <w:pPr>
        <w:ind w:left="1520" w:hanging="260"/>
        <w:spacing w:after="0"/>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$485,084,000 3.875%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wp:posOffset>
            </wp:positionV>
            <wp:extent cx="25374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(CUSIP No. 94106LCA5)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RESTRICTED NOTES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$485,084,000 3.875% Senior Notes due 2029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(CUSIP Nos. 94106LBZ1 and U94106AK4)</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940" w:space="380"/>
            <w:col w:w="4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1143000</wp:posOffset>
            </wp:positionV>
            <wp:extent cx="5212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
    </w:lvl>
  </w:abstractNum>
  <w:abstractNum w:abstractNumId="1">
    <w:nsid w:val="4E6AFB66"/>
    <w:multiLevelType w:val="hybridMultilevel"/>
    <w:lvl w:ilvl="0">
      <w:lvlJc w:val="left"/>
      <w:lvlText w:val="(%1)"/>
      <w:numFmt w:val="lowerRoman"/>
      <w:start w:val="3"/>
    </w:lvl>
    <w:lvl w:ilvl="1">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1)"/>
      <w:numFmt w:val="lowerLetter"/>
      <w:start w:val="1"/>
    </w:lvl>
    <w:lvl w:ilvl="1">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2"/>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jpe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15" Type="http://schemas.openxmlformats.org/officeDocument/2006/relationships/hyperlink" Target="https://www.sec.gov/ix?doc=/Archives/edgar/data/823768/000155837025001132/wm-20241231x10k.htm" TargetMode="External"/><Relationship Id="rId80" Type="http://schemas.openxmlformats.org/officeDocument/2006/relationships/hyperlink" Target="https://www.sec.gov/ix?doc=/Archives/edgar/data/823768/000155837025005805/wm-20250331x10q.htm" TargetMode="External"/><Relationship Id="rId81" Type="http://schemas.openxmlformats.org/officeDocument/2006/relationships/hyperlink" Target="https://www.sec.gov/ix?doc=/Archives/edgar/data/823768/000110465925019125/tm257911d1_8k.htm" TargetMode="External"/><Relationship Id="rId82" Type="http://schemas.openxmlformats.org/officeDocument/2006/relationships/hyperlink" Target="http://www.sec.gov/ix?doc=/Archives/edgar/data/823768/000110465925048604/tm2514999d2_8k.htm" TargetMode="External"/><Relationship Id="rId83" Type="http://schemas.openxmlformats.org/officeDocument/2006/relationships/hyperlink" Target="http://www.sec.gov/ix?doc=/Archives/edgar/data/823768/000110465925048609/tm2514999d1_8k.htm" TargetMode="External"/><Relationship Id="rId84" Type="http://schemas.openxmlformats.org/officeDocument/2006/relationships/hyperlink" Target="https://www.sec.gov/ix?doc=/Archives/edgar/data/823768/000110465925030318/tm251991-2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2025-05-22T15:22:43Z</dcterms:created>
  <dcterms:modified xsi:type="dcterms:W3CDTF">2025-05-22T15:22:43Z</dcterms:modified>
</cp:coreProperties>
</file>