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4"/>
          <w:szCs w:val="24"/>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AND EXCHANGE ACT OF 1934</w:t>
      </w:r>
    </w:p>
    <w:p>
      <w:pPr>
        <w:spacing w:after="0" w:line="64"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1380" w:right="11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64" w:lineRule="exact"/>
        <w:rPr>
          <w:sz w:val="24"/>
          <w:szCs w:val="24"/>
          <w:color w:val="auto"/>
        </w:rPr>
      </w:pPr>
    </w:p>
    <w:p>
      <w:pPr>
        <w:ind w:left="1380"/>
        <w:spacing w:after="0"/>
        <w:tabs>
          <w:tab w:leader="none" w:pos="4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640" w:type="dxa"/>
            <w:vAlign w:val="bottom"/>
          </w:tcPr>
          <w:p>
            <w:pPr>
              <w:jc w:val="center"/>
              <w:ind w:left="712"/>
              <w:spacing w:after="0"/>
              <w:rPr>
                <w:sz w:val="20"/>
                <w:szCs w:val="20"/>
                <w:color w:val="auto"/>
              </w:rPr>
            </w:pPr>
            <w:r>
              <w:rPr>
                <w:rFonts w:ascii="Arial" w:cs="Arial" w:eastAsia="Arial" w:hAnsi="Arial"/>
                <w:sz w:val="18"/>
                <w:szCs w:val="18"/>
                <w:b w:val="1"/>
                <w:bCs w:val="1"/>
                <w:color w:val="auto"/>
                <w:w w:val="91"/>
              </w:rPr>
              <w:t>Delaware</w:t>
            </w:r>
          </w:p>
        </w:tc>
        <w:tc>
          <w:tcPr>
            <w:tcW w:w="6780" w:type="dxa"/>
            <w:vAlign w:val="bottom"/>
            <w:gridSpan w:val="3"/>
          </w:tcPr>
          <w:p>
            <w:pPr>
              <w:jc w:val="right"/>
              <w:ind w:right="2194"/>
              <w:spacing w:after="0"/>
              <w:rPr>
                <w:sz w:val="20"/>
                <w:szCs w:val="20"/>
                <w:color w:val="auto"/>
              </w:rPr>
            </w:pPr>
            <w:r>
              <w:rPr>
                <w:rFonts w:ascii="Arial" w:cs="Arial" w:eastAsia="Arial" w:hAnsi="Arial"/>
                <w:sz w:val="18"/>
                <w:szCs w:val="18"/>
                <w:b w:val="1"/>
                <w:bCs w:val="1"/>
                <w:color w:val="auto"/>
              </w:rPr>
              <w:t>73-1309529</w:t>
            </w:r>
          </w:p>
        </w:tc>
      </w:tr>
      <w:tr>
        <w:trPr>
          <w:trHeight w:val="216"/>
        </w:trPr>
        <w:tc>
          <w:tcPr>
            <w:tcW w:w="4640" w:type="dxa"/>
            <w:vAlign w:val="bottom"/>
          </w:tcPr>
          <w:p>
            <w:pPr>
              <w:ind w:left="1640"/>
              <w:spacing w:after="0"/>
              <w:rPr>
                <w:sz w:val="20"/>
                <w:szCs w:val="20"/>
                <w:color w:val="auto"/>
              </w:rPr>
            </w:pPr>
            <w:r>
              <w:rPr>
                <w:rFonts w:ascii="Arial" w:cs="Arial" w:eastAsia="Arial" w:hAnsi="Arial"/>
                <w:sz w:val="18"/>
                <w:szCs w:val="18"/>
                <w:i w:val="1"/>
                <w:iCs w:val="1"/>
                <w:color w:val="auto"/>
              </w:rPr>
              <w:t>(State or other jurisdiction of</w:t>
            </w: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640" w:type="dxa"/>
            <w:vAlign w:val="bottom"/>
          </w:tcPr>
          <w:p>
            <w:pPr>
              <w:jc w:val="center"/>
              <w:ind w:left="692"/>
              <w:spacing w:after="0"/>
              <w:rPr>
                <w:sz w:val="20"/>
                <w:szCs w:val="20"/>
                <w:color w:val="auto"/>
              </w:rPr>
            </w:pPr>
            <w:r>
              <w:rPr>
                <w:rFonts w:ascii="Arial" w:cs="Arial" w:eastAsia="Arial" w:hAnsi="Arial"/>
                <w:sz w:val="18"/>
                <w:szCs w:val="18"/>
                <w:i w:val="1"/>
                <w:iCs w:val="1"/>
                <w:color w:val="auto"/>
                <w:w w:val="94"/>
              </w:rPr>
              <w:t>incorporation or organization)</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4640" w:type="dxa"/>
            <w:vAlign w:val="bottom"/>
          </w:tcPr>
          <w:p>
            <w:pPr>
              <w:jc w:val="center"/>
              <w:ind w:left="692"/>
              <w:spacing w:after="0"/>
              <w:rPr>
                <w:sz w:val="20"/>
                <w:szCs w:val="20"/>
                <w:color w:val="auto"/>
              </w:rPr>
            </w:pPr>
            <w:r>
              <w:rPr>
                <w:rFonts w:ascii="Arial" w:cs="Arial" w:eastAsia="Arial" w:hAnsi="Arial"/>
                <w:sz w:val="18"/>
                <w:szCs w:val="18"/>
                <w:b w:val="1"/>
                <w:bCs w:val="1"/>
                <w:color w:val="auto"/>
                <w:w w:val="90"/>
              </w:rPr>
              <w:t>1001 Fannin Street, Suite 4000</w:t>
            </w:r>
          </w:p>
        </w:tc>
        <w:tc>
          <w:tcPr>
            <w:tcW w:w="6780" w:type="dxa"/>
            <w:vAlign w:val="bottom"/>
            <w:gridSpan w:val="3"/>
          </w:tcPr>
          <w:p>
            <w:pPr>
              <w:jc w:val="right"/>
              <w:ind w:right="2394"/>
              <w:spacing w:after="0"/>
              <w:rPr>
                <w:sz w:val="20"/>
                <w:szCs w:val="20"/>
                <w:color w:val="auto"/>
              </w:rPr>
            </w:pPr>
            <w:r>
              <w:rPr>
                <w:rFonts w:ascii="Arial" w:cs="Arial" w:eastAsia="Arial" w:hAnsi="Arial"/>
                <w:sz w:val="18"/>
                <w:szCs w:val="18"/>
                <w:b w:val="1"/>
                <w:bCs w:val="1"/>
                <w:color w:val="auto"/>
              </w:rPr>
              <w:t>77002</w:t>
            </w:r>
          </w:p>
        </w:tc>
      </w:tr>
      <w:tr>
        <w:trPr>
          <w:trHeight w:val="220"/>
        </w:trPr>
        <w:tc>
          <w:tcPr>
            <w:tcW w:w="4640" w:type="dxa"/>
            <w:vAlign w:val="bottom"/>
          </w:tcPr>
          <w:p>
            <w:pPr>
              <w:jc w:val="center"/>
              <w:ind w:left="692"/>
              <w:spacing w:after="0"/>
              <w:rPr>
                <w:sz w:val="20"/>
                <w:szCs w:val="20"/>
                <w:color w:val="auto"/>
              </w:rPr>
            </w:pPr>
            <w:r>
              <w:rPr>
                <w:rFonts w:ascii="Arial" w:cs="Arial" w:eastAsia="Arial" w:hAnsi="Arial"/>
                <w:sz w:val="18"/>
                <w:szCs w:val="18"/>
                <w:b w:val="1"/>
                <w:bCs w:val="1"/>
                <w:color w:val="auto"/>
                <w:w w:val="88"/>
              </w:rPr>
              <w:t>Houston, Texas</w:t>
            </w: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1"/>
              </w:rPr>
              <w:t>(Zip code)</w:t>
            </w:r>
          </w:p>
        </w:tc>
      </w:tr>
      <w:tr>
        <w:trPr>
          <w:trHeight w:val="230"/>
        </w:trPr>
        <w:tc>
          <w:tcPr>
            <w:tcW w:w="4640" w:type="dxa"/>
            <w:vAlign w:val="bottom"/>
          </w:tcPr>
          <w:p>
            <w:pPr>
              <w:jc w:val="center"/>
              <w:ind w:left="692"/>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11420" w:type="dxa"/>
            <w:vAlign w:val="bottom"/>
            <w:gridSpan w:val="4"/>
          </w:tcPr>
          <w:p>
            <w:pPr>
              <w:jc w:val="center"/>
              <w:spacing w:after="0"/>
              <w:rPr>
                <w:sz w:val="20"/>
                <w:szCs w:val="20"/>
                <w:color w:val="auto"/>
              </w:rPr>
            </w:pPr>
            <w:r>
              <w:rPr>
                <w:rFonts w:ascii="Arial" w:cs="Arial" w:eastAsia="Arial" w:hAnsi="Arial"/>
                <w:sz w:val="18"/>
                <w:szCs w:val="18"/>
                <w:i w:val="1"/>
                <w:iCs w:val="1"/>
                <w:color w:val="auto"/>
                <w:w w:val="90"/>
              </w:rPr>
              <w:t>Registrant’s telephone number, including area code:</w:t>
            </w:r>
          </w:p>
        </w:tc>
      </w:tr>
      <w:tr>
        <w:trPr>
          <w:trHeight w:val="234"/>
        </w:trPr>
        <w:tc>
          <w:tcPr>
            <w:tcW w:w="4640" w:type="dxa"/>
            <w:vAlign w:val="bottom"/>
          </w:tcPr>
          <w:p>
            <w:pPr>
              <w:spacing w:after="0"/>
              <w:rPr>
                <w:sz w:val="20"/>
                <w:szCs w:val="20"/>
                <w:color w:val="auto"/>
              </w:rPr>
            </w:pPr>
          </w:p>
        </w:tc>
        <w:tc>
          <w:tcPr>
            <w:tcW w:w="6780" w:type="dxa"/>
            <w:vAlign w:val="bottom"/>
            <w:gridSpan w:val="3"/>
          </w:tcPr>
          <w:p>
            <w:pPr>
              <w:jc w:val="center"/>
              <w:ind w:right="4534"/>
              <w:spacing w:after="0"/>
              <w:rPr>
                <w:sz w:val="20"/>
                <w:szCs w:val="20"/>
                <w:color w:val="auto"/>
              </w:rPr>
            </w:pPr>
            <w:r>
              <w:rPr>
                <w:rFonts w:ascii="Arial" w:cs="Arial" w:eastAsia="Arial" w:hAnsi="Arial"/>
                <w:sz w:val="18"/>
                <w:szCs w:val="18"/>
                <w:b w:val="1"/>
                <w:bCs w:val="1"/>
                <w:color w:val="auto"/>
                <w:w w:val="90"/>
              </w:rPr>
              <w:t>(713) 512-6200</w:t>
            </w:r>
          </w:p>
        </w:tc>
      </w:tr>
      <w:tr>
        <w:trPr>
          <w:trHeight w:val="432"/>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65"/>
        </w:trPr>
        <w:tc>
          <w:tcPr>
            <w:tcW w:w="4640" w:type="dxa"/>
            <w:vAlign w:val="bottom"/>
            <w:tcBorders>
              <w:bottom w:val="single" w:sz="8" w:color="auto"/>
            </w:tcBorders>
          </w:tcPr>
          <w:p>
            <w:pPr>
              <w:jc w:val="center"/>
              <w:ind w:left="712"/>
              <w:spacing w:after="0"/>
              <w:rPr>
                <w:sz w:val="20"/>
                <w:szCs w:val="20"/>
                <w:color w:val="auto"/>
              </w:rPr>
            </w:pPr>
            <w:r>
              <w:rPr>
                <w:rFonts w:ascii="Arial" w:cs="Arial" w:eastAsia="Arial" w:hAnsi="Arial"/>
                <w:sz w:val="14"/>
                <w:szCs w:val="14"/>
                <w:b w:val="1"/>
                <w:bCs w:val="1"/>
                <w:color w:val="auto"/>
                <w:w w:val="93"/>
              </w:rPr>
              <w:t>Title of Each Class</w:t>
            </w:r>
          </w:p>
        </w:tc>
        <w:tc>
          <w:tcPr>
            <w:tcW w:w="7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24"/>
        </w:trPr>
        <w:tc>
          <w:tcPr>
            <w:tcW w:w="4640" w:type="dxa"/>
            <w:vAlign w:val="bottom"/>
          </w:tcPr>
          <w:p>
            <w:pPr>
              <w:jc w:val="center"/>
              <w:ind w:left="712"/>
              <w:spacing w:after="0"/>
              <w:rPr>
                <w:sz w:val="20"/>
                <w:szCs w:val="20"/>
                <w:color w:val="auto"/>
              </w:rPr>
            </w:pPr>
            <w:r>
              <w:rPr>
                <w:rFonts w:ascii="Arial" w:cs="Arial" w:eastAsia="Arial" w:hAnsi="Arial"/>
                <w:sz w:val="18"/>
                <w:szCs w:val="18"/>
                <w:color w:val="auto"/>
                <w:w w:val="90"/>
              </w:rPr>
              <w:t>Common Stock, $.01 par value</w:t>
            </w: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47" w:lineRule="exact"/>
        <w:rPr>
          <w:sz w:val="24"/>
          <w:szCs w:val="24"/>
          <w:color w:val="auto"/>
        </w:rPr>
      </w:pPr>
    </w:p>
    <w:p>
      <w:pPr>
        <w:ind w:left="240" w:right="166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by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4" w:lineRule="exact"/>
        <w:rPr>
          <w:sz w:val="24"/>
          <w:szCs w:val="24"/>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Regulations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Regulations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ind w:right="18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1" w:lineRule="exact"/>
        <w:rPr>
          <w:sz w:val="24"/>
          <w:szCs w:val="24"/>
          <w:color w:val="auto"/>
        </w:rPr>
      </w:pPr>
    </w:p>
    <w:p>
      <w:pPr>
        <w:spacing w:after="0" w:line="207" w:lineRule="exact"/>
        <w:tabs>
          <w:tab w:leader="none" w:pos="2500" w:val="left"/>
          <w:tab w:leader="none" w:pos="5820" w:val="left"/>
          <w:tab w:leader="none" w:pos="93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58"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(Do not check if a smaller reporting company)</w:t>
      </w:r>
    </w:p>
    <w:p>
      <w:pPr>
        <w:spacing w:after="0" w:line="68" w:lineRule="exact"/>
        <w:rPr>
          <w:sz w:val="24"/>
          <w:szCs w:val="24"/>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4"/>
          <w:szCs w:val="24"/>
          <w:color w:val="auto"/>
        </w:rPr>
      </w:pPr>
    </w:p>
    <w:p>
      <w:pPr>
        <w:jc w:val="both"/>
        <w:ind w:right="320" w:firstLine="222"/>
        <w:spacing w:after="0" w:line="286" w:lineRule="auto"/>
        <w:rPr>
          <w:sz w:val="20"/>
          <w:szCs w:val="20"/>
          <w:color w:val="auto"/>
        </w:rPr>
      </w:pPr>
      <w:r>
        <w:rPr>
          <w:rFonts w:ascii="Arial" w:cs="Arial" w:eastAsia="Arial" w:hAnsi="Arial"/>
          <w:sz w:val="17"/>
          <w:szCs w:val="17"/>
          <w:color w:val="auto"/>
        </w:rPr>
        <w:t>The aggregate market value of the voting stock held by non-affiliates of the registrant at June 30, 2010 was approximately $15.0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57" w:lineRule="exact"/>
        <w:rPr>
          <w:sz w:val="24"/>
          <w:szCs w:val="24"/>
          <w:color w:val="auto"/>
        </w:rPr>
      </w:pPr>
    </w:p>
    <w:p>
      <w:pPr>
        <w:ind w:firstLine="222"/>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February 10, 2011 was 475,487,984 (excluding treasury shares of 154,794,477).</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1" w:lineRule="exact"/>
        <w:rPr>
          <w:sz w:val="24"/>
          <w:szCs w:val="24"/>
          <w:color w:val="auto"/>
        </w:rPr>
      </w:pPr>
    </w:p>
    <w:p>
      <w:pPr>
        <w:ind w:left="2400"/>
        <w:spacing w:after="0"/>
        <w:tabs>
          <w:tab w:leader="none" w:pos="8120" w:val="left"/>
        </w:tabs>
        <w:rPr>
          <w:sz w:val="20"/>
          <w:szCs w:val="20"/>
          <w:color w:val="auto"/>
        </w:rPr>
      </w:pPr>
      <w:r>
        <w:rPr>
          <w:rFonts w:ascii="Arial" w:cs="Arial" w:eastAsia="Arial" w:hAnsi="Arial"/>
          <w:sz w:val="14"/>
          <w:szCs w:val="14"/>
          <w:b w:val="1"/>
          <w:bCs w:val="1"/>
          <w:color w:val="auto"/>
        </w:rPr>
        <w:t>Document</w:t>
      </w:r>
      <w:r>
        <w:rPr>
          <w:sz w:val="20"/>
          <w:szCs w:val="20"/>
          <w:color w:val="auto"/>
        </w:rPr>
        <w:tab/>
      </w:r>
      <w:r>
        <w:rPr>
          <w:rFonts w:ascii="Arial" w:cs="Arial" w:eastAsia="Arial" w:hAnsi="Arial"/>
          <w:sz w:val="14"/>
          <w:szCs w:val="14"/>
          <w:b w:val="1"/>
          <w:bCs w:val="1"/>
          <w:color w:val="auto"/>
        </w:rPr>
        <w:t>Incorporated as to</w:t>
      </w:r>
    </w:p>
    <w:p>
      <w:pPr>
        <w:sectPr>
          <w:pgSz w:w="11900" w:h="16838" w:orient="portrait"/>
          <w:cols w:equalWidth="0" w:num="1">
            <w:col w:w="11420"/>
          </w:cols>
          <w:pgMar w:left="240" w:top="522" w:right="239" w:bottom="0" w:gutter="0" w:footer="0" w:header="0"/>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5420" w:type="dxa"/>
            <w:vAlign w:val="bottom"/>
            <w:tcBorders>
              <w:top w:val="single" w:sz="8" w:color="auto"/>
            </w:tcBorders>
          </w:tcPr>
          <w:p>
            <w:pPr>
              <w:ind w:left="1840"/>
              <w:spacing w:after="0" w:line="195" w:lineRule="exact"/>
              <w:rPr>
                <w:sz w:val="20"/>
                <w:szCs w:val="20"/>
                <w:color w:val="auto"/>
              </w:rPr>
            </w:pPr>
            <w:r>
              <w:rPr>
                <w:rFonts w:ascii="Arial" w:cs="Arial" w:eastAsia="Arial" w:hAnsi="Arial"/>
                <w:sz w:val="18"/>
                <w:szCs w:val="18"/>
                <w:color w:val="auto"/>
              </w:rPr>
              <w:t>Proxy Statement for the</w:t>
            </w:r>
          </w:p>
        </w:tc>
        <w:tc>
          <w:tcPr>
            <w:tcW w:w="580" w:type="dxa"/>
            <w:vAlign w:val="bottom"/>
          </w:tcPr>
          <w:p>
            <w:pPr>
              <w:spacing w:after="0"/>
              <w:rPr>
                <w:sz w:val="16"/>
                <w:szCs w:val="16"/>
                <w:color w:val="auto"/>
              </w:rPr>
            </w:pPr>
          </w:p>
        </w:tc>
        <w:tc>
          <w:tcPr>
            <w:tcW w:w="5420" w:type="dxa"/>
            <w:vAlign w:val="bottom"/>
            <w:tcBorders>
              <w:top w:val="single" w:sz="8" w:color="auto"/>
            </w:tcBorders>
          </w:tcPr>
          <w:p>
            <w:pPr>
              <w:ind w:left="2440"/>
              <w:spacing w:after="0" w:line="195" w:lineRule="exact"/>
              <w:rPr>
                <w:sz w:val="20"/>
                <w:szCs w:val="20"/>
                <w:color w:val="auto"/>
              </w:rPr>
            </w:pPr>
            <w:r>
              <w:rPr>
                <w:rFonts w:ascii="Arial" w:cs="Arial" w:eastAsia="Arial" w:hAnsi="Arial"/>
                <w:sz w:val="18"/>
                <w:szCs w:val="18"/>
                <w:color w:val="auto"/>
              </w:rPr>
              <w:t>Part III</w:t>
            </w:r>
          </w:p>
        </w:tc>
      </w:tr>
      <w:tr>
        <w:trPr>
          <w:trHeight w:val="230"/>
        </w:trPr>
        <w:tc>
          <w:tcPr>
            <w:tcW w:w="5420" w:type="dxa"/>
            <w:vAlign w:val="bottom"/>
          </w:tcPr>
          <w:p>
            <w:pPr>
              <w:ind w:left="1340"/>
              <w:spacing w:after="0"/>
              <w:rPr>
                <w:sz w:val="20"/>
                <w:szCs w:val="20"/>
                <w:color w:val="auto"/>
              </w:rPr>
            </w:pPr>
            <w:r>
              <w:rPr>
                <w:rFonts w:ascii="Arial" w:cs="Arial" w:eastAsia="Arial" w:hAnsi="Arial"/>
                <w:sz w:val="18"/>
                <w:szCs w:val="18"/>
                <w:color w:val="auto"/>
              </w:rPr>
              <w:t>2011 Annual Meeting of Stockholders</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237"/>
        </w:trPr>
        <w:tc>
          <w:tcPr>
            <w:tcW w:w="5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522" w:right="2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Waste Management, Inc. (the “Company”) is filing this Amendment No. 1 on Form 10-K/A (this “Amendment”) to the Company’s Annual Report on Form 10-K for the year ended December 31, 2010, which was originally filed with the Securities and Exchange Commission on February 17, 2011 (the “Original Filing”).</w:t>
      </w:r>
    </w:p>
    <w:p>
      <w:pPr>
        <w:spacing w:after="0" w:line="73"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 permitted by Rule 103 of Regulation S-T, the purpose of this Amendment is to correct an error made by a third-party EDGAR filing service that was outside the control of the registrant. The error in the Original Filing resulted in the omission of the last page of the exhibit index included as part of Item 15 of the Original Filing. This Amendment is being filed to amend and restate Item 15 and the referenced exhibit index in its entirety. Accordingly, this Amendment should be read in conjunction with the Original Filing.</w:t>
      </w:r>
    </w:p>
    <w:p>
      <w:pPr>
        <w:spacing w:after="0" w:line="79"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Except as amended by this Amendment, the Original Filing has not been amended, updated or otherwise modified. As required by Rule 12b-15 under the Securities and Exchange Act of 1934, new certifications of our principal executive officer and principal financial officer are being filed as exhibits to this Form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(1) Consolidated Financial Statements: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Consolidated Balance Sheets as of December 31, 2010 and 2009</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Consolidated Statements of Operations for the years ended December 31, 2010, 2009 and 2008</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Consolidated Statements of Cash Flows for the years ended December 31, 2010, 2009 and 2008</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Consolidated Statements of Changes in Equity for the years ended December 31, 2010, 2009 and 2008</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Notes to Consolidated Financial Statements</w:t>
      </w:r>
    </w:p>
    <w:p>
      <w:pPr>
        <w:spacing w:after="0" w:line="103" w:lineRule="exact"/>
        <w:rPr>
          <w:sz w:val="20"/>
          <w:szCs w:val="20"/>
          <w:color w:val="auto"/>
        </w:rPr>
      </w:pPr>
    </w:p>
    <w:p>
      <w:pPr>
        <w:ind w:left="480" w:hanging="247"/>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Consolidated Financial Statement Schedules: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Schedule II — Valuation and Qualifying Accounts</w:t>
      </w:r>
    </w:p>
    <w:p>
      <w:pPr>
        <w:spacing w:after="0" w:line="117"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All other schedules have been omitted because the required information is not significant or is included in the financial statements or notes thereto, or is not applicable.</w:t>
      </w:r>
    </w:p>
    <w:p>
      <w:pPr>
        <w:spacing w:after="0" w:line="62" w:lineRule="exact"/>
        <w:rPr>
          <w:sz w:val="20"/>
          <w:szCs w:val="20"/>
          <w:color w:val="auto"/>
        </w:rPr>
      </w:pPr>
    </w:p>
    <w:p>
      <w:pPr>
        <w:ind w:left="480" w:hanging="247"/>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 list required by this Item is incorporated by reference to the Exhibit Index filed as part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931"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80" w:type="dxa"/>
            <w:vAlign w:val="bottom"/>
          </w:tcPr>
          <w:p>
            <w:pPr>
              <w:ind w:left="34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24"/>
                <w:szCs w:val="24"/>
                <w:color w:val="auto"/>
              </w:rPr>
            </w:pPr>
          </w:p>
        </w:tc>
        <w:tc>
          <w:tcPr>
            <w:tcW w:w="10080" w:type="dxa"/>
            <w:vAlign w:val="bottom"/>
            <w:vMerge w:val="restart"/>
          </w:tcPr>
          <w:p>
            <w:pPr>
              <w:ind w:left="4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No.</w:t>
            </w:r>
          </w:p>
        </w:tc>
        <w:tc>
          <w:tcPr>
            <w:tcW w:w="62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10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20" w:type="dxa"/>
            <w:vAlign w:val="bottom"/>
          </w:tcPr>
          <w:p>
            <w:pPr>
              <w:jc w:val="right"/>
              <w:ind w:right="132"/>
              <w:spacing w:after="0" w:line="195" w:lineRule="exact"/>
              <w:rPr>
                <w:sz w:val="20"/>
                <w:szCs w:val="20"/>
                <w:color w:val="auto"/>
              </w:rPr>
            </w:pPr>
            <w:r>
              <w:rPr>
                <w:rFonts w:ascii="Arial" w:cs="Arial" w:eastAsia="Arial" w:hAnsi="Arial"/>
                <w:sz w:val="18"/>
                <w:szCs w:val="18"/>
                <w:color w:val="auto"/>
              </w:rPr>
              <w:t>3.1</w:t>
            </w:r>
          </w:p>
        </w:tc>
        <w:tc>
          <w:tcPr>
            <w:tcW w:w="620" w:type="dxa"/>
            <w:vAlign w:val="bottom"/>
            <w:vMerge w:val="continue"/>
          </w:tcPr>
          <w:p>
            <w:pPr>
              <w:spacing w:after="0"/>
              <w:rPr>
                <w:sz w:val="16"/>
                <w:szCs w:val="16"/>
                <w:color w:val="auto"/>
              </w:rPr>
            </w:pPr>
          </w:p>
        </w:tc>
        <w:tc>
          <w:tcPr>
            <w:tcW w:w="10080" w:type="dxa"/>
            <w:vAlign w:val="bottom"/>
          </w:tcPr>
          <w:p>
            <w:pPr>
              <w:spacing w:after="0" w:line="195" w:lineRule="exact"/>
              <w:rPr>
                <w:sz w:val="20"/>
                <w:szCs w:val="20"/>
                <w:color w:val="auto"/>
              </w:rPr>
            </w:pPr>
            <w:r>
              <w:rPr>
                <w:rFonts w:ascii="Arial" w:cs="Arial" w:eastAsia="Arial" w:hAnsi="Arial"/>
                <w:sz w:val="18"/>
                <w:szCs w:val="18"/>
                <w:color w:val="auto"/>
                <w:w w:val="93"/>
              </w:rPr>
              <w:t>Third Restated Certificate of Incorporation [Incorporated by reference to Exhibit 3.1 to Form 10-Q for the quarter ended June 30, 2010].</w:t>
            </w:r>
          </w:p>
        </w:tc>
        <w:tc>
          <w:tcPr>
            <w:tcW w:w="0" w:type="dxa"/>
            <w:vAlign w:val="bottom"/>
          </w:tcPr>
          <w:p>
            <w:pPr>
              <w:spacing w:after="0"/>
              <w:rPr>
                <w:sz w:val="1"/>
                <w:szCs w:val="1"/>
                <w:color w:val="auto"/>
              </w:rPr>
            </w:pPr>
          </w:p>
        </w:tc>
      </w:tr>
      <w:tr>
        <w:trPr>
          <w:trHeight w:val="216"/>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10700" w:type="dxa"/>
            <w:vAlign w:val="bottom"/>
            <w:gridSpan w:val="2"/>
          </w:tcPr>
          <w:p>
            <w:pPr>
              <w:ind w:left="220"/>
              <w:spacing w:after="0"/>
              <w:rPr>
                <w:sz w:val="20"/>
                <w:szCs w:val="20"/>
                <w:color w:val="auto"/>
              </w:rPr>
            </w:pPr>
            <w:r>
              <w:rPr>
                <w:rFonts w:ascii="Arial" w:cs="Arial" w:eastAsia="Arial" w:hAnsi="Arial"/>
                <w:sz w:val="18"/>
                <w:szCs w:val="18"/>
                <w:color w:val="auto"/>
              </w:rPr>
              <w:t>—   Amended and Restated Bylaws [Incorporated by reference to Exhibit 3.2 to Form 8-K dated May 11, 2010].</w:t>
            </w:r>
          </w:p>
        </w:tc>
        <w:tc>
          <w:tcPr>
            <w:tcW w:w="0" w:type="dxa"/>
            <w:vAlign w:val="bottom"/>
          </w:tcPr>
          <w:p>
            <w:pPr>
              <w:spacing w:after="0"/>
              <w:rPr>
                <w:sz w:val="1"/>
                <w:szCs w:val="1"/>
                <w:color w:val="auto"/>
              </w:rPr>
            </w:pPr>
          </w:p>
        </w:tc>
      </w:tr>
      <w:tr>
        <w:trPr>
          <w:trHeight w:val="216"/>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4.1</w:t>
            </w:r>
          </w:p>
        </w:tc>
        <w:tc>
          <w:tcPr>
            <w:tcW w:w="10700" w:type="dxa"/>
            <w:vAlign w:val="bottom"/>
            <w:gridSpan w:val="2"/>
          </w:tcPr>
          <w:p>
            <w:pPr>
              <w:ind w:left="220"/>
              <w:spacing w:after="0"/>
              <w:rPr>
                <w:sz w:val="20"/>
                <w:szCs w:val="20"/>
                <w:color w:val="auto"/>
              </w:rPr>
            </w:pPr>
            <w:r>
              <w:rPr>
                <w:rFonts w:ascii="Arial" w:cs="Arial" w:eastAsia="Arial" w:hAnsi="Arial"/>
                <w:sz w:val="18"/>
                <w:szCs w:val="18"/>
                <w:color w:val="auto"/>
              </w:rPr>
              <w:t>—   Specimen Stock Certificate [Incorporated by reference to Exhibit 4.1 to Form 10-K for the year ended December 31, 1998].</w:t>
            </w:r>
          </w:p>
        </w:tc>
        <w:tc>
          <w:tcPr>
            <w:tcW w:w="0" w:type="dxa"/>
            <w:vAlign w:val="bottom"/>
          </w:tcPr>
          <w:p>
            <w:pPr>
              <w:spacing w:after="0"/>
              <w:rPr>
                <w:sz w:val="1"/>
                <w:szCs w:val="1"/>
                <w:color w:val="auto"/>
              </w:rPr>
            </w:pPr>
          </w:p>
        </w:tc>
      </w:tr>
      <w:tr>
        <w:trPr>
          <w:trHeight w:val="216"/>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4.2</w:t>
            </w:r>
          </w:p>
        </w:tc>
        <w:tc>
          <w:tcPr>
            <w:tcW w:w="10700" w:type="dxa"/>
            <w:vAlign w:val="bottom"/>
            <w:gridSpan w:val="2"/>
          </w:tcPr>
          <w:p>
            <w:pPr>
              <w:ind w:left="220"/>
              <w:spacing w:after="0"/>
              <w:rPr>
                <w:sz w:val="20"/>
                <w:szCs w:val="20"/>
                <w:color w:val="auto"/>
              </w:rPr>
            </w:pPr>
            <w:r>
              <w:rPr>
                <w:rFonts w:ascii="Arial" w:cs="Arial" w:eastAsia="Arial" w:hAnsi="Arial"/>
                <w:sz w:val="18"/>
                <w:szCs w:val="18"/>
                <w:color w:val="auto"/>
                <w:w w:val="97"/>
              </w:rPr>
              <w:t>—   Indenture for Subordinated Debt Securities dated February 3, 1997, among the Registrant and The Bank of New York Mellon Trust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w w:val="90"/>
              </w:rPr>
              <w:t>Company, N.A. (the current successor to Texas Commerce Bank National Association), as trustee [Incorporated by reference to Exhibit 4.1</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rPr>
              <w:t>to Form 8-K dated February 7, 1997].</w:t>
            </w:r>
          </w:p>
        </w:tc>
        <w:tc>
          <w:tcPr>
            <w:tcW w:w="0" w:type="dxa"/>
            <w:vAlign w:val="bottom"/>
          </w:tcPr>
          <w:p>
            <w:pPr>
              <w:spacing w:after="0"/>
              <w:rPr>
                <w:sz w:val="1"/>
                <w:szCs w:val="1"/>
                <w:color w:val="auto"/>
              </w:rPr>
            </w:pPr>
          </w:p>
        </w:tc>
      </w:tr>
      <w:tr>
        <w:trPr>
          <w:trHeight w:val="216"/>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0700" w:type="dxa"/>
            <w:vAlign w:val="bottom"/>
            <w:gridSpan w:val="2"/>
          </w:tcPr>
          <w:p>
            <w:pPr>
              <w:ind w:left="220"/>
              <w:spacing w:after="0"/>
              <w:rPr>
                <w:sz w:val="20"/>
                <w:szCs w:val="20"/>
                <w:color w:val="auto"/>
              </w:rPr>
            </w:pPr>
            <w:r>
              <w:rPr>
                <w:rFonts w:ascii="Arial" w:cs="Arial" w:eastAsia="Arial" w:hAnsi="Arial"/>
                <w:sz w:val="18"/>
                <w:szCs w:val="18"/>
                <w:color w:val="auto"/>
                <w:w w:val="92"/>
              </w:rPr>
              <w:t>—   Indenture for Senior Debt Securities dated September 10, 1997, among the Registrant and The Bank of New York Mellon Trust Company,</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w w:val="90"/>
              </w:rPr>
              <w:t>N.A. (the current successor to Texas Commerce Bank National Association), as trustee [Incorporated by reference to Exhibit 4.1 to Form 8-</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rPr>
              <w:t>K dated September 10, 1997].</w:t>
            </w:r>
          </w:p>
        </w:tc>
        <w:tc>
          <w:tcPr>
            <w:tcW w:w="0" w:type="dxa"/>
            <w:vAlign w:val="bottom"/>
          </w:tcPr>
          <w:p>
            <w:pPr>
              <w:spacing w:after="0"/>
              <w:rPr>
                <w:sz w:val="1"/>
                <w:szCs w:val="1"/>
                <w:color w:val="auto"/>
              </w:rPr>
            </w:pPr>
          </w:p>
        </w:tc>
      </w:tr>
      <w:tr>
        <w:trPr>
          <w:trHeight w:val="216"/>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4.4</w:t>
            </w:r>
          </w:p>
        </w:tc>
        <w:tc>
          <w:tcPr>
            <w:tcW w:w="10700" w:type="dxa"/>
            <w:vAlign w:val="bottom"/>
            <w:gridSpan w:val="2"/>
          </w:tcPr>
          <w:p>
            <w:pPr>
              <w:ind w:left="220"/>
              <w:spacing w:after="0"/>
              <w:rPr>
                <w:sz w:val="20"/>
                <w:szCs w:val="20"/>
                <w:color w:val="auto"/>
              </w:rPr>
            </w:pPr>
            <w:r>
              <w:rPr>
                <w:rFonts w:ascii="Arial" w:cs="Arial" w:eastAsia="Arial" w:hAnsi="Arial"/>
                <w:sz w:val="18"/>
                <w:szCs w:val="18"/>
                <w:color w:val="auto"/>
                <w:w w:val="91"/>
              </w:rPr>
              <w:t>—   Officers’ Certificate delivered pursuant to Section 301 of the Indenture dated September 10, 1997 by and between Waste Management, Inc.</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w w:val="91"/>
              </w:rPr>
              <w:t>and The Bank of New York Mellon Trust Company, N.A., as Trustee, establishing the terms and form of Waste Management, Inc.’s 4.75%</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rPr>
              <w:t>Senior Notes due 2020 [Incorporated by reference to Exhibit 4.1 to Form 10-Q for the quarter ended June 30, 2010].</w:t>
            </w:r>
          </w:p>
        </w:tc>
        <w:tc>
          <w:tcPr>
            <w:tcW w:w="0" w:type="dxa"/>
            <w:vAlign w:val="bottom"/>
          </w:tcPr>
          <w:p>
            <w:pPr>
              <w:spacing w:after="0"/>
              <w:rPr>
                <w:sz w:val="1"/>
                <w:szCs w:val="1"/>
                <w:color w:val="auto"/>
              </w:rPr>
            </w:pPr>
          </w:p>
        </w:tc>
      </w:tr>
      <w:tr>
        <w:trPr>
          <w:trHeight w:val="216"/>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4.5</w:t>
            </w:r>
          </w:p>
        </w:tc>
        <w:tc>
          <w:tcPr>
            <w:tcW w:w="10700" w:type="dxa"/>
            <w:vAlign w:val="bottom"/>
            <w:gridSpan w:val="2"/>
          </w:tcPr>
          <w:p>
            <w:pPr>
              <w:ind w:left="220"/>
              <w:spacing w:after="0"/>
              <w:rPr>
                <w:sz w:val="20"/>
                <w:szCs w:val="20"/>
                <w:color w:val="auto"/>
              </w:rPr>
            </w:pPr>
            <w:r>
              <w:rPr>
                <w:rFonts w:ascii="Arial" w:cs="Arial" w:eastAsia="Arial" w:hAnsi="Arial"/>
                <w:sz w:val="18"/>
                <w:szCs w:val="18"/>
                <w:color w:val="auto"/>
                <w:w w:val="94"/>
              </w:rPr>
              <w:t>—   Guarantee Agreement by Waste Management Holdings, Inc. in favor of The Bank of New York Mellon Trust Company, N.A., as Trustee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w w:val="92"/>
              </w:rPr>
              <w:t>for the holders of Waste Management, Inc.’s 4.75% Senior Notes due 2020 [Incorporated by reference to Exhibit 4.2 to Form 10-Q for the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rPr>
              <w:t>quarter ended June 30, 2010].</w:t>
            </w:r>
          </w:p>
        </w:tc>
        <w:tc>
          <w:tcPr>
            <w:tcW w:w="0" w:type="dxa"/>
            <w:vAlign w:val="bottom"/>
          </w:tcPr>
          <w:p>
            <w:pPr>
              <w:spacing w:after="0"/>
              <w:rPr>
                <w:sz w:val="1"/>
                <w:szCs w:val="1"/>
                <w:color w:val="auto"/>
              </w:rPr>
            </w:pPr>
          </w:p>
        </w:tc>
      </w:tr>
      <w:tr>
        <w:trPr>
          <w:trHeight w:val="216"/>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4.6*</w:t>
            </w:r>
          </w:p>
        </w:tc>
        <w:tc>
          <w:tcPr>
            <w:tcW w:w="10700" w:type="dxa"/>
            <w:vAlign w:val="bottom"/>
            <w:gridSpan w:val="2"/>
          </w:tcPr>
          <w:p>
            <w:pPr>
              <w:ind w:left="220"/>
              <w:spacing w:after="0"/>
              <w:rPr>
                <w:sz w:val="20"/>
                <w:szCs w:val="20"/>
                <w:color w:val="auto"/>
              </w:rPr>
            </w:pPr>
            <w:r>
              <w:rPr>
                <w:rFonts w:ascii="Arial" w:cs="Arial" w:eastAsia="Arial" w:hAnsi="Arial"/>
                <w:sz w:val="18"/>
                <w:szCs w:val="18"/>
                <w:color w:val="auto"/>
                <w:w w:val="92"/>
              </w:rPr>
              <w:t>—   Schedule of Officers’ Certificates delivered pursuant to Section 301 of the Indenture dated September 10, 1997 establishing the terms and</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w w:val="90"/>
              </w:rPr>
              <w:t>form of Waste Management, Inc.’s Senior Notes. Waste Management and its subsidiaries are parties to debt instruments that have not been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w w:val="90"/>
              </w:rPr>
              <w:t>filed with the SEC under which the total amount of securities authorized does not exceed 10% of the total assets of Waste Management and</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w w:val="93"/>
              </w:rPr>
              <w:t>its subsidiaries on a consolidated basis. Pursuant to paragraph 4(iii)(A) of Item 601(b) of Regulation S-K, Waste Management agrees to</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rPr>
              <w:t>furnish a copy of such instruments to the SEC upon request.</w:t>
            </w:r>
          </w:p>
        </w:tc>
        <w:tc>
          <w:tcPr>
            <w:tcW w:w="0" w:type="dxa"/>
            <w:vAlign w:val="bottom"/>
          </w:tcPr>
          <w:p>
            <w:pPr>
              <w:spacing w:after="0"/>
              <w:rPr>
                <w:sz w:val="1"/>
                <w:szCs w:val="1"/>
                <w:color w:val="auto"/>
              </w:rPr>
            </w:pPr>
          </w:p>
        </w:tc>
      </w:tr>
      <w:tr>
        <w:trPr>
          <w:trHeight w:val="216"/>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10.1†</w:t>
            </w:r>
          </w:p>
        </w:tc>
        <w:tc>
          <w:tcPr>
            <w:tcW w:w="10700" w:type="dxa"/>
            <w:vAlign w:val="bottom"/>
            <w:gridSpan w:val="2"/>
          </w:tcPr>
          <w:p>
            <w:pPr>
              <w:ind w:left="220"/>
              <w:spacing w:after="0"/>
              <w:rPr>
                <w:sz w:val="20"/>
                <w:szCs w:val="20"/>
                <w:color w:val="auto"/>
              </w:rPr>
            </w:pPr>
            <w:r>
              <w:rPr>
                <w:rFonts w:ascii="Arial" w:cs="Arial" w:eastAsia="Arial" w:hAnsi="Arial"/>
                <w:sz w:val="18"/>
                <w:szCs w:val="18"/>
                <w:color w:val="auto"/>
                <w:w w:val="96"/>
              </w:rPr>
              <w:t>—   2009 Stock Incentive Plan [Incorporated by reference to Appendix B to the Proxy Statement on Schedule 14A filed March 25, 2009].</w:t>
            </w:r>
          </w:p>
        </w:tc>
        <w:tc>
          <w:tcPr>
            <w:tcW w:w="0" w:type="dxa"/>
            <w:vAlign w:val="bottom"/>
          </w:tcPr>
          <w:p>
            <w:pPr>
              <w:spacing w:after="0"/>
              <w:rPr>
                <w:sz w:val="1"/>
                <w:szCs w:val="1"/>
                <w:color w:val="auto"/>
              </w:rPr>
            </w:pPr>
          </w:p>
        </w:tc>
      </w:tr>
      <w:tr>
        <w:trPr>
          <w:trHeight w:val="216"/>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10.2†</w:t>
            </w:r>
          </w:p>
        </w:tc>
        <w:tc>
          <w:tcPr>
            <w:tcW w:w="10700" w:type="dxa"/>
            <w:vAlign w:val="bottom"/>
            <w:gridSpan w:val="2"/>
          </w:tcPr>
          <w:p>
            <w:pPr>
              <w:ind w:left="220"/>
              <w:spacing w:after="0"/>
              <w:rPr>
                <w:sz w:val="20"/>
                <w:szCs w:val="20"/>
                <w:color w:val="auto"/>
              </w:rPr>
            </w:pPr>
            <w:r>
              <w:rPr>
                <w:rFonts w:ascii="Arial" w:cs="Arial" w:eastAsia="Arial" w:hAnsi="Arial"/>
                <w:sz w:val="18"/>
                <w:szCs w:val="18"/>
                <w:color w:val="auto"/>
                <w:w w:val="97"/>
              </w:rPr>
              <w:t>—   2005 Annual Incentive Plan [Incorporated by reference to Appendix D to the Proxy Statement on Schedule 14A filed April 8, 2004].</w:t>
            </w:r>
          </w:p>
        </w:tc>
        <w:tc>
          <w:tcPr>
            <w:tcW w:w="0" w:type="dxa"/>
            <w:vAlign w:val="bottom"/>
          </w:tcPr>
          <w:p>
            <w:pPr>
              <w:spacing w:after="0"/>
              <w:rPr>
                <w:sz w:val="1"/>
                <w:szCs w:val="1"/>
                <w:color w:val="auto"/>
              </w:rPr>
            </w:pPr>
          </w:p>
        </w:tc>
      </w:tr>
      <w:tr>
        <w:trPr>
          <w:trHeight w:val="216"/>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10.3†</w:t>
            </w:r>
          </w:p>
        </w:tc>
        <w:tc>
          <w:tcPr>
            <w:tcW w:w="10700" w:type="dxa"/>
            <w:vAlign w:val="bottom"/>
            <w:gridSpan w:val="2"/>
          </w:tcPr>
          <w:p>
            <w:pPr>
              <w:ind w:left="220"/>
              <w:spacing w:after="0"/>
              <w:rPr>
                <w:sz w:val="20"/>
                <w:szCs w:val="20"/>
                <w:color w:val="auto"/>
              </w:rPr>
            </w:pPr>
            <w:r>
              <w:rPr>
                <w:rFonts w:ascii="Arial" w:cs="Arial" w:eastAsia="Arial" w:hAnsi="Arial"/>
                <w:sz w:val="18"/>
                <w:szCs w:val="18"/>
                <w:color w:val="auto"/>
                <w:w w:val="92"/>
              </w:rPr>
              <w:t>—   Employee Stock Purchase Plan [Incorporated by reference to Appendix A to the Proxy Statement on Schedule 14A filed March 25, 2009].</w:t>
            </w:r>
          </w:p>
        </w:tc>
        <w:tc>
          <w:tcPr>
            <w:tcW w:w="0" w:type="dxa"/>
            <w:vAlign w:val="bottom"/>
          </w:tcPr>
          <w:p>
            <w:pPr>
              <w:spacing w:after="0"/>
              <w:rPr>
                <w:sz w:val="1"/>
                <w:szCs w:val="1"/>
                <w:color w:val="auto"/>
              </w:rPr>
            </w:pPr>
          </w:p>
        </w:tc>
      </w:tr>
      <w:tr>
        <w:trPr>
          <w:trHeight w:val="216"/>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10.4†</w:t>
            </w:r>
          </w:p>
        </w:tc>
        <w:tc>
          <w:tcPr>
            <w:tcW w:w="10700" w:type="dxa"/>
            <w:vAlign w:val="bottom"/>
            <w:gridSpan w:val="2"/>
          </w:tcPr>
          <w:p>
            <w:pPr>
              <w:ind w:left="220"/>
              <w:spacing w:after="0"/>
              <w:rPr>
                <w:sz w:val="20"/>
                <w:szCs w:val="20"/>
                <w:color w:val="auto"/>
              </w:rPr>
            </w:pPr>
            <w:r>
              <w:rPr>
                <w:rFonts w:ascii="Arial" w:cs="Arial" w:eastAsia="Arial" w:hAnsi="Arial"/>
                <w:sz w:val="18"/>
                <w:szCs w:val="18"/>
                <w:color w:val="auto"/>
                <w:w w:val="98"/>
              </w:rPr>
              <w:t>—   Waste Management, Inc. 409A Deferral Savings Plan. [Incorporated by reference to Exhibit 10.4 to Form 10-K for the year ended</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rPr>
              <w:t>December 31, 2006].</w:t>
            </w:r>
          </w:p>
        </w:tc>
        <w:tc>
          <w:tcPr>
            <w:tcW w:w="0" w:type="dxa"/>
            <w:vAlign w:val="bottom"/>
          </w:tcPr>
          <w:p>
            <w:pPr>
              <w:spacing w:after="0"/>
              <w:rPr>
                <w:sz w:val="1"/>
                <w:szCs w:val="1"/>
                <w:color w:val="auto"/>
              </w:rPr>
            </w:pPr>
          </w:p>
        </w:tc>
      </w:tr>
      <w:tr>
        <w:trPr>
          <w:trHeight w:val="216"/>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10.5†</w:t>
            </w:r>
          </w:p>
        </w:tc>
        <w:tc>
          <w:tcPr>
            <w:tcW w:w="10700" w:type="dxa"/>
            <w:vAlign w:val="bottom"/>
            <w:gridSpan w:val="2"/>
          </w:tcPr>
          <w:p>
            <w:pPr>
              <w:ind w:left="220"/>
              <w:spacing w:after="0"/>
              <w:rPr>
                <w:sz w:val="20"/>
                <w:szCs w:val="20"/>
                <w:color w:val="auto"/>
              </w:rPr>
            </w:pPr>
            <w:r>
              <w:rPr>
                <w:rFonts w:ascii="Arial" w:cs="Arial" w:eastAsia="Arial" w:hAnsi="Arial"/>
                <w:sz w:val="18"/>
                <w:szCs w:val="18"/>
                <w:color w:val="auto"/>
              </w:rPr>
              <w:t>—   1993 Stock Incentive Plan [Incorporated by reference to Exhibit 10.2 to Form 10-K for the year ended December 31, 1998].</w:t>
            </w:r>
          </w:p>
        </w:tc>
        <w:tc>
          <w:tcPr>
            <w:tcW w:w="0" w:type="dxa"/>
            <w:vAlign w:val="bottom"/>
          </w:tcPr>
          <w:p>
            <w:pPr>
              <w:spacing w:after="0"/>
              <w:rPr>
                <w:sz w:val="1"/>
                <w:szCs w:val="1"/>
                <w:color w:val="auto"/>
              </w:rPr>
            </w:pPr>
          </w:p>
        </w:tc>
      </w:tr>
      <w:tr>
        <w:trPr>
          <w:trHeight w:val="216"/>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10.6†</w:t>
            </w:r>
          </w:p>
        </w:tc>
        <w:tc>
          <w:tcPr>
            <w:tcW w:w="10700" w:type="dxa"/>
            <w:vAlign w:val="bottom"/>
            <w:gridSpan w:val="2"/>
          </w:tcPr>
          <w:p>
            <w:pPr>
              <w:ind w:left="220"/>
              <w:spacing w:after="0"/>
              <w:rPr>
                <w:sz w:val="20"/>
                <w:szCs w:val="20"/>
                <w:color w:val="auto"/>
              </w:rPr>
            </w:pPr>
            <w:r>
              <w:rPr>
                <w:rFonts w:ascii="Arial" w:cs="Arial" w:eastAsia="Arial" w:hAnsi="Arial"/>
                <w:sz w:val="18"/>
                <w:szCs w:val="18"/>
                <w:color w:val="auto"/>
                <w:w w:val="98"/>
              </w:rPr>
              <w:t>—   2000 Stock Incentive Plan [Incorporated by reference to Appendix B to the Proxy Statement on Schedule 14a filed April 6, 2000].</w:t>
            </w:r>
          </w:p>
        </w:tc>
        <w:tc>
          <w:tcPr>
            <w:tcW w:w="0" w:type="dxa"/>
            <w:vAlign w:val="bottom"/>
          </w:tcPr>
          <w:p>
            <w:pPr>
              <w:spacing w:after="0"/>
              <w:rPr>
                <w:sz w:val="1"/>
                <w:szCs w:val="1"/>
                <w:color w:val="auto"/>
              </w:rPr>
            </w:pPr>
          </w:p>
        </w:tc>
      </w:tr>
      <w:tr>
        <w:trPr>
          <w:trHeight w:val="216"/>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10.7†</w:t>
            </w:r>
          </w:p>
        </w:tc>
        <w:tc>
          <w:tcPr>
            <w:tcW w:w="10700" w:type="dxa"/>
            <w:vAlign w:val="bottom"/>
            <w:gridSpan w:val="2"/>
          </w:tcPr>
          <w:p>
            <w:pPr>
              <w:ind w:left="220"/>
              <w:spacing w:after="0"/>
              <w:rPr>
                <w:sz w:val="20"/>
                <w:szCs w:val="20"/>
                <w:color w:val="auto"/>
              </w:rPr>
            </w:pPr>
            <w:r>
              <w:rPr>
                <w:rFonts w:ascii="Arial" w:cs="Arial" w:eastAsia="Arial" w:hAnsi="Arial"/>
                <w:sz w:val="18"/>
                <w:szCs w:val="18"/>
                <w:color w:val="auto"/>
              </w:rPr>
              <w:t>—   2004 Stock Incentive Plan [Incorporated by reference to Appendix C to Proxy Statement on Schedule 14A filed April 8, 2004].</w:t>
            </w:r>
          </w:p>
        </w:tc>
        <w:tc>
          <w:tcPr>
            <w:tcW w:w="0" w:type="dxa"/>
            <w:vAlign w:val="bottom"/>
          </w:tcPr>
          <w:p>
            <w:pPr>
              <w:spacing w:after="0"/>
              <w:rPr>
                <w:sz w:val="1"/>
                <w:szCs w:val="1"/>
                <w:color w:val="auto"/>
              </w:rPr>
            </w:pPr>
          </w:p>
        </w:tc>
      </w:tr>
      <w:tr>
        <w:trPr>
          <w:trHeight w:val="216"/>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10.8</w:t>
            </w:r>
          </w:p>
        </w:tc>
        <w:tc>
          <w:tcPr>
            <w:tcW w:w="10700" w:type="dxa"/>
            <w:vAlign w:val="bottom"/>
            <w:gridSpan w:val="2"/>
          </w:tcPr>
          <w:p>
            <w:pPr>
              <w:ind w:left="220"/>
              <w:spacing w:after="0"/>
              <w:rPr>
                <w:sz w:val="20"/>
                <w:szCs w:val="20"/>
                <w:color w:val="auto"/>
              </w:rPr>
            </w:pPr>
            <w:r>
              <w:rPr>
                <w:rFonts w:ascii="Arial" w:cs="Arial" w:eastAsia="Arial" w:hAnsi="Arial"/>
                <w:sz w:val="18"/>
                <w:szCs w:val="18"/>
                <w:color w:val="auto"/>
                <w:w w:val="97"/>
              </w:rPr>
              <w:t>—   $2 Billion Revolving Credit Agreement dated as of June 22, 2010 by and among Waste Management, Inc. and Waste Management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w w:val="91"/>
              </w:rPr>
              <w:t>Holdings, Inc. and certain banks party thereto, Bank of America, N.A., as Administrative Agent, JPMorgan Chase Bank, N.A. and Barclays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w w:val="94"/>
              </w:rPr>
              <w:t>Capital, as Syndication Agents, Deutsche Bank Securities Inc. and The Royal Bank of Scotland PLC, as Documentation Agents, BNP</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w w:val="92"/>
              </w:rPr>
              <w:t>Paribas and Citibank, N.A., as Co-Documentation Agents and J.P. Morgan Securities Inc., Banc of America Securities LLC and Barclays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w w:val="91"/>
              </w:rPr>
              <w:t>Capital, as Lead Arrangers and Joint Bookrunners [Incorporated by reference to Exhibit 10.1 to Form 10-Q for the quarter ended June 30,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720" w:type="dxa"/>
            <w:vAlign w:val="bottom"/>
          </w:tcPr>
          <w:p>
            <w:pPr>
              <w:jc w:val="right"/>
              <w:ind w:right="132"/>
              <w:spacing w:after="0"/>
              <w:rPr>
                <w:sz w:val="20"/>
                <w:szCs w:val="20"/>
                <w:color w:val="auto"/>
              </w:rPr>
            </w:pPr>
            <w:r>
              <w:rPr>
                <w:rFonts w:ascii="Arial" w:cs="Arial" w:eastAsia="Arial" w:hAnsi="Arial"/>
                <w:sz w:val="18"/>
                <w:szCs w:val="18"/>
                <w:color w:val="auto"/>
              </w:rPr>
              <w:t>10.9</w:t>
            </w:r>
          </w:p>
        </w:tc>
        <w:tc>
          <w:tcPr>
            <w:tcW w:w="10700" w:type="dxa"/>
            <w:vAlign w:val="bottom"/>
            <w:gridSpan w:val="2"/>
          </w:tcPr>
          <w:p>
            <w:pPr>
              <w:ind w:left="220"/>
              <w:spacing w:after="0"/>
              <w:rPr>
                <w:sz w:val="20"/>
                <w:szCs w:val="20"/>
                <w:color w:val="auto"/>
              </w:rPr>
            </w:pPr>
            <w:r>
              <w:rPr>
                <w:rFonts w:ascii="Arial" w:cs="Arial" w:eastAsia="Arial" w:hAnsi="Arial"/>
                <w:sz w:val="18"/>
                <w:szCs w:val="18"/>
                <w:color w:val="auto"/>
                <w:w w:val="94"/>
              </w:rPr>
              <w:t>—   CDN $410,000,000 Credit Facility Credit Agreement by and between Waste Management of Canada Corporation (as Borrower), Waste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w w:val="94"/>
              </w:rPr>
              <w:t>Management, Inc. and Waste Management Holdings, Inc. (as Guarantors), BNP Paribas Securities Corp. and Scotia Capital (as Lead</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700" w:type="dxa"/>
            <w:vAlign w:val="bottom"/>
            <w:gridSpan w:val="2"/>
          </w:tcPr>
          <w:p>
            <w:pPr>
              <w:ind w:left="620"/>
              <w:spacing w:after="0"/>
              <w:rPr>
                <w:sz w:val="20"/>
                <w:szCs w:val="20"/>
                <w:color w:val="auto"/>
              </w:rPr>
            </w:pPr>
            <w:r>
              <w:rPr>
                <w:rFonts w:ascii="Arial" w:cs="Arial" w:eastAsia="Arial" w:hAnsi="Arial"/>
                <w:sz w:val="18"/>
                <w:szCs w:val="18"/>
                <w:color w:val="auto"/>
              </w:rPr>
              <w:t>Arrangers and Book Runners) and Bank of Nova Scotia (as</w:t>
            </w:r>
          </w:p>
        </w:tc>
        <w:tc>
          <w:tcPr>
            <w:tcW w:w="0" w:type="dxa"/>
            <w:vAlign w:val="bottom"/>
          </w:tcPr>
          <w:p>
            <w:pPr>
              <w:spacing w:after="0"/>
              <w:rPr>
                <w:sz w:val="1"/>
                <w:szCs w:val="1"/>
                <w:color w:val="auto"/>
              </w:rPr>
            </w:pPr>
          </w:p>
        </w:tc>
      </w:tr>
      <w:tr>
        <w:trPr>
          <w:trHeight w:val="632"/>
        </w:trPr>
        <w:tc>
          <w:tcPr>
            <w:tcW w:w="7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0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tbl>
      <w:tblPr>
        <w:tblLayout w:type="fixed"/>
        <w:tblInd w:w="80" w:type="dxa"/>
        <w:tblCellMar>
          <w:top w:w="0" w:type="dxa"/>
          <w:left w:w="0" w:type="dxa"/>
          <w:bottom w:w="0" w:type="dxa"/>
          <w:right w:w="0" w:type="dxa"/>
        </w:tblCellMar>
      </w:tblPr>
      <w:tr>
        <w:trPr>
          <w:trHeight w:val="161"/>
        </w:trPr>
        <w:tc>
          <w:tcPr>
            <w:tcW w:w="3180" w:type="dxa"/>
            <w:vAlign w:val="bottom"/>
          </w:tcPr>
          <w:p>
            <w:pPr>
              <w:jc w:val="center"/>
              <w:ind w:right="2648"/>
              <w:spacing w:after="0"/>
              <w:rPr>
                <w:sz w:val="20"/>
                <w:szCs w:val="20"/>
                <w:color w:val="auto"/>
              </w:rPr>
            </w:pPr>
            <w:r>
              <w:rPr>
                <w:rFonts w:ascii="Arial" w:cs="Arial" w:eastAsia="Arial" w:hAnsi="Arial"/>
                <w:sz w:val="14"/>
                <w:szCs w:val="14"/>
                <w:b w:val="1"/>
                <w:bCs w:val="1"/>
                <w:color w:val="auto"/>
                <w:w w:val="98"/>
              </w:rPr>
              <w:t>Exhibit</w:t>
            </w:r>
          </w:p>
        </w:tc>
        <w:tc>
          <w:tcPr>
            <w:tcW w:w="3420" w:type="dxa"/>
            <w:vAlign w:val="bottom"/>
            <w:vMerge w:val="restart"/>
          </w:tcPr>
          <w:p>
            <w:pPr>
              <w:ind w:left="270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180" w:type="dxa"/>
            <w:vAlign w:val="bottom"/>
          </w:tcPr>
          <w:p>
            <w:pPr>
              <w:jc w:val="center"/>
              <w:ind w:right="2648"/>
              <w:spacing w:after="0"/>
              <w:rPr>
                <w:sz w:val="20"/>
                <w:szCs w:val="20"/>
                <w:color w:val="auto"/>
              </w:rPr>
            </w:pPr>
            <w:r>
              <w:rPr>
                <w:rFonts w:ascii="Arial" w:cs="Arial" w:eastAsia="Arial" w:hAnsi="Arial"/>
                <w:sz w:val="14"/>
                <w:szCs w:val="14"/>
                <w:b w:val="1"/>
                <w:bCs w:val="1"/>
                <w:color w:val="auto"/>
                <w:w w:val="97"/>
              </w:rPr>
              <w:t>No.</w:t>
            </w:r>
          </w:p>
        </w:tc>
        <w:tc>
          <w:tcPr>
            <w:tcW w:w="3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320" w:right="540"/>
        <w:spacing w:after="0" w:line="249" w:lineRule="auto"/>
        <w:rPr>
          <w:sz w:val="20"/>
          <w:szCs w:val="20"/>
          <w:color w:val="auto"/>
        </w:rPr>
      </w:pPr>
      <w:r>
        <w:rPr>
          <w:rFonts w:ascii="Arial" w:cs="Arial" w:eastAsia="Arial" w:hAnsi="Arial"/>
          <w:sz w:val="18"/>
          <w:szCs w:val="18"/>
          <w:color w:val="auto"/>
        </w:rPr>
        <w:t>Administrative Agent) and the Lenders from time to time party to the Agreement dated as of November 30, 2005. [Incorporated by reference to Exhibit 10.32 to Form 10-K for the year ended December 31, 2005].</w:t>
      </w:r>
    </w:p>
    <w:p>
      <w:pPr>
        <w:spacing w:after="0" w:line="1" w:lineRule="exact"/>
        <w:rPr>
          <w:sz w:val="20"/>
          <w:szCs w:val="20"/>
          <w:color w:val="auto"/>
        </w:rPr>
      </w:pPr>
    </w:p>
    <w:p>
      <w:pPr>
        <w:ind w:left="920" w:right="200" w:hanging="1228"/>
        <w:spacing w:after="0" w:line="250" w:lineRule="auto"/>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 First Amendment Agreement dated as of December 21, 2007 to a Credit Agreement dated as of November 30, 2005 by and between Waste Management of Canada Corporation as borrower, Waste Management, Inc. and Waste Management Holdings, Inc. as guarantors, the lenders from time to time party thereto and the Bank of Nova Scotia as Administrative Agent [Incorporated by reference to Exhibit 10.28 to Form 10-K for the year ended December 31, 2007].</w:t>
      </w:r>
    </w:p>
    <w:p>
      <w:pPr>
        <w:spacing w:after="0" w:line="2" w:lineRule="exact"/>
        <w:rPr>
          <w:sz w:val="20"/>
          <w:szCs w:val="20"/>
          <w:color w:val="auto"/>
        </w:rPr>
      </w:pPr>
    </w:p>
    <w:p>
      <w:pPr>
        <w:ind w:left="920" w:right="180" w:hanging="1311"/>
        <w:spacing w:after="0" w:line="250"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 Employment Agreement between the Company and Cherie C. Rice dated August 26, 2005 [Incorporated by reference to Exhibit 10.1 to Form 8-K dated August 26, 2005].</w:t>
      </w:r>
    </w:p>
    <w:p>
      <w:pPr>
        <w:spacing w:after="0" w:line="1" w:lineRule="exact"/>
        <w:rPr>
          <w:sz w:val="20"/>
          <w:szCs w:val="20"/>
          <w:color w:val="auto"/>
        </w:rPr>
      </w:pPr>
    </w:p>
    <w:p>
      <w:pPr>
        <w:ind w:left="920" w:right="160" w:hanging="1318"/>
        <w:spacing w:after="0" w:line="250" w:lineRule="auto"/>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 Employment Agreement between the Company and Greg A. Robertson dated August 1, 2003 [Incorporated by reference to Exhibit 10.2 to Form 10-Q for the quarter ended June 30, 2004].</w:t>
      </w:r>
    </w:p>
    <w:p>
      <w:pPr>
        <w:spacing w:after="0" w:line="1" w:lineRule="exact"/>
        <w:rPr>
          <w:sz w:val="20"/>
          <w:szCs w:val="20"/>
          <w:color w:val="auto"/>
        </w:rPr>
      </w:pPr>
    </w:p>
    <w:p>
      <w:pPr>
        <w:ind w:left="920" w:right="580" w:hanging="1318"/>
        <w:spacing w:after="0" w:line="250" w:lineRule="auto"/>
        <w:tabs>
          <w:tab w:leader="none" w:pos="9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 Employment Agreement between the Company and Lawrence O’Donnell III dated January 21, 2000 [Incorporated by reference to Exhibit 10.1 to Form 10-Q for the quarter ended March 31, 2000].</w:t>
      </w:r>
    </w:p>
    <w:p>
      <w:pPr>
        <w:spacing w:after="0" w:line="1" w:lineRule="exact"/>
        <w:rPr>
          <w:sz w:val="20"/>
          <w:szCs w:val="20"/>
          <w:color w:val="auto"/>
        </w:rPr>
      </w:pPr>
    </w:p>
    <w:p>
      <w:pPr>
        <w:ind w:left="920" w:right="820" w:hanging="1318"/>
        <w:spacing w:after="0" w:line="250" w:lineRule="auto"/>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 Agreement for Termination of Employment dated June 1, 2010 between Waste Management, Inc. and Lawrence O’Donnell, III [Incorporated by reference to Exhibit 10.1 to Form 8-K dated June 1, 2010].</w:t>
      </w:r>
    </w:p>
    <w:p>
      <w:pPr>
        <w:spacing w:after="0" w:line="1" w:lineRule="exact"/>
        <w:rPr>
          <w:sz w:val="20"/>
          <w:szCs w:val="20"/>
          <w:color w:val="auto"/>
        </w:rPr>
      </w:pPr>
    </w:p>
    <w:p>
      <w:pPr>
        <w:ind w:left="920" w:hanging="1318"/>
        <w:spacing w:after="0" w:line="250" w:lineRule="auto"/>
        <w:tabs>
          <w:tab w:leader="none" w:pos="9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 Employment Agreement between the Company and Puneet Bhasin dated December 7, 2009 [Incorporated by reference to Exhibit 10.12 to Form 10-K for the year ended December 31, 2009].</w:t>
      </w:r>
    </w:p>
    <w:p>
      <w:pPr>
        <w:spacing w:after="0" w:line="1" w:lineRule="exact"/>
        <w:rPr>
          <w:sz w:val="20"/>
          <w:szCs w:val="20"/>
          <w:color w:val="auto"/>
        </w:rPr>
      </w:pPr>
    </w:p>
    <w:p>
      <w:pPr>
        <w:ind w:left="920" w:right="160" w:hanging="1318"/>
        <w:spacing w:after="0" w:line="250" w:lineRule="auto"/>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 Employment Agreement between the Company and Duane C. Woods dated October 20, 2004 [Incorporated by reference to Exhibit 10.2 to Form 8-K dated October 20, 2004].</w:t>
      </w:r>
    </w:p>
    <w:p>
      <w:pPr>
        <w:spacing w:after="0" w:line="1" w:lineRule="exact"/>
        <w:rPr>
          <w:sz w:val="20"/>
          <w:szCs w:val="20"/>
          <w:color w:val="auto"/>
        </w:rPr>
      </w:pPr>
    </w:p>
    <w:p>
      <w:pPr>
        <w:ind w:left="920" w:right="140" w:hanging="1318"/>
        <w:spacing w:after="0" w:line="250" w:lineRule="auto"/>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 Employment Agreement between the Company and David Steiner dated as of May 6, 2002 [Incorporated by reference to Exhibit 10.1 to Form 10-Q for the quarter ended March 31, 2002].</w:t>
      </w:r>
    </w:p>
    <w:p>
      <w:pPr>
        <w:spacing w:after="0" w:line="1" w:lineRule="exact"/>
        <w:rPr>
          <w:sz w:val="20"/>
          <w:szCs w:val="20"/>
          <w:color w:val="auto"/>
        </w:rPr>
      </w:pPr>
    </w:p>
    <w:p>
      <w:pPr>
        <w:ind w:left="920" w:right="860" w:hanging="1318"/>
        <w:spacing w:after="0" w:line="250" w:lineRule="auto"/>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 Employment Agreement between the Company and James E. Trevathan dated as of June 1, 2000 [Incorporated by reference to Exhibit 10.20 to Form 10-K for the year ended December 31, 2000].</w:t>
      </w:r>
    </w:p>
    <w:p>
      <w:pPr>
        <w:spacing w:after="0" w:line="1" w:lineRule="exact"/>
        <w:rPr>
          <w:sz w:val="20"/>
          <w:szCs w:val="20"/>
          <w:color w:val="auto"/>
        </w:rPr>
      </w:pPr>
    </w:p>
    <w:p>
      <w:pPr>
        <w:ind w:left="920" w:right="240" w:hanging="1318"/>
        <w:spacing w:after="0" w:line="250" w:lineRule="auto"/>
        <w:tabs>
          <w:tab w:leader="none" w:pos="9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 Employment Agreement between Recycle America Alliance, L.L.C. and Patrick DeRueda dated as of August 4, 2005 [Incorporated by reference to Exhibit 10.1 to Form 8-K dated August 4, 2005].</w:t>
      </w:r>
    </w:p>
    <w:p>
      <w:pPr>
        <w:spacing w:after="0" w:line="1" w:lineRule="exact"/>
        <w:rPr>
          <w:sz w:val="20"/>
          <w:szCs w:val="20"/>
          <w:color w:val="auto"/>
        </w:rPr>
      </w:pPr>
    </w:p>
    <w:p>
      <w:pPr>
        <w:ind w:left="920" w:right="540" w:hanging="1318"/>
        <w:spacing w:after="0" w:line="250"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 Employment Agreement between the Company and Robert G. Simpson dated as of October 20, 2004 [Incorporated by reference to Exhibit 10.1 to Form 8-K dated October 20, 2004].</w:t>
      </w:r>
    </w:p>
    <w:p>
      <w:pPr>
        <w:spacing w:after="0" w:line="1" w:lineRule="exact"/>
        <w:rPr>
          <w:sz w:val="20"/>
          <w:szCs w:val="20"/>
          <w:color w:val="auto"/>
        </w:rPr>
      </w:pPr>
    </w:p>
    <w:p>
      <w:pPr>
        <w:ind w:left="920" w:right="400" w:hanging="1318"/>
        <w:spacing w:after="0" w:line="250" w:lineRule="auto"/>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 Employment Agreement between the Company and Barry H. Caldwell dated as of September 23, 2002 [Incorporated by reference to Exhibit 10.24 to Form 10-K for the year ended December 31, 2002].</w:t>
      </w:r>
    </w:p>
    <w:p>
      <w:pPr>
        <w:spacing w:after="0" w:line="1" w:lineRule="exact"/>
        <w:rPr>
          <w:sz w:val="20"/>
          <w:szCs w:val="20"/>
          <w:color w:val="auto"/>
        </w:rPr>
      </w:pPr>
    </w:p>
    <w:p>
      <w:pPr>
        <w:ind w:left="920" w:right="300" w:hanging="1318"/>
        <w:spacing w:after="0" w:line="250" w:lineRule="auto"/>
        <w:tabs>
          <w:tab w:leader="none" w:pos="9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 Employment Agreement between the Company and David Aardsma dated June 16, 2005 [Incorporated by reference to Exhibit 10.1 to Form 8-K dated June 16, 2005].</w:t>
      </w:r>
    </w:p>
    <w:p>
      <w:pPr>
        <w:spacing w:after="0" w:line="1" w:lineRule="exact"/>
        <w:rPr>
          <w:sz w:val="20"/>
          <w:szCs w:val="20"/>
          <w:color w:val="auto"/>
        </w:rPr>
      </w:pPr>
    </w:p>
    <w:p>
      <w:pPr>
        <w:ind w:left="920" w:right="260" w:hanging="1318"/>
        <w:spacing w:after="0" w:line="250" w:lineRule="auto"/>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 Employment Agreement between the Company and Rick L Wittenbraker dated as of November 10, 2003 [Incorporated by reference to Exhibit 10.30 to Form 10-K for the year ended December 31, 2003].</w:t>
      </w:r>
    </w:p>
    <w:p>
      <w:pPr>
        <w:spacing w:after="0" w:line="1" w:lineRule="exact"/>
        <w:rPr>
          <w:sz w:val="20"/>
          <w:szCs w:val="20"/>
          <w:color w:val="auto"/>
        </w:rPr>
      </w:pPr>
    </w:p>
    <w:p>
      <w:pPr>
        <w:ind w:left="920" w:right="40" w:hanging="1318"/>
        <w:spacing w:after="0" w:line="250" w:lineRule="auto"/>
        <w:tabs>
          <w:tab w:leader="none" w:pos="9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 Employment Agreement between Wheelabrator Technologies Inc. and Mark A. Weidman dated May 11, 2006. [Incorporated by reference to Exhibit 10.1 to Form 8-K dated May 11, 2006].</w:t>
      </w:r>
    </w:p>
    <w:p>
      <w:pPr>
        <w:spacing w:after="0" w:line="1" w:lineRule="exact"/>
        <w:rPr>
          <w:sz w:val="20"/>
          <w:szCs w:val="20"/>
          <w:color w:val="auto"/>
        </w:rPr>
      </w:pPr>
    </w:p>
    <w:p>
      <w:pPr>
        <w:ind w:left="920" w:right="320" w:hanging="1318"/>
        <w:spacing w:after="0" w:line="250" w:lineRule="auto"/>
        <w:tabs>
          <w:tab w:leader="none" w:pos="9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 Employment Agreement between the Company and Jeff Harris dated December 1, 2006. [Incorporated by reference to Exhibit 10.1 to Form 8-K dated December 1, 2006].</w:t>
      </w:r>
    </w:p>
    <w:p>
      <w:pPr>
        <w:spacing w:after="0" w:line="1" w:lineRule="exact"/>
        <w:rPr>
          <w:sz w:val="20"/>
          <w:szCs w:val="20"/>
          <w:color w:val="auto"/>
        </w:rPr>
      </w:pPr>
    </w:p>
    <w:p>
      <w:pPr>
        <w:ind w:left="920" w:right="780" w:hanging="1318"/>
        <w:spacing w:after="0" w:line="250" w:lineRule="auto"/>
        <w:tabs>
          <w:tab w:leader="none" w:pos="9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 Employment Agreement between the Company and Michael Jay Romans dated January 25, 2007. [Incorporated by reference to Exhibit 10.1 to Form 8-K dated January 25, 2007].</w:t>
      </w:r>
    </w:p>
    <w:p>
      <w:pPr>
        <w:spacing w:after="0" w:line="1" w:lineRule="exact"/>
        <w:rPr>
          <w:sz w:val="20"/>
          <w:szCs w:val="20"/>
          <w:color w:val="auto"/>
        </w:rPr>
      </w:pPr>
    </w:p>
    <w:p>
      <w:pPr>
        <w:ind w:left="920" w:right="860" w:hanging="1318"/>
        <w:spacing w:after="0" w:line="250" w:lineRule="auto"/>
        <w:tabs>
          <w:tab w:leader="none" w:pos="9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 Employment Agreement between Waste Management, Inc. and Brett Frazier dated July 13, 2007 [Incorporated by reference to Exhibit 10.1 to Form 8-K dated July 13, 2007].</w:t>
      </w:r>
    </w:p>
    <w:p>
      <w:pPr>
        <w:spacing w:after="0" w:line="1" w:lineRule="exact"/>
        <w:rPr>
          <w:sz w:val="20"/>
          <w:szCs w:val="20"/>
          <w:color w:val="auto"/>
        </w:rPr>
      </w:pPr>
    </w:p>
    <w:p>
      <w:pPr>
        <w:spacing w:after="0"/>
        <w:tabs>
          <w:tab w:leader="none" w:pos="900" w:val="left"/>
          <w:tab w:leader="none" w:pos="13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2010 Performance Share Unit Award Agreement [Incorporated by reference to Exhibit 10.1 to Form 8-K dated March 9, 2010].</w:t>
      </w:r>
    </w:p>
    <w:p>
      <w:pPr>
        <w:spacing w:after="0" w:line="9" w:lineRule="exact"/>
        <w:rPr>
          <w:sz w:val="20"/>
          <w:szCs w:val="20"/>
          <w:color w:val="auto"/>
        </w:rPr>
      </w:pPr>
    </w:p>
    <w:p>
      <w:pPr>
        <w:spacing w:after="0"/>
        <w:tabs>
          <w:tab w:leader="none" w:pos="900" w:val="left"/>
          <w:tab w:leader="none" w:pos="13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2010 Stock Option Award Agreement [Incorporated by reference to Exhibit 10.2 to Form 8-K dated March 9, 2010].</w:t>
      </w:r>
    </w:p>
    <w:p>
      <w:pPr>
        <w:spacing w:after="0" w:line="9" w:lineRule="exact"/>
        <w:rPr>
          <w:sz w:val="20"/>
          <w:szCs w:val="20"/>
          <w:color w:val="auto"/>
        </w:rPr>
      </w:pPr>
    </w:p>
    <w:p>
      <w:pPr>
        <w:spacing w:after="0"/>
        <w:tabs>
          <w:tab w:leader="none" w:pos="900" w:val="left"/>
          <w:tab w:leader="none" w:pos="13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2009 Performance Share Unit Award Agreement [Incorporated by reference to Exhibit 10.1 to Form 8-K dated February 24,</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2009].</w:t>
      </w:r>
    </w:p>
    <w:p>
      <w:pPr>
        <w:spacing w:after="0" w:line="9" w:lineRule="exact"/>
        <w:rPr>
          <w:sz w:val="20"/>
          <w:szCs w:val="20"/>
          <w:color w:val="auto"/>
        </w:rPr>
      </w:pPr>
    </w:p>
    <w:p>
      <w:pPr>
        <w:spacing w:after="0"/>
        <w:tabs>
          <w:tab w:leader="none" w:pos="900" w:val="left"/>
          <w:tab w:leader="none" w:pos="13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2008 Performance Share Unit Award Agreement [Incorporated by reference to Exhibit 10.1 to Form 8-K dated February 26,</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398145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40" w:top="1131"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0" w:type="dxa"/>
            <w:vAlign w:val="bottom"/>
            <w:vMerge w:val="restart"/>
          </w:tcPr>
          <w:p>
            <w:pPr>
              <w:ind w:left="4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8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9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40" w:type="dxa"/>
            <w:vAlign w:val="bottom"/>
          </w:tcPr>
          <w:p>
            <w:pPr>
              <w:jc w:val="right"/>
              <w:ind w:right="332"/>
              <w:spacing w:after="0" w:line="195" w:lineRule="exact"/>
              <w:rPr>
                <w:sz w:val="20"/>
                <w:szCs w:val="20"/>
                <w:color w:val="auto"/>
              </w:rPr>
            </w:pPr>
            <w:r>
              <w:rPr>
                <w:rFonts w:ascii="Arial" w:cs="Arial" w:eastAsia="Arial" w:hAnsi="Arial"/>
                <w:sz w:val="18"/>
                <w:szCs w:val="18"/>
                <w:color w:val="auto"/>
              </w:rPr>
              <w:t>12.1*</w:t>
            </w:r>
          </w:p>
        </w:tc>
        <w:tc>
          <w:tcPr>
            <w:tcW w:w="580" w:type="dxa"/>
            <w:vAlign w:val="bottom"/>
            <w:gridSpan w:val="2"/>
            <w:vMerge w:val="continue"/>
          </w:tcPr>
          <w:p>
            <w:pPr>
              <w:spacing w:after="0"/>
              <w:rPr>
                <w:sz w:val="16"/>
                <w:szCs w:val="16"/>
                <w:color w:val="auto"/>
              </w:rPr>
            </w:pPr>
          </w:p>
        </w:tc>
        <w:tc>
          <w:tcPr>
            <w:tcW w:w="9800" w:type="dxa"/>
            <w:vAlign w:val="bottom"/>
          </w:tcPr>
          <w:p>
            <w:pPr>
              <w:spacing w:after="0" w:line="195" w:lineRule="exact"/>
              <w:rPr>
                <w:sz w:val="20"/>
                <w:szCs w:val="20"/>
                <w:color w:val="auto"/>
              </w:rPr>
            </w:pPr>
            <w:r>
              <w:rPr>
                <w:rFonts w:ascii="Arial" w:cs="Arial" w:eastAsia="Arial" w:hAnsi="Arial"/>
                <w:sz w:val="18"/>
                <w:szCs w:val="18"/>
                <w:color w:val="auto"/>
              </w:rPr>
              <w:t>Computation of Ratio of Earnings to Fixed Charges.</w:t>
            </w:r>
          </w:p>
        </w:tc>
        <w:tc>
          <w:tcPr>
            <w:tcW w:w="0" w:type="dxa"/>
            <w:vAlign w:val="bottom"/>
          </w:tcPr>
          <w:p>
            <w:pPr>
              <w:spacing w:after="0"/>
              <w:rPr>
                <w:sz w:val="1"/>
                <w:szCs w:val="1"/>
                <w:color w:val="auto"/>
              </w:rPr>
            </w:pPr>
          </w:p>
        </w:tc>
      </w:tr>
      <w:tr>
        <w:trPr>
          <w:trHeight w:val="216"/>
        </w:trPr>
        <w:tc>
          <w:tcPr>
            <w:tcW w:w="1040" w:type="dxa"/>
            <w:vAlign w:val="bottom"/>
          </w:tcPr>
          <w:p>
            <w:pPr>
              <w:jc w:val="right"/>
              <w:ind w:right="332"/>
              <w:spacing w:after="0"/>
              <w:rPr>
                <w:sz w:val="20"/>
                <w:szCs w:val="20"/>
                <w:color w:val="auto"/>
              </w:rPr>
            </w:pPr>
            <w:r>
              <w:rPr>
                <w:rFonts w:ascii="Arial" w:cs="Arial" w:eastAsia="Arial" w:hAnsi="Arial"/>
                <w:sz w:val="18"/>
                <w:szCs w:val="18"/>
                <w:color w:val="auto"/>
              </w:rPr>
              <w:t>21.1*</w:t>
            </w:r>
          </w:p>
        </w:tc>
        <w:tc>
          <w:tcPr>
            <w:tcW w:w="10380" w:type="dxa"/>
            <w:vAlign w:val="bottom"/>
            <w:gridSpan w:val="3"/>
          </w:tcPr>
          <w:p>
            <w:pPr>
              <w:ind w:left="200"/>
              <w:spacing w:after="0"/>
              <w:rPr>
                <w:sz w:val="20"/>
                <w:szCs w:val="20"/>
                <w:color w:val="auto"/>
              </w:rPr>
            </w:pPr>
            <w:r>
              <w:rPr>
                <w:rFonts w:ascii="Arial" w:cs="Arial" w:eastAsia="Arial" w:hAnsi="Arial"/>
                <w:sz w:val="18"/>
                <w:szCs w:val="18"/>
                <w:color w:val="auto"/>
              </w:rPr>
              <w:t>—   Subsidiaries of the Registrant.</w:t>
            </w:r>
          </w:p>
        </w:tc>
        <w:tc>
          <w:tcPr>
            <w:tcW w:w="0" w:type="dxa"/>
            <w:vAlign w:val="bottom"/>
          </w:tcPr>
          <w:p>
            <w:pPr>
              <w:spacing w:after="0"/>
              <w:rPr>
                <w:sz w:val="1"/>
                <w:szCs w:val="1"/>
                <w:color w:val="auto"/>
              </w:rPr>
            </w:pPr>
          </w:p>
        </w:tc>
      </w:tr>
      <w:tr>
        <w:trPr>
          <w:trHeight w:val="216"/>
        </w:trPr>
        <w:tc>
          <w:tcPr>
            <w:tcW w:w="1040" w:type="dxa"/>
            <w:vAlign w:val="bottom"/>
          </w:tcPr>
          <w:p>
            <w:pPr>
              <w:jc w:val="right"/>
              <w:ind w:right="332"/>
              <w:spacing w:after="0"/>
              <w:rPr>
                <w:sz w:val="20"/>
                <w:szCs w:val="20"/>
                <w:color w:val="auto"/>
              </w:rPr>
            </w:pPr>
            <w:r>
              <w:rPr>
                <w:rFonts w:ascii="Arial" w:cs="Arial" w:eastAsia="Arial" w:hAnsi="Arial"/>
                <w:sz w:val="18"/>
                <w:szCs w:val="18"/>
                <w:color w:val="auto"/>
              </w:rPr>
              <w:t>23.1*</w:t>
            </w:r>
          </w:p>
        </w:tc>
        <w:tc>
          <w:tcPr>
            <w:tcW w:w="10380" w:type="dxa"/>
            <w:vAlign w:val="bottom"/>
            <w:gridSpan w:val="3"/>
          </w:tcPr>
          <w:p>
            <w:pPr>
              <w:ind w:left="200"/>
              <w:spacing w:after="0"/>
              <w:rPr>
                <w:sz w:val="20"/>
                <w:szCs w:val="20"/>
                <w:color w:val="auto"/>
              </w:rPr>
            </w:pPr>
            <w:r>
              <w:rPr>
                <w:rFonts w:ascii="Arial" w:cs="Arial" w:eastAsia="Arial" w:hAnsi="Arial"/>
                <w:sz w:val="18"/>
                <w:szCs w:val="18"/>
                <w:color w:val="auto"/>
              </w:rPr>
              <w:t>—   Consent of Independent Registered Public Accounting Firm.</w:t>
            </w:r>
          </w:p>
        </w:tc>
        <w:tc>
          <w:tcPr>
            <w:tcW w:w="0" w:type="dxa"/>
            <w:vAlign w:val="bottom"/>
          </w:tcPr>
          <w:p>
            <w:pPr>
              <w:spacing w:after="0"/>
              <w:rPr>
                <w:sz w:val="1"/>
                <w:szCs w:val="1"/>
                <w:color w:val="auto"/>
              </w:rPr>
            </w:pPr>
          </w:p>
        </w:tc>
      </w:tr>
      <w:tr>
        <w:trPr>
          <w:trHeight w:val="216"/>
        </w:trPr>
        <w:tc>
          <w:tcPr>
            <w:tcW w:w="1040" w:type="dxa"/>
            <w:vAlign w:val="bottom"/>
          </w:tcPr>
          <w:p>
            <w:pPr>
              <w:jc w:val="right"/>
              <w:ind w:right="332"/>
              <w:spacing w:after="0"/>
              <w:rPr>
                <w:sz w:val="20"/>
                <w:szCs w:val="20"/>
                <w:color w:val="auto"/>
              </w:rPr>
            </w:pPr>
            <w:r>
              <w:rPr>
                <w:rFonts w:ascii="Arial" w:cs="Arial" w:eastAsia="Arial" w:hAnsi="Arial"/>
                <w:sz w:val="18"/>
                <w:szCs w:val="18"/>
                <w:color w:val="auto"/>
              </w:rPr>
              <w:t>31.1*</w:t>
            </w:r>
          </w:p>
        </w:tc>
        <w:tc>
          <w:tcPr>
            <w:tcW w:w="10380" w:type="dxa"/>
            <w:vAlign w:val="bottom"/>
            <w:gridSpan w:val="3"/>
          </w:tcPr>
          <w:p>
            <w:pPr>
              <w:ind w:left="200"/>
              <w:spacing w:after="0"/>
              <w:rPr>
                <w:sz w:val="20"/>
                <w:szCs w:val="20"/>
                <w:color w:val="auto"/>
              </w:rPr>
            </w:pPr>
            <w:r>
              <w:rPr>
                <w:rFonts w:ascii="Arial" w:cs="Arial" w:eastAsia="Arial" w:hAnsi="Arial"/>
                <w:sz w:val="18"/>
                <w:szCs w:val="18"/>
                <w:color w:val="auto"/>
                <w:w w:val="93"/>
              </w:rPr>
              <w:t>—   Certification Pursuant to Rule 13a-14(a) and 15d-14(a) under the Securities Exchange Act of 1934, as amended, of David P. Steiner,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00" w:type="dxa"/>
            <w:vAlign w:val="bottom"/>
            <w:gridSpan w:val="2"/>
          </w:tcPr>
          <w:p>
            <w:pPr>
              <w:ind w:left="1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1040" w:type="dxa"/>
            <w:vAlign w:val="bottom"/>
          </w:tcPr>
          <w:p>
            <w:pPr>
              <w:jc w:val="right"/>
              <w:ind w:right="332"/>
              <w:spacing w:after="0"/>
              <w:rPr>
                <w:sz w:val="20"/>
                <w:szCs w:val="20"/>
                <w:color w:val="auto"/>
              </w:rPr>
            </w:pPr>
            <w:r>
              <w:rPr>
                <w:rFonts w:ascii="Arial" w:cs="Arial" w:eastAsia="Arial" w:hAnsi="Arial"/>
                <w:sz w:val="18"/>
                <w:szCs w:val="18"/>
                <w:color w:val="auto"/>
              </w:rPr>
              <w:t>31.2*</w:t>
            </w:r>
          </w:p>
        </w:tc>
        <w:tc>
          <w:tcPr>
            <w:tcW w:w="10380" w:type="dxa"/>
            <w:vAlign w:val="bottom"/>
            <w:gridSpan w:val="3"/>
          </w:tcPr>
          <w:p>
            <w:pPr>
              <w:ind w:left="200"/>
              <w:spacing w:after="0"/>
              <w:rPr>
                <w:sz w:val="20"/>
                <w:szCs w:val="20"/>
                <w:color w:val="auto"/>
              </w:rPr>
            </w:pPr>
            <w:r>
              <w:rPr>
                <w:rFonts w:ascii="Arial" w:cs="Arial" w:eastAsia="Arial" w:hAnsi="Arial"/>
                <w:sz w:val="18"/>
                <w:szCs w:val="18"/>
                <w:color w:val="auto"/>
                <w:w w:val="91"/>
              </w:rPr>
              <w:t>—   Certification Pursuant to Rule 13a-14(a) and 15d-14(a) under the Securities Exchange Act of 1934, as amended, of Robert G. Simpson,</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00" w:type="dxa"/>
            <w:vAlign w:val="bottom"/>
            <w:gridSpan w:val="2"/>
          </w:tcPr>
          <w:p>
            <w:pPr>
              <w:ind w:left="10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1040" w:type="dxa"/>
            <w:vAlign w:val="bottom"/>
          </w:tcPr>
          <w:p>
            <w:pPr>
              <w:jc w:val="right"/>
              <w:ind w:right="332"/>
              <w:spacing w:after="0"/>
              <w:rPr>
                <w:sz w:val="20"/>
                <w:szCs w:val="20"/>
                <w:color w:val="auto"/>
              </w:rPr>
            </w:pPr>
            <w:r>
              <w:rPr>
                <w:rFonts w:ascii="Arial" w:cs="Arial" w:eastAsia="Arial" w:hAnsi="Arial"/>
                <w:sz w:val="18"/>
                <w:szCs w:val="18"/>
                <w:color w:val="auto"/>
              </w:rPr>
              <w:t>32.1*</w:t>
            </w:r>
          </w:p>
        </w:tc>
        <w:tc>
          <w:tcPr>
            <w:tcW w:w="10380" w:type="dxa"/>
            <w:vAlign w:val="bottom"/>
            <w:gridSpan w:val="3"/>
          </w:tcPr>
          <w:p>
            <w:pPr>
              <w:ind w:left="200"/>
              <w:spacing w:after="0"/>
              <w:rPr>
                <w:sz w:val="20"/>
                <w:szCs w:val="20"/>
                <w:color w:val="auto"/>
              </w:rPr>
            </w:pPr>
            <w:r>
              <w:rPr>
                <w:rFonts w:ascii="Arial" w:cs="Arial" w:eastAsia="Arial" w:hAnsi="Arial"/>
                <w:sz w:val="18"/>
                <w:szCs w:val="18"/>
                <w:color w:val="auto"/>
              </w:rPr>
              <w:t>—   Certification Pursuant to 18 U.S.C. §1350 of David P. Steiner, President and Chief Executive Officer.</w:t>
            </w:r>
          </w:p>
        </w:tc>
        <w:tc>
          <w:tcPr>
            <w:tcW w:w="0" w:type="dxa"/>
            <w:vAlign w:val="bottom"/>
          </w:tcPr>
          <w:p>
            <w:pPr>
              <w:spacing w:after="0"/>
              <w:rPr>
                <w:sz w:val="1"/>
                <w:szCs w:val="1"/>
                <w:color w:val="auto"/>
              </w:rPr>
            </w:pPr>
          </w:p>
        </w:tc>
      </w:tr>
      <w:tr>
        <w:trPr>
          <w:trHeight w:val="216"/>
        </w:trPr>
        <w:tc>
          <w:tcPr>
            <w:tcW w:w="1040" w:type="dxa"/>
            <w:vAlign w:val="bottom"/>
          </w:tcPr>
          <w:p>
            <w:pPr>
              <w:jc w:val="right"/>
              <w:ind w:right="332"/>
              <w:spacing w:after="0"/>
              <w:rPr>
                <w:sz w:val="20"/>
                <w:szCs w:val="20"/>
                <w:color w:val="auto"/>
              </w:rPr>
            </w:pPr>
            <w:r>
              <w:rPr>
                <w:rFonts w:ascii="Arial" w:cs="Arial" w:eastAsia="Arial" w:hAnsi="Arial"/>
                <w:sz w:val="18"/>
                <w:szCs w:val="18"/>
                <w:color w:val="auto"/>
              </w:rPr>
              <w:t>32.2*</w:t>
            </w:r>
          </w:p>
        </w:tc>
        <w:tc>
          <w:tcPr>
            <w:tcW w:w="10380" w:type="dxa"/>
            <w:vAlign w:val="bottom"/>
            <w:gridSpan w:val="3"/>
          </w:tcPr>
          <w:p>
            <w:pPr>
              <w:ind w:left="200"/>
              <w:spacing w:after="0"/>
              <w:rPr>
                <w:sz w:val="20"/>
                <w:szCs w:val="20"/>
                <w:color w:val="auto"/>
              </w:rPr>
            </w:pPr>
            <w:r>
              <w:rPr>
                <w:rFonts w:ascii="Arial" w:cs="Arial" w:eastAsia="Arial" w:hAnsi="Arial"/>
                <w:sz w:val="18"/>
                <w:szCs w:val="18"/>
                <w:color w:val="auto"/>
              </w:rPr>
              <w:t>—   Certification Pursuant to 18 U.S.C. §1350 of Robert G. Simpson, Senior Vice President and Chief Financial Officer.</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rPr>
              <w:t>101.INS**</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990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6"/>
              </w:rPr>
              <w:t>101.SCH**</w:t>
            </w:r>
          </w:p>
        </w:tc>
        <w:tc>
          <w:tcPr>
            <w:tcW w:w="10380" w:type="dxa"/>
            <w:vAlign w:val="bottom"/>
            <w:gridSpan w:val="3"/>
          </w:tcPr>
          <w:p>
            <w:pPr>
              <w:ind w:left="200"/>
              <w:spacing w:after="0"/>
              <w:rPr>
                <w:sz w:val="20"/>
                <w:szCs w:val="20"/>
                <w:color w:val="auto"/>
              </w:rPr>
            </w:pPr>
            <w:r>
              <w:rPr>
                <w:rFonts w:ascii="Arial" w:cs="Arial" w:eastAsia="Arial" w:hAnsi="Arial"/>
                <w:sz w:val="18"/>
                <w:szCs w:val="18"/>
                <w:color w:val="auto"/>
              </w:rPr>
              <w:t>—   XBRL Taxonomy Extension Schema Document.</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9"/>
              </w:rPr>
              <w:t>101.CAL**</w:t>
            </w:r>
          </w:p>
        </w:tc>
        <w:tc>
          <w:tcPr>
            <w:tcW w:w="10380" w:type="dxa"/>
            <w:vAlign w:val="bottom"/>
            <w:gridSpan w:val="3"/>
          </w:tcPr>
          <w:p>
            <w:pPr>
              <w:ind w:left="200"/>
              <w:spacing w:after="0"/>
              <w:rPr>
                <w:sz w:val="20"/>
                <w:szCs w:val="20"/>
                <w:color w:val="auto"/>
              </w:rPr>
            </w:pPr>
            <w:r>
              <w:rPr>
                <w:rFonts w:ascii="Arial" w:cs="Arial" w:eastAsia="Arial" w:hAnsi="Arial"/>
                <w:sz w:val="18"/>
                <w:szCs w:val="18"/>
                <w:color w:val="auto"/>
              </w:rPr>
              <w:t>—   XBRL Taxonomy Extension Calculation Linkbase Document.</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8"/>
              </w:rPr>
              <w:t>101.DEF**</w:t>
            </w:r>
          </w:p>
        </w:tc>
        <w:tc>
          <w:tcPr>
            <w:tcW w:w="10380" w:type="dxa"/>
            <w:vAlign w:val="bottom"/>
            <w:gridSpan w:val="3"/>
          </w:tcPr>
          <w:p>
            <w:pPr>
              <w:ind w:left="200"/>
              <w:spacing w:after="0"/>
              <w:rPr>
                <w:sz w:val="20"/>
                <w:szCs w:val="20"/>
                <w:color w:val="auto"/>
              </w:rPr>
            </w:pPr>
            <w:r>
              <w:rPr>
                <w:rFonts w:ascii="Arial" w:cs="Arial" w:eastAsia="Arial" w:hAnsi="Arial"/>
                <w:sz w:val="18"/>
                <w:szCs w:val="18"/>
                <w:color w:val="auto"/>
              </w:rPr>
              <w:t>—   XBRL Taxonomy Extension Definition Linkbase Document.</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rPr>
              <w:t>101.LAB**</w:t>
            </w:r>
          </w:p>
        </w:tc>
        <w:tc>
          <w:tcPr>
            <w:tcW w:w="10380" w:type="dxa"/>
            <w:vAlign w:val="bottom"/>
            <w:gridSpan w:val="3"/>
          </w:tcPr>
          <w:p>
            <w:pPr>
              <w:ind w:left="200"/>
              <w:spacing w:after="0"/>
              <w:rPr>
                <w:sz w:val="20"/>
                <w:szCs w:val="20"/>
                <w:color w:val="auto"/>
              </w:rPr>
            </w:pPr>
            <w:r>
              <w:rPr>
                <w:rFonts w:ascii="Arial" w:cs="Arial" w:eastAsia="Arial" w:hAnsi="Arial"/>
                <w:sz w:val="18"/>
                <w:szCs w:val="18"/>
                <w:color w:val="auto"/>
              </w:rPr>
              <w:t>—   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tcPr>
          <w:p>
            <w:pPr>
              <w:jc w:val="center"/>
              <w:spacing w:after="0"/>
              <w:rPr>
                <w:sz w:val="20"/>
                <w:szCs w:val="20"/>
                <w:color w:val="auto"/>
              </w:rPr>
            </w:pPr>
            <w:r>
              <w:rPr>
                <w:rFonts w:ascii="Arial" w:cs="Arial" w:eastAsia="Arial" w:hAnsi="Arial"/>
                <w:sz w:val="18"/>
                <w:szCs w:val="18"/>
                <w:color w:val="auto"/>
                <w:w w:val="97"/>
              </w:rPr>
              <w:t>101.PRE**</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990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7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7" w:name="page8"/>
    <w:bookmarkEnd w:id="7"/>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5500"/>
        <w:spacing w:after="0"/>
        <w:tabs>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35159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16"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jc w:val="center"/>
        <w:ind w:left="588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958"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40" w:type="dxa"/>
            <w:vAlign w:val="bottom"/>
          </w:tcPr>
          <w:p>
            <w:pPr>
              <w:ind w:left="354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660" w:type="dxa"/>
            <w:vAlign w:val="bottom"/>
          </w:tcPr>
          <w:p>
            <w:pPr>
              <w:jc w:val="right"/>
              <w:ind w:right="19"/>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24"/>
                <w:szCs w:val="24"/>
                <w:color w:val="auto"/>
              </w:rPr>
            </w:pPr>
          </w:p>
        </w:tc>
        <w:tc>
          <w:tcPr>
            <w:tcW w:w="1014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No.</w:t>
            </w:r>
          </w:p>
        </w:tc>
        <w:tc>
          <w:tcPr>
            <w:tcW w:w="62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10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60" w:type="dxa"/>
            <w:vAlign w:val="bottom"/>
          </w:tcPr>
          <w:p>
            <w:pPr>
              <w:jc w:val="right"/>
              <w:ind w:right="139"/>
              <w:spacing w:after="0" w:line="195" w:lineRule="exact"/>
              <w:rPr>
                <w:sz w:val="20"/>
                <w:szCs w:val="20"/>
                <w:color w:val="auto"/>
              </w:rPr>
            </w:pPr>
            <w:r>
              <w:rPr>
                <w:rFonts w:ascii="Arial" w:cs="Arial" w:eastAsia="Arial" w:hAnsi="Arial"/>
                <w:sz w:val="18"/>
                <w:szCs w:val="18"/>
                <w:color w:val="auto"/>
              </w:rPr>
              <w:t>31.1</w:t>
            </w:r>
          </w:p>
        </w:tc>
        <w:tc>
          <w:tcPr>
            <w:tcW w:w="620" w:type="dxa"/>
            <w:vAlign w:val="bottom"/>
            <w:vMerge w:val="continue"/>
          </w:tcPr>
          <w:p>
            <w:pPr>
              <w:spacing w:after="0"/>
              <w:rPr>
                <w:sz w:val="16"/>
                <w:szCs w:val="16"/>
                <w:color w:val="auto"/>
              </w:rPr>
            </w:pPr>
          </w:p>
        </w:tc>
        <w:tc>
          <w:tcPr>
            <w:tcW w:w="10140" w:type="dxa"/>
            <w:vAlign w:val="bottom"/>
          </w:tcPr>
          <w:p>
            <w:pPr>
              <w:spacing w:after="0" w:line="195" w:lineRule="exact"/>
              <w:rPr>
                <w:sz w:val="20"/>
                <w:szCs w:val="20"/>
                <w:color w:val="auto"/>
              </w:rPr>
            </w:pPr>
            <w:r>
              <w:rPr>
                <w:rFonts w:ascii="Arial" w:cs="Arial" w:eastAsia="Arial" w:hAnsi="Arial"/>
                <w:sz w:val="18"/>
                <w:szCs w:val="18"/>
                <w:color w:val="auto"/>
                <w:w w:val="97"/>
              </w:rPr>
              <w:t>Certification Pursuant to Section 302 of the Sarbanes-Oxley Act of 2002 of David P. Steiner, President and Chief Executive Officer.</w:t>
            </w:r>
          </w:p>
        </w:tc>
        <w:tc>
          <w:tcPr>
            <w:tcW w:w="0" w:type="dxa"/>
            <w:vAlign w:val="bottom"/>
          </w:tcPr>
          <w:p>
            <w:pPr>
              <w:spacing w:after="0"/>
              <w:rPr>
                <w:sz w:val="1"/>
                <w:szCs w:val="1"/>
                <w:color w:val="auto"/>
              </w:rPr>
            </w:pPr>
          </w:p>
        </w:tc>
      </w:tr>
      <w:tr>
        <w:trPr>
          <w:trHeight w:val="216"/>
        </w:trPr>
        <w:tc>
          <w:tcPr>
            <w:tcW w:w="660" w:type="dxa"/>
            <w:vAlign w:val="bottom"/>
          </w:tcPr>
          <w:p>
            <w:pPr>
              <w:jc w:val="right"/>
              <w:ind w:right="139"/>
              <w:spacing w:after="0"/>
              <w:rPr>
                <w:sz w:val="20"/>
                <w:szCs w:val="20"/>
                <w:color w:val="auto"/>
              </w:rPr>
            </w:pPr>
            <w:r>
              <w:rPr>
                <w:rFonts w:ascii="Arial" w:cs="Arial" w:eastAsia="Arial" w:hAnsi="Arial"/>
                <w:sz w:val="18"/>
                <w:szCs w:val="18"/>
                <w:color w:val="auto"/>
              </w:rPr>
              <w:t>31.2</w:t>
            </w:r>
          </w:p>
        </w:tc>
        <w:tc>
          <w:tcPr>
            <w:tcW w:w="10760" w:type="dxa"/>
            <w:vAlign w:val="bottom"/>
            <w:gridSpan w:val="2"/>
          </w:tcPr>
          <w:p>
            <w:pPr>
              <w:ind w:left="220"/>
              <w:spacing w:after="0"/>
              <w:rPr>
                <w:sz w:val="20"/>
                <w:szCs w:val="20"/>
                <w:color w:val="auto"/>
              </w:rPr>
            </w:pPr>
            <w:r>
              <w:rPr>
                <w:rFonts w:ascii="Arial" w:cs="Arial" w:eastAsia="Arial" w:hAnsi="Arial"/>
                <w:sz w:val="18"/>
                <w:szCs w:val="18"/>
                <w:color w:val="auto"/>
                <w:w w:val="93"/>
              </w:rPr>
              <w:t>—   Certification Pursuant to Section 302 of the Sarbanes-Oxley Act of 2002 of Robert G. Simpson, Senior Vice President and Chief Financial</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117" w:lineRule="exact"/>
        <w:rPr>
          <w:sz w:val="20"/>
          <w:szCs w:val="20"/>
          <w:color w:val="auto"/>
        </w:rPr>
      </w:pPr>
    </w:p>
    <w:p>
      <w:pPr>
        <w:ind w:left="420" w:hanging="187"/>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10-K/A of Waste Management,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ind w:left="5500"/>
        <w:spacing w:after="0"/>
        <w:tabs>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35159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16"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jc w:val="center"/>
        <w:ind w:left="58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2011</w:t>
      </w:r>
    </w:p>
    <w:p>
      <w:pPr>
        <w:sectPr>
          <w:pgSz w:w="11900" w:h="16838" w:orient="portrait"/>
          <w:cols w:equalWidth="0" w:num="1">
            <w:col w:w="11420"/>
          </w:cols>
          <w:pgMar w:left="240" w:top="12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Robert G. Simpson, certify that:</w:t>
      </w:r>
    </w:p>
    <w:p>
      <w:pPr>
        <w:spacing w:after="0" w:line="117" w:lineRule="exact"/>
        <w:rPr>
          <w:sz w:val="20"/>
          <w:szCs w:val="20"/>
          <w:color w:val="auto"/>
        </w:rPr>
      </w:pPr>
    </w:p>
    <w:p>
      <w:pPr>
        <w:ind w:left="420" w:hanging="187"/>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10-K/A of Waste Management,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ind w:left="5500"/>
        <w:spacing w:after="0"/>
        <w:tabs>
          <w:tab w:leader="none" w:pos="7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35159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16"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Robert G. Simpson</w:t>
      </w:r>
    </w:p>
    <w:p>
      <w:pPr>
        <w:spacing w:after="0" w:line="23" w:lineRule="exact"/>
        <w:rPr>
          <w:sz w:val="20"/>
          <w:szCs w:val="20"/>
          <w:color w:val="auto"/>
        </w:rPr>
      </w:pPr>
    </w:p>
    <w:p>
      <w:pPr>
        <w:jc w:val="center"/>
        <w:ind w:left="58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2019-12-10T08:51:15Z</dcterms:created>
  <dcterms:modified xsi:type="dcterms:W3CDTF">2019-12-10T08:51:15Z</dcterms:modified>
</cp:coreProperties>
</file>