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1"/>
          <w:szCs w:val="11"/>
          <w:color w:val="003366"/>
        </w:rPr>
        <w:t>TABLE OF CONTENTS</w:t>
      </w:r>
    </w:p>
    <w:p>
      <w:pPr>
        <w:spacing w:after="0" w:line="200" w:lineRule="exact"/>
        <w:rPr>
          <w:sz w:val="24"/>
          <w:szCs w:val="24"/>
          <w:color w:val="auto"/>
        </w:rPr>
      </w:pPr>
    </w:p>
    <w:p>
      <w:pPr>
        <w:spacing w:after="0" w:line="312" w:lineRule="exact"/>
        <w:rPr>
          <w:sz w:val="24"/>
          <w:szCs w:val="24"/>
          <w:color w:val="auto"/>
        </w:rPr>
      </w:pPr>
    </w:p>
    <w:tbl>
      <w:tblPr>
        <w:tblLayout w:type="fixed"/>
        <w:tblInd w:w="880" w:type="dxa"/>
        <w:tblCellMar>
          <w:top w:w="0" w:type="dxa"/>
          <w:left w:w="0" w:type="dxa"/>
          <w:bottom w:w="0" w:type="dxa"/>
          <w:right w:w="0" w:type="dxa"/>
        </w:tblCellMar>
      </w:tblPr>
      <w:tr>
        <w:trPr>
          <w:trHeight w:val="507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22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 preliminary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380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is 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we are not soliciting an offer to buy these securities</w:t>
            </w:r>
          </w:p>
        </w:tc>
      </w:tr>
      <w:tr>
        <w:trPr>
          <w:trHeight w:val="15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to sell these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820"/>
        <w:spacing w:after="0"/>
        <w:rPr>
          <w:sz w:val="20"/>
          <w:szCs w:val="20"/>
          <w:color w:val="auto"/>
        </w:rPr>
      </w:pPr>
      <w:r>
        <w:rPr>
          <w:rFonts w:ascii="Arial" w:cs="Arial" w:eastAsia="Arial" w:hAnsi="Arial"/>
          <w:sz w:val="16"/>
          <w:szCs w:val="16"/>
          <w:b w:val="1"/>
          <w:bCs w:val="1"/>
          <w:color w:val="auto"/>
        </w:rPr>
        <w:t> Filed Pursuant to Rule 424(b)(3)​</w:t>
      </w:r>
    </w:p>
    <w:p>
      <w:pPr>
        <w:spacing w:after="0" w:line="12" w:lineRule="exact"/>
        <w:rPr>
          <w:sz w:val="24"/>
          <w:szCs w:val="24"/>
          <w:color w:val="auto"/>
        </w:rPr>
      </w:pPr>
    </w:p>
    <w:p>
      <w:pPr>
        <w:ind w:left="5800"/>
        <w:spacing w:after="0"/>
        <w:rPr>
          <w:sz w:val="20"/>
          <w:szCs w:val="20"/>
          <w:color w:val="auto"/>
        </w:rPr>
      </w:pPr>
      <w:r>
        <w:rPr>
          <w:rFonts w:ascii="Arial" w:cs="Arial" w:eastAsia="Arial" w:hAnsi="Arial"/>
          <w:sz w:val="15"/>
          <w:szCs w:val="15"/>
          <w:b w:val="1"/>
          <w:bCs w:val="1"/>
          <w:color w:val="auto"/>
        </w:rPr>
        <w:t>  Registration File No. 333-264493​</w:t>
      </w:r>
    </w:p>
    <w:p>
      <w:pPr>
        <w:spacing w:after="0" w:line="213"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FC0014"/>
        </w:rPr>
        <w:t>SUBJECT TO COMPLETION, DATED JULY 27,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26, 2022)</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1494155</wp:posOffset>
            </wp:positionH>
            <wp:positionV relativeFrom="paragraph">
              <wp:posOffset>88900</wp:posOffset>
            </wp:positionV>
            <wp:extent cx="222885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2120"/>
        <w:spacing w:after="0"/>
        <w:rPr>
          <w:sz w:val="20"/>
          <w:szCs w:val="20"/>
          <w:color w:val="auto"/>
        </w:rPr>
      </w:pPr>
      <w:r>
        <w:rPr>
          <w:rFonts w:ascii="Arial" w:cs="Arial" w:eastAsia="Arial" w:hAnsi="Arial"/>
          <w:sz w:val="25"/>
          <w:szCs w:val="25"/>
          <w:b w:val="1"/>
          <w:bCs w:val="1"/>
          <w:color w:val="auto"/>
        </w:rPr>
        <w:t>$           % Senior Notes due 2029</w:t>
      </w:r>
    </w:p>
    <w:p>
      <w:pPr>
        <w:spacing w:after="0" w:line="118" w:lineRule="exact"/>
        <w:rPr>
          <w:sz w:val="24"/>
          <w:szCs w:val="24"/>
          <w:color w:val="auto"/>
        </w:rPr>
      </w:pPr>
    </w:p>
    <w:p>
      <w:pPr>
        <w:ind w:left="2120"/>
        <w:spacing w:after="0"/>
        <w:rPr>
          <w:sz w:val="20"/>
          <w:szCs w:val="20"/>
          <w:color w:val="auto"/>
        </w:rPr>
      </w:pPr>
      <w:r>
        <w:rPr>
          <w:rFonts w:ascii="Arial" w:cs="Arial" w:eastAsia="Arial" w:hAnsi="Arial"/>
          <w:sz w:val="25"/>
          <w:szCs w:val="25"/>
          <w:b w:val="1"/>
          <w:bCs w:val="1"/>
          <w:color w:val="auto"/>
        </w:rPr>
        <w:t>$           % Senior Notes due 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140335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4"/>
          <w:szCs w:val="24"/>
          <w:color w:val="auto"/>
        </w:rPr>
      </w:pPr>
    </w:p>
    <w:p>
      <w:pPr>
        <w:jc w:val="both"/>
        <w:ind w:right="119" w:firstLine="360"/>
        <w:spacing w:after="0" w:line="271" w:lineRule="auto"/>
        <w:rPr>
          <w:sz w:val="20"/>
          <w:szCs w:val="20"/>
          <w:color w:val="auto"/>
        </w:rPr>
      </w:pPr>
      <w:r>
        <w:rPr>
          <w:rFonts w:ascii="Arial" w:cs="Arial" w:eastAsia="Arial" w:hAnsi="Arial"/>
          <w:sz w:val="17"/>
          <w:szCs w:val="17"/>
          <w:color w:val="auto"/>
        </w:rPr>
        <w:t>We are offering $      of our senior notes, consisting of $      of our    % senior notes due 2029 (the “2029 notes”) and $      of our    % senior notes due 2034 (the “2034 notes” and, together with the 2029 notes, the “notes”). Interest on the notes will accrue from             , 2023 and will be payable on</w:t>
      </w:r>
    </w:p>
    <w:p>
      <w:pPr>
        <w:ind w:right="439"/>
        <w:spacing w:after="0" w:line="260" w:lineRule="auto"/>
        <w:rPr>
          <w:sz w:val="20"/>
          <w:szCs w:val="20"/>
          <w:color w:val="auto"/>
        </w:rPr>
      </w:pPr>
      <w:r>
        <w:rPr>
          <w:rFonts w:ascii="Arial" w:cs="Arial" w:eastAsia="Arial" w:hAnsi="Arial"/>
          <w:sz w:val="18"/>
          <w:szCs w:val="18"/>
          <w:color w:val="auto"/>
        </w:rPr>
        <w:t>            and             of each year, beginning             , 2024. The 2029 notes will mature on           , 2029 and the 2034 notes will mature on            , 2034.</w:t>
      </w:r>
    </w:p>
    <w:p>
      <w:pPr>
        <w:spacing w:after="0" w:line="37" w:lineRule="exact"/>
        <w:rPr>
          <w:sz w:val="24"/>
          <w:szCs w:val="24"/>
          <w:color w:val="auto"/>
        </w:rPr>
      </w:pPr>
    </w:p>
    <w:p>
      <w:pPr>
        <w:ind w:right="159" w:firstLine="360"/>
        <w:spacing w:after="0" w:line="259" w:lineRule="auto"/>
        <w:rPr>
          <w:sz w:val="20"/>
          <w:szCs w:val="20"/>
          <w:color w:val="auto"/>
        </w:rPr>
      </w:pPr>
      <w:r>
        <w:rPr>
          <w:rFonts w:ascii="Arial" w:cs="Arial" w:eastAsia="Arial" w:hAnsi="Arial"/>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38" w:lineRule="exact"/>
        <w:rPr>
          <w:sz w:val="24"/>
          <w:szCs w:val="24"/>
          <w:color w:val="auto"/>
        </w:rPr>
      </w:pPr>
    </w:p>
    <w:p>
      <w:pPr>
        <w:ind w:right="119" w:firstLine="360"/>
        <w:spacing w:after="0" w:line="263" w:lineRule="auto"/>
        <w:rPr>
          <w:sz w:val="20"/>
          <w:szCs w:val="20"/>
          <w:color w:val="auto"/>
        </w:rPr>
      </w:pPr>
      <w:r>
        <w:rPr>
          <w:rFonts w:ascii="Arial" w:cs="Arial" w:eastAsia="Arial" w:hAnsi="Arial"/>
          <w:sz w:val="18"/>
          <w:szCs w:val="18"/>
          <w:color w:val="auto"/>
        </w:rPr>
        <w:t>We may redeem each series of the notes, in whole or in part, at any time at the redemption prices described beginning on page S-12. If a change of control triggering event as described beginning on page S-15 occurs, we may be required to offer to purchase the notes of each series from holders.</w:t>
      </w:r>
    </w:p>
    <w:p>
      <w:pPr>
        <w:spacing w:after="0" w:line="45" w:lineRule="exact"/>
        <w:rPr>
          <w:sz w:val="24"/>
          <w:szCs w:val="24"/>
          <w:color w:val="auto"/>
        </w:rPr>
      </w:pPr>
    </w:p>
    <w:p>
      <w:pPr>
        <w:ind w:right="919" w:firstLine="360"/>
        <w:spacing w:after="0" w:line="282" w:lineRule="auto"/>
        <w:rPr>
          <w:sz w:val="20"/>
          <w:szCs w:val="20"/>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beginning on page </w:t>
      </w:r>
      <w:r>
        <w:rPr>
          <w:rFonts w:ascii="Arial" w:cs="Arial" w:eastAsia="Arial" w:hAnsi="Arial"/>
          <w:sz w:val="18"/>
          <w:szCs w:val="18"/>
          <w:b w:val="1"/>
          <w:bCs w:val="1"/>
          <w:u w:val="single" w:color="auto"/>
          <w:color w:val="0000EE"/>
        </w:rPr>
        <w:t>S-5</w:t>
      </w:r>
      <w:r>
        <w:rPr>
          <w:rFonts w:ascii="Arial" w:cs="Arial" w:eastAsia="Arial" w:hAnsi="Arial"/>
          <w:sz w:val="18"/>
          <w:szCs w:val="18"/>
          <w:b w:val="1"/>
          <w:bCs w:val="1"/>
          <w:color w:val="auto"/>
        </w:rPr>
        <w:t xml:space="preserve"> of this prospectus supplement and page </w:t>
      </w:r>
      <w:r>
        <w:rPr>
          <w:rFonts w:ascii="Arial" w:cs="Arial" w:eastAsia="Arial" w:hAnsi="Arial"/>
          <w:sz w:val="18"/>
          <w:szCs w:val="18"/>
          <w:b w:val="1"/>
          <w:bCs w:val="1"/>
          <w:u w:val="single" w:color="auto"/>
          <w:color w:val="0000EE"/>
        </w:rPr>
        <w:t>8</w:t>
      </w:r>
      <w:r>
        <w:rPr>
          <w:rFonts w:ascii="Arial" w:cs="Arial" w:eastAsia="Arial" w:hAnsi="Arial"/>
          <w:sz w:val="18"/>
          <w:szCs w:val="18"/>
          <w:b w:val="1"/>
          <w:bCs w:val="1"/>
          <w:color w:val="auto"/>
        </w:rPr>
        <w:t xml:space="preserve">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45720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6" w:lineRule="exact"/>
        <w:rPr>
          <w:sz w:val="24"/>
          <w:szCs w:val="24"/>
          <w:color w:val="auto"/>
        </w:rPr>
      </w:pPr>
    </w:p>
    <w:p>
      <w:pPr>
        <w:ind w:right="319" w:firstLine="360"/>
        <w:spacing w:after="0" w:line="34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30480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ind w:left="120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2029 Notes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2034 Notes</w:t>
            </w:r>
          </w:p>
        </w:tc>
        <w:tc>
          <w:tcPr>
            <w:tcW w:w="24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Arial" w:cs="Arial" w:eastAsia="Arial" w:hAnsi="Arial"/>
                <w:sz w:val="14"/>
                <w:szCs w:val="14"/>
                <w:b w:val="1"/>
                <w:bCs w:val="1"/>
                <w:color w:val="auto"/>
              </w:rPr>
              <w:t>​</w:t>
            </w:r>
          </w:p>
        </w:tc>
        <w:tc>
          <w:tcPr>
            <w:tcW w:w="2120" w:type="dxa"/>
            <w:vAlign w:val="bottom"/>
            <w:gridSpan w:val="4"/>
          </w:tcPr>
          <w:p>
            <w:pPr>
              <w:ind w:left="120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 Note </w:t>
            </w:r>
            <w:r>
              <w:rPr>
                <w:rFonts w:ascii="Arial" w:cs="Arial" w:eastAsia="Arial" w:hAnsi="Arial"/>
                <w:sz w:val="27"/>
                <w:szCs w:val="27"/>
                <w:b w:val="1"/>
                <w:bCs w:val="1"/>
                <w:color w:val="auto"/>
                <w:vertAlign w:val="subscript"/>
              </w:rPr>
              <w:t>​ ​</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4"/>
          </w:tcPr>
          <w:p>
            <w:pPr>
              <w:jc w:val="right"/>
              <w:ind w:right="2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 Note </w:t>
            </w:r>
            <w:r>
              <w:rPr>
                <w:rFonts w:ascii="Arial" w:cs="Arial" w:eastAsia="Arial" w:hAnsi="Arial"/>
                <w:sz w:val="27"/>
                <w:szCs w:val="27"/>
                <w:b w:val="1"/>
                <w:bCs w:val="1"/>
                <w:color w:val="auto"/>
                <w:vertAlign w:val="subscript"/>
              </w:rPr>
              <w:t>​ ​</w:t>
            </w:r>
          </w:p>
        </w:tc>
        <w:tc>
          <w:tcPr>
            <w:tcW w:w="2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40" w:type="dxa"/>
            <w:vAlign w:val="bottom"/>
            <w:gridSpan w:val="2"/>
          </w:tcPr>
          <w:p>
            <w:pPr>
              <w:ind w:left="60"/>
              <w:spacing w:after="0"/>
              <w:rPr>
                <w:sz w:val="20"/>
                <w:szCs w:val="20"/>
                <w:color w:val="auto"/>
              </w:rPr>
            </w:pPr>
            <w:r>
              <w:rPr>
                <w:rFonts w:ascii="Arial" w:cs="Arial" w:eastAsia="Arial" w:hAnsi="Arial"/>
                <w:sz w:val="14"/>
                <w:szCs w:val="14"/>
                <w:b w:val="1"/>
                <w:bCs w:val="1"/>
                <w:color w:val="auto"/>
              </w:rPr>
              <w:t>​ ​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3"/>
                <w:szCs w:val="23"/>
                <w:color w:val="auto"/>
                <w:vertAlign w:val="superscript"/>
              </w:rPr>
              <w:t>(1)</w:t>
            </w:r>
          </w:p>
        </w:tc>
        <w:tc>
          <w:tcPr>
            <w:tcW w:w="1380" w:type="dxa"/>
            <w:vAlign w:val="bottom"/>
            <w:vMerge w:val="restart"/>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0" w:type="dxa"/>
            <w:vAlign w:val="bottom"/>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8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22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0" w:type="dxa"/>
            <w:vAlign w:val="bottom"/>
            <w:gridSpan w:val="4"/>
            <w:shd w:val="clear" w:color="auto" w:fill="CCEEFF"/>
          </w:tcPr>
          <w:p>
            <w:pPr>
              <w:ind w:left="320"/>
              <w:spacing w:after="0" w:line="54" w:lineRule="exact"/>
              <w:rPr>
                <w:sz w:val="20"/>
                <w:szCs w:val="20"/>
                <w:color w:val="auto"/>
              </w:rPr>
            </w:pPr>
            <w:r>
              <w:rPr>
                <w:rFonts w:ascii="Arial" w:cs="Arial" w:eastAsia="Arial" w:hAnsi="Arial"/>
                <w:sz w:val="6"/>
                <w:szCs w:val="6"/>
                <w:color w:val="auto"/>
              </w:rPr>
              <w:t>​​ ​​</w:t>
            </w:r>
          </w:p>
        </w:tc>
        <w:tc>
          <w:tcPr>
            <w:tcW w:w="220" w:type="dxa"/>
            <w:vAlign w:val="bottom"/>
            <w:vMerge w:val="continue"/>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80" w:type="dxa"/>
            <w:vAlign w:val="bottom"/>
            <w:vMerge w:val="restart"/>
          </w:tcPr>
          <w:p>
            <w:pPr>
              <w:ind w:left="120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460" w:type="dxa"/>
            <w:vAlign w:val="bottom"/>
          </w:tcPr>
          <w:p>
            <w:pPr>
              <w:spacing w:after="0"/>
              <w:rPr>
                <w:sz w:val="20"/>
                <w:szCs w:val="20"/>
                <w:color w:val="auto"/>
              </w:rPr>
            </w:pPr>
            <w:r>
              <w:rPr>
                <w:rFonts w:ascii="Arial" w:cs="Arial" w:eastAsia="Arial" w:hAnsi="Arial"/>
                <w:sz w:val="18"/>
                <w:szCs w:val="18"/>
                <w:color w:val="auto"/>
              </w:rPr>
              <w:t xml:space="preserve">$    </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460" w:type="dxa"/>
            <w:vAlign w:val="bottom"/>
            <w:gridSpan w:val="2"/>
          </w:tcPr>
          <w:p>
            <w:pPr>
              <w:spacing w:after="0"/>
              <w:rPr>
                <w:sz w:val="20"/>
                <w:szCs w:val="20"/>
                <w:color w:val="auto"/>
              </w:rPr>
            </w:pPr>
            <w:r>
              <w:rPr>
                <w:rFonts w:ascii="Arial" w:cs="Arial" w:eastAsia="Arial" w:hAnsi="Arial"/>
                <w:sz w:val="18"/>
                <w:szCs w:val="18"/>
                <w:color w:val="auto"/>
              </w:rPr>
              <w:t xml:space="preserve">$    </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line="54" w:lineRule="exact"/>
              <w:rPr>
                <w:sz w:val="20"/>
                <w:szCs w:val="20"/>
                <w:color w:val="auto"/>
              </w:rPr>
            </w:pPr>
            <w:r>
              <w:rPr>
                <w:rFonts w:ascii="Arial" w:cs="Arial" w:eastAsia="Arial" w:hAnsi="Arial"/>
                <w:sz w:val="6"/>
                <w:szCs w:val="6"/>
                <w:color w:val="auto"/>
              </w:rPr>
              <w:t>​​ ​​</w:t>
            </w:r>
          </w:p>
        </w:tc>
        <w:tc>
          <w:tcPr>
            <w:tcW w:w="2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4"/>
          </w:tcPr>
          <w:p>
            <w:pPr>
              <w:ind w:left="320"/>
              <w:spacing w:after="0" w:line="54" w:lineRule="exact"/>
              <w:rPr>
                <w:sz w:val="20"/>
                <w:szCs w:val="20"/>
                <w:color w:val="auto"/>
              </w:rPr>
            </w:pPr>
            <w:r>
              <w:rPr>
                <w:rFonts w:ascii="Arial" w:cs="Arial" w:eastAsia="Arial" w:hAnsi="Arial"/>
                <w:sz w:val="6"/>
                <w:szCs w:val="6"/>
                <w:color w:val="auto"/>
              </w:rPr>
              <w:t>​​ ​​</w:t>
            </w:r>
          </w:p>
        </w:tc>
        <w:tc>
          <w:tcPr>
            <w:tcW w:w="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(excluding expenses)</w:t>
            </w:r>
          </w:p>
        </w:tc>
        <w:tc>
          <w:tcPr>
            <w:tcW w:w="1380" w:type="dxa"/>
            <w:vAlign w:val="bottom"/>
            <w:vMerge w:val="restart"/>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0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8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color w:val="auto"/>
              </w:rPr>
              <w:t>​​ ​​</w:t>
            </w:r>
          </w:p>
        </w:tc>
        <w:tc>
          <w:tcPr>
            <w:tcW w:w="22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0" w:type="dxa"/>
            <w:vAlign w:val="bottom"/>
            <w:gridSpan w:val="4"/>
            <w:shd w:val="clear" w:color="auto" w:fill="CCEEFF"/>
          </w:tcPr>
          <w:p>
            <w:pPr>
              <w:ind w:left="320"/>
              <w:spacing w:after="0" w:line="68" w:lineRule="exact"/>
              <w:rPr>
                <w:sz w:val="20"/>
                <w:szCs w:val="20"/>
                <w:color w:val="auto"/>
              </w:rPr>
            </w:pPr>
            <w:r>
              <w:rPr>
                <w:rFonts w:ascii="Arial" w:cs="Arial" w:eastAsia="Arial" w:hAnsi="Arial"/>
                <w:sz w:val="7"/>
                <w:szCs w:val="7"/>
                <w:color w:val="auto"/>
              </w:rPr>
              <w:t>​​ ​​</w:t>
            </w:r>
          </w:p>
        </w:tc>
        <w:tc>
          <w:tcPr>
            <w:tcW w:w="22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Plus accrued interest from            , 2023, if delivery occurs after that date.</w:t>
      </w:r>
    </w:p>
    <w:p>
      <w:pPr>
        <w:spacing w:after="0" w:line="77" w:lineRule="exact"/>
        <w:rPr>
          <w:sz w:val="24"/>
          <w:szCs w:val="24"/>
          <w:color w:val="auto"/>
        </w:rPr>
      </w:pPr>
    </w:p>
    <w:p>
      <w:pPr>
        <w:ind w:right="479" w:firstLine="360"/>
        <w:spacing w:after="0" w:line="277" w:lineRule="auto"/>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35" w:lineRule="exact"/>
        <w:rPr>
          <w:sz w:val="24"/>
          <w:szCs w:val="24"/>
          <w:color w:val="auto"/>
        </w:rPr>
      </w:pPr>
    </w:p>
    <w:p>
      <w:pPr>
        <w:ind w:right="219" w:firstLine="360"/>
        <w:spacing w:after="0" w:line="263" w:lineRule="auto"/>
        <w:rPr>
          <w:sz w:val="20"/>
          <w:szCs w:val="20"/>
          <w:color w:val="auto"/>
        </w:rPr>
      </w:pPr>
      <w:r>
        <w:rPr>
          <w:rFonts w:ascii="Arial" w:cs="Arial" w:eastAsia="Arial" w:hAnsi="Arial"/>
          <w:sz w:val="18"/>
          <w:szCs w:val="18"/>
          <w:color w:val="auto"/>
        </w:rPr>
        <w:t>The underwriters expect to deliver the notes to investors on or about            , 2023 only in book-entry form through the facilities of The Depository Trust Company and its participants, including Clearstream Banking S.A. and Euroclear Bank SA/NV, as operator of the Euroclear System.</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4"/>
          </w:tcPr>
          <w:p>
            <w:pPr>
              <w:jc w:val="center"/>
              <w:ind w:right="2416"/>
              <w:spacing w:after="0"/>
              <w:rPr>
                <w:sz w:val="20"/>
                <w:szCs w:val="20"/>
                <w:color w:val="auto"/>
              </w:rPr>
            </w:pPr>
            <w:r>
              <w:rPr>
                <w:rFonts w:ascii="Arial" w:cs="Arial" w:eastAsia="Arial" w:hAnsi="Arial"/>
                <w:sz w:val="18"/>
                <w:szCs w:val="18"/>
                <w:i w:val="1"/>
                <w:iCs w:val="1"/>
                <w:color w:val="auto"/>
                <w:w w:val="94"/>
              </w:rPr>
              <w:t>Joint Book-Running Managers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29"/>
                <w:szCs w:val="29"/>
                <w:b w:val="1"/>
                <w:bCs w:val="1"/>
                <w:color w:val="auto"/>
              </w:rPr>
              <w:t>​</w:t>
            </w:r>
          </w:p>
        </w:tc>
        <w:tc>
          <w:tcPr>
            <w:tcW w:w="860" w:type="dxa"/>
            <w:vAlign w:val="bottom"/>
          </w:tcPr>
          <w:p>
            <w:pPr>
              <w:ind w:left="660"/>
              <w:spacing w:after="0"/>
              <w:rPr>
                <w:sz w:val="20"/>
                <w:szCs w:val="20"/>
                <w:color w:val="auto"/>
              </w:rPr>
            </w:pPr>
            <w:r>
              <w:rPr>
                <w:rFonts w:ascii="Arial" w:cs="Arial" w:eastAsia="Arial" w:hAnsi="Arial"/>
                <w:sz w:val="29"/>
                <w:szCs w:val="29"/>
                <w:b w:val="1"/>
                <w:bCs w:val="1"/>
                <w:color w:val="auto"/>
              </w:rPr>
              <w:t>​​</w:t>
            </w:r>
          </w:p>
        </w:tc>
        <w:tc>
          <w:tcPr>
            <w:tcW w:w="2100" w:type="dxa"/>
            <w:vAlign w:val="bottom"/>
            <w:gridSpan w:val="2"/>
            <w:vMerge w:val="restart"/>
          </w:tcPr>
          <w:p>
            <w:pPr>
              <w:ind w:left="20"/>
              <w:spacing w:after="0"/>
              <w:rPr>
                <w:sz w:val="20"/>
                <w:szCs w:val="20"/>
                <w:color w:val="auto"/>
              </w:rPr>
            </w:pPr>
            <w:r>
              <w:rPr>
                <w:rFonts w:ascii="Arial" w:cs="Arial" w:eastAsia="Arial" w:hAnsi="Arial"/>
                <w:sz w:val="29"/>
                <w:szCs w:val="29"/>
                <w:b w:val="1"/>
                <w:bCs w:val="1"/>
                <w:color w:val="auto"/>
                <w:w w:val="95"/>
              </w:rPr>
              <w:t>BofA Securities</w:t>
            </w:r>
          </w:p>
        </w:tc>
        <w:tc>
          <w:tcPr>
            <w:tcW w:w="520" w:type="dxa"/>
            <w:vAlign w:val="bottom"/>
          </w:tcPr>
          <w:p>
            <w:pPr>
              <w:ind w:left="280"/>
              <w:spacing w:after="0"/>
              <w:rPr>
                <w:sz w:val="20"/>
                <w:szCs w:val="20"/>
                <w:color w:val="auto"/>
              </w:rPr>
            </w:pPr>
            <w:r>
              <w:rPr>
                <w:rFonts w:ascii="Arial" w:cs="Arial" w:eastAsia="Arial" w:hAnsi="Arial"/>
                <w:sz w:val="29"/>
                <w:szCs w:val="29"/>
                <w:b w:val="1"/>
                <w:bCs w:val="1"/>
                <w:color w:val="auto"/>
              </w:rPr>
              <w:t>​​</w:t>
            </w:r>
          </w:p>
        </w:tc>
        <w:tc>
          <w:tcPr>
            <w:tcW w:w="3040" w:type="dxa"/>
            <w:vAlign w:val="bottom"/>
            <w:vMerge w:val="restart"/>
          </w:tcPr>
          <w:p>
            <w:pPr>
              <w:jc w:val="right"/>
              <w:spacing w:after="0"/>
              <w:rPr>
                <w:sz w:val="20"/>
                <w:szCs w:val="20"/>
                <w:color w:val="auto"/>
              </w:rPr>
            </w:pPr>
            <w:r>
              <w:rPr>
                <w:rFonts w:ascii="Arial" w:cs="Arial" w:eastAsia="Arial" w:hAnsi="Arial"/>
                <w:sz w:val="29"/>
                <w:szCs w:val="29"/>
                <w:b w:val="1"/>
                <w:bCs w:val="1"/>
                <w:color w:val="auto"/>
                <w:w w:val="84"/>
              </w:rPr>
              <w:t>Deutsche Bank Securities</w:t>
            </w:r>
          </w:p>
        </w:tc>
        <w:tc>
          <w:tcPr>
            <w:tcW w:w="60" w:type="dxa"/>
            <w:vAlign w:val="bottom"/>
          </w:tcPr>
          <w:p>
            <w:pPr>
              <w:spacing w:after="0"/>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278"/>
        </w:trPr>
        <w:tc>
          <w:tcPr>
            <w:tcW w:w="1700" w:type="dxa"/>
            <w:vAlign w:val="bottom"/>
          </w:tcPr>
          <w:p>
            <w:pPr>
              <w:spacing w:after="0" w:line="278" w:lineRule="exact"/>
              <w:rPr>
                <w:sz w:val="20"/>
                <w:szCs w:val="20"/>
                <w:color w:val="auto"/>
              </w:rPr>
            </w:pPr>
            <w:r>
              <w:rPr>
                <w:rFonts w:ascii="Arial" w:cs="Arial" w:eastAsia="Arial" w:hAnsi="Arial"/>
                <w:sz w:val="29"/>
                <w:szCs w:val="29"/>
                <w:b w:val="1"/>
                <w:bCs w:val="1"/>
                <w:color w:val="auto"/>
              </w:rPr>
              <w:t>Barclays</w:t>
            </w:r>
          </w:p>
        </w:tc>
        <w:tc>
          <w:tcPr>
            <w:tcW w:w="86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line="288" w:lineRule="exact"/>
              <w:rPr>
                <w:sz w:val="20"/>
                <w:szCs w:val="20"/>
                <w:color w:val="auto"/>
              </w:rPr>
            </w:pPr>
            <w:r>
              <w:rPr>
                <w:rFonts w:ascii="Arial" w:cs="Arial" w:eastAsia="Arial" w:hAnsi="Arial"/>
                <w:sz w:val="29"/>
                <w:szCs w:val="29"/>
                <w:b w:val="1"/>
                <w:bCs w:val="1"/>
                <w:color w:val="auto"/>
              </w:rPr>
              <w:t>​</w:t>
            </w: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jc w:val="center"/>
              <w:spacing w:after="0" w:line="288" w:lineRule="exact"/>
              <w:rPr>
                <w:sz w:val="20"/>
                <w:szCs w:val="20"/>
                <w:color w:val="auto"/>
              </w:rPr>
            </w:pPr>
            <w:r>
              <w:rPr>
                <w:rFonts w:ascii="Arial" w:cs="Arial" w:eastAsia="Arial" w:hAnsi="Arial"/>
                <w:sz w:val="29"/>
                <w:szCs w:val="29"/>
                <w:b w:val="1"/>
                <w:bCs w:val="1"/>
                <w:color w:val="auto"/>
              </w:rPr>
              <w:t>​​</w:t>
            </w:r>
          </w:p>
        </w:tc>
        <w:tc>
          <w:tcPr>
            <w:tcW w:w="520" w:type="dxa"/>
            <w:vAlign w:val="bottom"/>
          </w:tcPr>
          <w:p>
            <w:pPr>
              <w:spacing w:after="0"/>
              <w:rPr>
                <w:sz w:val="24"/>
                <w:szCs w:val="24"/>
                <w:color w:val="auto"/>
              </w:rPr>
            </w:pPr>
          </w:p>
        </w:tc>
        <w:tc>
          <w:tcPr>
            <w:tcW w:w="304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Scotiabank</w:t>
            </w:r>
          </w:p>
        </w:tc>
        <w:tc>
          <w:tcPr>
            <w:tcW w:w="60" w:type="dxa"/>
            <w:vAlign w:val="bottom"/>
          </w:tcPr>
          <w:p>
            <w:pPr>
              <w:spacing w:after="0" w:line="288" w:lineRule="exact"/>
              <w:rPr>
                <w:sz w:val="20"/>
                <w:szCs w:val="20"/>
                <w:color w:val="auto"/>
              </w:rPr>
            </w:pPr>
            <w:r>
              <w:rPr>
                <w:rFonts w:ascii="Arial" w:cs="Arial" w:eastAsia="Arial" w:hAnsi="Arial"/>
                <w:sz w:val="29"/>
                <w:szCs w:val="29"/>
                <w:b w:val="1"/>
                <w:bCs w:val="1"/>
                <w:color w:val="auto"/>
              </w:rPr>
              <w:t>​</w:t>
            </w:r>
          </w:p>
        </w:tc>
        <w:tc>
          <w:tcPr>
            <w:tcW w:w="0" w:type="dxa"/>
            <w:vAlign w:val="bottom"/>
          </w:tcPr>
          <w:p>
            <w:pPr>
              <w:spacing w:after="0"/>
              <w:rPr>
                <w:sz w:val="1"/>
                <w:szCs w:val="1"/>
                <w:color w:val="auto"/>
              </w:rPr>
            </w:pPr>
          </w:p>
        </w:tc>
      </w:tr>
      <w:tr>
        <w:trPr>
          <w:trHeight w:val="150"/>
        </w:trPr>
        <w:tc>
          <w:tcPr>
            <w:tcW w:w="3640" w:type="dxa"/>
            <w:vAlign w:val="bottom"/>
            <w:gridSpan w:val="3"/>
          </w:tcPr>
          <w:p>
            <w:pPr>
              <w:spacing w:after="0" w:line="150" w:lineRule="exact"/>
              <w:rPr>
                <w:sz w:val="20"/>
                <w:szCs w:val="20"/>
                <w:color w:val="auto"/>
              </w:rPr>
            </w:pPr>
            <w:r>
              <w:rPr>
                <w:rFonts w:ascii="Arial" w:cs="Arial" w:eastAsia="Arial" w:hAnsi="Arial"/>
                <w:sz w:val="17"/>
                <w:szCs w:val="17"/>
                <w:b w:val="1"/>
                <w:bCs w:val="1"/>
                <w:color w:val="auto"/>
              </w:rPr>
              <w:t>Goldman Sachs &amp; Co. LLC</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2">
            <w:col w:w="1220" w:space="360"/>
            <w:col w:w="8299"/>
          </w:cols>
          <w:pgMar w:left="580" w:top="198" w:right="1440" w:bottom="1440" w:gutter="0" w:footer="0" w:header="0"/>
        </w:sectPr>
      </w:pPr>
    </w:p>
    <w:p>
      <w:pPr>
        <w:ind w:left="5200"/>
        <w:spacing w:after="0"/>
        <w:rPr>
          <w:sz w:val="20"/>
          <w:szCs w:val="20"/>
          <w:color w:val="auto"/>
        </w:rPr>
      </w:pPr>
      <w:r>
        <w:rPr>
          <w:rFonts w:ascii="Arial" w:cs="Arial" w:eastAsia="Arial" w:hAnsi="Arial"/>
          <w:sz w:val="17"/>
          <w:szCs w:val="17"/>
          <w:color w:val="auto"/>
        </w:rPr>
        <w:t>July  ,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198"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5"/>
          <w:szCs w:val="15"/>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182245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Prospectus Supplement</w:t>
      </w:r>
    </w:p>
    <w:p>
      <w:pPr>
        <w:sectPr>
          <w:pgSz w:w="11900" w:h="16838" w:orient="portrait"/>
          <w:cols w:equalWidth="0" w:num="1">
            <w:col w:w="9879"/>
          </w:cols>
          <w:pgMar w:left="580" w:top="90" w:right="1440" w:bottom="1440" w:gutter="0" w:footer="0" w:header="0"/>
        </w:sect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NOTES</w:t>
      </w:r>
    </w:p>
    <w:p>
      <w:pPr>
        <w:spacing w:after="0" w:line="63" w:lineRule="exact"/>
        <w:rPr>
          <w:sz w:val="20"/>
          <w:szCs w:val="20"/>
          <w:color w:val="auto"/>
        </w:rPr>
      </w:pPr>
    </w:p>
    <w:p>
      <w:pPr>
        <w:ind w:left="1260" w:right="680"/>
        <w:spacing w:after="0" w:line="313" w:lineRule="auto"/>
        <w:rPr>
          <w:sz w:val="20"/>
          <w:szCs w:val="20"/>
          <w:color w:val="auto"/>
        </w:rPr>
      </w:pPr>
      <w:r>
        <w:rPr>
          <w:rFonts w:ascii="Arial" w:cs="Arial" w:eastAsia="Arial" w:hAnsi="Arial"/>
          <w:sz w:val="18"/>
          <w:szCs w:val="18"/>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-367030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-24130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INCORPORATION OF CERTAIN DOCUMENTS BY REFERENCE</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700"/>
        <w:spacing w:after="0" w:line="305" w:lineRule="auto"/>
        <w:rPr>
          <w:sz w:val="20"/>
          <w:szCs w:val="20"/>
          <w:color w:val="auto"/>
        </w:rPr>
      </w:pPr>
      <w:r>
        <w:rPr>
          <w:rFonts w:ascii="Arial" w:cs="Arial" w:eastAsia="Arial" w:hAnsi="Arial"/>
          <w:sz w:val="18"/>
          <w:szCs w:val="18"/>
          <w:u w:val="single" w:color="auto"/>
          <w:color w:val="0000EE"/>
        </w:rPr>
        <w:t>INCORPORATION OF CERTAIN DOCUMENTS BY REFERENCE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-24130</wp:posOffset>
            </wp:positionV>
            <wp:extent cx="52120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u w:val="single" w:color="auto"/>
          <w:color w:val="0000EE"/>
        </w:rPr>
        <w:t>THE COMPANY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GUARANTEES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OTHER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00" w:hanging="100"/>
        <w:spacing w:after="0"/>
        <w:tabs>
          <w:tab w:leader="none" w:pos="100" w:val="left"/>
        </w:tabs>
        <w:numPr>
          <w:ilvl w:val="0"/>
          <w:numId w:val="1"/>
        </w:numPr>
        <w:rPr>
          <w:rFonts w:ascii="Arial" w:cs="Arial" w:eastAsia="Arial" w:hAnsi="Arial"/>
          <w:sz w:val="29"/>
          <w:szCs w:val="29"/>
          <w:b w:val="1"/>
          <w:bCs w:val="1"/>
          <w:color w:val="auto"/>
          <w:vertAlign w:val="subscript"/>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Page</w:t>
      </w:r>
    </w:p>
    <w:p>
      <w:pPr>
        <w:spacing w:after="0" w:line="83" w:lineRule="exact"/>
        <w:rPr>
          <w:rFonts w:ascii="Arial" w:cs="Arial" w:eastAsia="Arial" w:hAnsi="Arial"/>
          <w:sz w:val="29"/>
          <w:szCs w:val="29"/>
          <w:b w:val="1"/>
          <w:bCs w:val="1"/>
          <w:color w:val="auto"/>
          <w:vertAlign w:val="subscript"/>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S-1</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S-5</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S-8</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S-9</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S-11</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-22</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-26</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-33</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-33</w:t>
      </w:r>
    </w:p>
    <w:p>
      <w:pPr>
        <w:spacing w:after="0" w:line="63" w:lineRule="exact"/>
        <w:rPr>
          <w:rFonts w:ascii="Arial" w:cs="Arial" w:eastAsia="Arial" w:hAnsi="Arial"/>
          <w:sz w:val="18"/>
          <w:szCs w:val="18"/>
          <w:color w:val="auto"/>
        </w:rPr>
      </w:pPr>
    </w:p>
    <w:p>
      <w:pPr>
        <w:ind w:left="160" w:hanging="107"/>
        <w:spacing w:after="0"/>
        <w:tabs>
          <w:tab w:leader="none" w:pos="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0000EE"/>
        </w:rPr>
        <w:t>S</w:t>
      </w:r>
      <w:r>
        <w:rPr>
          <w:rFonts w:ascii="Arial" w:cs="Arial" w:eastAsia="Arial" w:hAnsi="Arial"/>
          <w:sz w:val="18"/>
          <w:szCs w:val="18"/>
          <w:b w:val="1"/>
          <w:bCs w:val="1"/>
          <w:color w:val="auto"/>
        </w:rPr>
        <w:t>​</w:t>
      </w:r>
      <w:r>
        <w:rPr>
          <w:rFonts w:ascii="Arial" w:cs="Arial" w:eastAsia="Arial" w:hAnsi="Arial"/>
          <w:sz w:val="18"/>
          <w:szCs w:val="18"/>
          <w:color w:val="0000EE"/>
        </w:rPr>
        <w:t>-34</w:t>
      </w: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160" w:hanging="116"/>
        <w:spacing w:after="0"/>
        <w:tabs>
          <w:tab w:leader="none" w:pos="160" w:val="left"/>
        </w:tabs>
        <w:numPr>
          <w:ilvl w:val="1"/>
          <w:numId w:val="1"/>
        </w:numPr>
        <w:rPr>
          <w:rFonts w:ascii="Arial" w:cs="Arial" w:eastAsia="Arial" w:hAnsi="Arial"/>
          <w:sz w:val="29"/>
          <w:szCs w:val="29"/>
          <w:b w:val="1"/>
          <w:bCs w:val="1"/>
          <w:color w:val="auto"/>
          <w:vertAlign w:val="subscript"/>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Page</w:t>
      </w:r>
    </w:p>
    <w:p>
      <w:pPr>
        <w:spacing w:after="0" w:line="96" w:lineRule="exact"/>
        <w:rPr>
          <w:rFonts w:ascii="Arial" w:cs="Arial" w:eastAsia="Arial" w:hAnsi="Arial"/>
          <w:sz w:val="29"/>
          <w:szCs w:val="29"/>
          <w:b w:val="1"/>
          <w:bCs w:val="1"/>
          <w:color w:val="auto"/>
          <w:vertAlign w:val="subscript"/>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1</w:t>
      </w:r>
    </w:p>
    <w:p>
      <w:pPr>
        <w:spacing w:after="0" w:line="49"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7</w:t>
      </w:r>
    </w:p>
    <w:p>
      <w:pPr>
        <w:spacing w:after="0" w:line="49"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8</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10</w:t>
      </w:r>
    </w:p>
    <w:p>
      <w:pPr>
        <w:spacing w:after="0" w:line="49"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22</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23</w:t>
      </w:r>
    </w:p>
    <w:p>
      <w:pPr>
        <w:spacing w:after="0" w:line="49"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25</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26</w:t>
      </w:r>
    </w:p>
    <w:p>
      <w:pPr>
        <w:spacing w:after="0" w:line="63" w:lineRule="exact"/>
        <w:rPr>
          <w:rFonts w:ascii="Arial" w:cs="Arial" w:eastAsia="Arial" w:hAnsi="Arial"/>
          <w:sz w:val="18"/>
          <w:szCs w:val="18"/>
          <w:color w:val="auto"/>
        </w:rPr>
      </w:pPr>
    </w:p>
    <w:p>
      <w:pPr>
        <w:ind w:left="200" w:hanging="102"/>
        <w:spacing w:after="0"/>
        <w:tabs>
          <w:tab w:leader="none" w:pos="200" w:val="left"/>
        </w:tabs>
        <w:numPr>
          <w:ilvl w:val="2"/>
          <w:numId w:val="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-2539365</wp:posOffset>
            </wp:positionV>
            <wp:extent cx="197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-3764915</wp:posOffset>
            </wp:positionV>
            <wp:extent cx="224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7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-3422015</wp:posOffset>
            </wp:positionV>
            <wp:extent cx="224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7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-3079115</wp:posOffset>
            </wp:positionV>
            <wp:extent cx="224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979"/>
          </w:cols>
          <w:pgMar w:left="580" w:top="90" w:right="1440" w:bottom="1440" w:gutter="0" w:footer="0" w:header="0"/>
          <w:type w:val="continuous"/>
        </w:sectPr>
      </w:pPr>
    </w:p>
    <w:p>
      <w:pPr>
        <w:spacing w:after="0" w:line="1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96" w:lineRule="exact"/>
        <w:rPr>
          <w:sz w:val="20"/>
          <w:szCs w:val="20"/>
          <w:color w:val="auto"/>
        </w:rPr>
      </w:pPr>
    </w:p>
    <w:p>
      <w:pPr>
        <w:ind w:left="1280" w:right="419" w:firstLine="360"/>
        <w:spacing w:after="0" w:line="263" w:lineRule="auto"/>
        <w:rPr>
          <w:sz w:val="20"/>
          <w:szCs w:val="20"/>
          <w:color w:val="auto"/>
        </w:rPr>
      </w:pPr>
      <w:r>
        <w:rPr>
          <w:rFonts w:ascii="Arial" w:cs="Arial" w:eastAsia="Arial" w:hAnsi="Arial"/>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Waste Management, Inc.</w:t>
      </w:r>
    </w:p>
    <w:p>
      <w:pPr>
        <w:spacing w:after="0" w:line="162" w:lineRule="exact"/>
        <w:rPr>
          <w:sz w:val="20"/>
          <w:szCs w:val="20"/>
          <w:color w:val="auto"/>
        </w:rPr>
      </w:pPr>
    </w:p>
    <w:p>
      <w:pPr>
        <w:ind w:left="1280" w:right="679" w:firstLine="360"/>
        <w:spacing w:after="0" w:line="289"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business,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99"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 xml:space="preserve">Our principal executive offices are located at 800 Capitol Street, Suite 3000, Houston, Texas 77002. Our telephone number is (713) 512-6200. Our website address is </w:t>
      </w:r>
      <w:r>
        <w:rPr>
          <w:rFonts w:ascii="Arial" w:cs="Arial" w:eastAsia="Arial" w:hAnsi="Arial"/>
          <w:sz w:val="18"/>
          <w:szCs w:val="18"/>
          <w:i w:val="1"/>
          <w:iCs w:val="1"/>
          <w:color w:val="auto"/>
        </w:rPr>
        <w:t>www.wm.com</w:t>
      </w:r>
      <w:r>
        <w:rPr>
          <w:rFonts w:ascii="Arial" w:cs="Arial" w:eastAsia="Arial" w:hAnsi="Arial"/>
          <w:sz w:val="18"/>
          <w:szCs w:val="18"/>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9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Waste Management Holdings, Inc.</w:t>
      </w:r>
    </w:p>
    <w:p>
      <w:pPr>
        <w:spacing w:after="0" w:line="148" w:lineRule="exact"/>
        <w:rPr>
          <w:sz w:val="20"/>
          <w:szCs w:val="20"/>
          <w:color w:val="auto"/>
        </w:rPr>
      </w:pPr>
    </w:p>
    <w:p>
      <w:pPr>
        <w:ind w:left="1280" w:right="899" w:firstLine="360"/>
        <w:spacing w:after="0" w:line="263"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9"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$      aggregate principal amount of notes, consisting of the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following series: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      $      aggregate principal amount of    % Senior Notes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due 2029</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      $      aggregate principal amount of    % Senior Notes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due 2034</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Subsidiary Guarantees</w:t>
      </w:r>
      <w:r>
        <w:rPr>
          <w:sz w:val="20"/>
          <w:szCs w:val="20"/>
          <w:color w:val="auto"/>
        </w:rPr>
        <w:tab/>
      </w:r>
      <w:r>
        <w:rPr>
          <w:rFonts w:ascii="Arial" w:cs="Arial" w:eastAsia="Arial" w:hAnsi="Arial"/>
          <w:sz w:val="17"/>
          <w:szCs w:val="17"/>
          <w:color w:val="auto"/>
        </w:rPr>
        <w:t>WM Holdings will fully and unconditionally guarantee, on a senior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unsecured basis, the full and prompt payment of the principal and</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any premium and interest on the notes of each series, when and as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they become due and payable, whether at maturity or otherwise.</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2029 notes —         , 2029</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2034 notes —         , 2034</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2029 notes —     % per year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2034 notes —      % per year</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           and          of each year, beginning           ,</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2024.</w:t>
      </w:r>
    </w:p>
    <w:p>
      <w:pPr>
        <w:spacing w:after="0" w:line="103" w:lineRule="exact"/>
        <w:rPr>
          <w:sz w:val="20"/>
          <w:szCs w:val="20"/>
          <w:color w:val="auto"/>
        </w:rPr>
      </w:pPr>
    </w:p>
    <w:p>
      <w:pPr>
        <w:jc w:val="right"/>
        <w:ind w:right="399"/>
        <w:spacing w:after="0"/>
        <w:tabs>
          <w:tab w:leader="none" w:pos="516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 any time</w:t>
      </w:r>
    </w:p>
    <w:p>
      <w:pPr>
        <w:spacing w:after="0" w:line="23" w:lineRule="exact"/>
        <w:rPr>
          <w:sz w:val="20"/>
          <w:szCs w:val="20"/>
          <w:color w:val="auto"/>
        </w:rPr>
      </w:pPr>
    </w:p>
    <w:p>
      <w:pPr>
        <w:ind w:left="4300" w:right="599"/>
        <w:spacing w:after="0" w:line="260" w:lineRule="auto"/>
        <w:rPr>
          <w:sz w:val="20"/>
          <w:szCs w:val="20"/>
          <w:color w:val="auto"/>
        </w:rPr>
      </w:pPr>
      <w:r>
        <w:rPr>
          <w:rFonts w:ascii="Arial" w:cs="Arial" w:eastAsia="Arial" w:hAnsi="Arial"/>
          <w:sz w:val="18"/>
          <w:szCs w:val="18"/>
          <w:color w:val="auto"/>
        </w:rPr>
        <w:t>and from time to time in minimum principal amounts of $2,000 or any integral multiple of $1,000 in excess thereof.</w:t>
      </w:r>
    </w:p>
    <w:p>
      <w:pPr>
        <w:spacing w:after="0" w:line="104" w:lineRule="exact"/>
        <w:rPr>
          <w:sz w:val="20"/>
          <w:szCs w:val="20"/>
          <w:color w:val="auto"/>
        </w:rPr>
      </w:pPr>
    </w:p>
    <w:p>
      <w:pPr>
        <w:ind w:left="4300" w:right="419"/>
        <w:spacing w:after="0" w:line="268" w:lineRule="auto"/>
        <w:rPr>
          <w:sz w:val="20"/>
          <w:szCs w:val="20"/>
          <w:color w:val="auto"/>
        </w:rPr>
      </w:pPr>
      <w:r>
        <w:rPr>
          <w:rFonts w:ascii="Arial" w:cs="Arial" w:eastAsia="Arial" w:hAnsi="Arial"/>
          <w:sz w:val="17"/>
          <w:szCs w:val="17"/>
          <w:color w:val="auto"/>
        </w:rPr>
        <w:t>2029 notes — Prior to           , 2029, we may redeem the 2029 notes at our option, in whole or in part, at any time and from time to time, at a redemption price equal to the greater of: (1) (a) the sum of the present values of the remaining scheduled payments of principal and interest thereon discounted to the redemption date (assuming the 2029 notes matured on the applicable Par Call Date (as defined under “Description of Notes — Optional Redemption”)) on a semi-annual basis (assuming a 360-day year consisting of twelve 30-day months) at the Treasury Rate (as defined under “Description of Notes — Optional Redemption”) plus      basis points, less (b) interest accrued to the redemption date, and (2) 100% of the principal amount of the 2029 notes to be redeemed, plus, in either case, accrued and unpaid interest thereon to the redemption date.</w:t>
      </w:r>
    </w:p>
    <w:p>
      <w:pPr>
        <w:spacing w:after="0" w:line="119" w:lineRule="exact"/>
        <w:rPr>
          <w:sz w:val="20"/>
          <w:szCs w:val="20"/>
          <w:color w:val="auto"/>
        </w:rPr>
      </w:pPr>
    </w:p>
    <w:p>
      <w:pPr>
        <w:ind w:left="4300" w:right="419"/>
        <w:spacing w:after="0" w:line="257" w:lineRule="auto"/>
        <w:rPr>
          <w:sz w:val="20"/>
          <w:szCs w:val="20"/>
          <w:color w:val="auto"/>
        </w:rPr>
      </w:pPr>
      <w:r>
        <w:rPr>
          <w:rFonts w:ascii="Arial" w:cs="Arial" w:eastAsia="Arial" w:hAnsi="Arial"/>
          <w:sz w:val="18"/>
          <w:szCs w:val="18"/>
          <w:color w:val="auto"/>
        </w:rPr>
        <w:t>On or after           , 2029, we may redeem the 2029 notes at our option, in whole or in part, at any time and from time to time, at a redemption price equal to 100% of the principal amount of the 2029 notes to be redeemed, plus accrued and unpaid interest thereon to the redemption date.</w:t>
      </w:r>
    </w:p>
    <w:p>
      <w:pPr>
        <w:spacing w:after="0" w:line="120"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2034 notes — Prior to           , 2033, we may redeem the 2034</w:t>
      </w:r>
    </w:p>
    <w:p>
      <w:pPr>
        <w:spacing w:after="0" w:line="35"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notes at our option, in whole or in part, at any time and from time to</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time, at a redemption price equal to the greater of: (1) (a) the sum of</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the present values of the remaining scheduled payments of principal</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and interest thereon discounted to the redemption date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6"/>
              </w:rPr>
              <w:t>(assuming the 2034 notes matured on the applicable Par Call Date)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on a semi-annual basis (assuming a 360-day year consisting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5"/>
              </w:rPr>
              <w:t>twelve 30-day months) at the Treasury Rate plus      basis points,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4"/>
              </w:rPr>
              <w:t>less (b) interest accrued to the redemption date, and (2) 100%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principal amount of the 2034 notes to be redeemed, plus, in either</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case, accrued and unpaid interest thereon to the redemption date.</w:t>
            </w:r>
          </w:p>
        </w:tc>
      </w:tr>
      <w:tr>
        <w:trPr>
          <w:trHeight w:val="350"/>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On or after           , 2033, we may redeem the 2034 notes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7"/>
              </w:rPr>
              <w:t>our option, in whole or in part, at any time and from time to time,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a redemption price equal to 100% of the principal amount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2"/>
              </w:rPr>
              <w:t>2034 notes to be redeemed, plus accrued and unpaid interest thereon</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to the redemption date.</w:t>
            </w:r>
          </w:p>
        </w:tc>
      </w:tr>
      <w:tr>
        <w:trPr>
          <w:trHeight w:val="337"/>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See “Description of Notes — Optional Redemption” in this</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prospectus supplement.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If a change of control triggering event occurs, holders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9"/>
              </w:rPr>
              <w:t>of each series may require us to purchase all or a portion of such</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5"/>
              </w:rPr>
              <w:t>holders’ notes at a price equal to 101% of the principal amount, plus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5"/>
              </w:rPr>
              <w:t>accrued interest, if any, to the date of purchase. See “Description of</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9"/>
              </w:rPr>
              <w:t>Notes — Change of Control Offer” in this prospectus supplement.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Ranking</w:t>
            </w: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The notes and the guarantees will constitute the senior unsecured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9"/>
              </w:rPr>
              <w:t>debt of Waste Management, Inc. and WM Holdings, respectively,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7"/>
              </w:rPr>
              <w:t>and will rank equally with all of our and its other existing and future</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senior obligations from time to time outstanding.</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Covenants</w:t>
            </w: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5"/>
              </w:rPr>
              <w:t>We will issue the notes under an indenture containing covenants for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your benefit. These covenants restrict our ability, with certain</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exceptions, to:</w:t>
            </w:r>
          </w:p>
        </w:tc>
      </w:tr>
      <w:tr>
        <w:trPr>
          <w:trHeight w:val="365"/>
        </w:trPr>
        <w:tc>
          <w:tcPr>
            <w:tcW w:w="244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80" w:type="dxa"/>
            <w:vAlign w:val="bottom"/>
          </w:tcPr>
          <w:p>
            <w:pPr>
              <w:ind w:left="160"/>
              <w:spacing w:after="0"/>
              <w:rPr>
                <w:sz w:val="20"/>
                <w:szCs w:val="20"/>
                <w:color w:val="auto"/>
              </w:rPr>
            </w:pPr>
            <w:r>
              <w:rPr>
                <w:rFonts w:ascii="Arial" w:cs="Arial" w:eastAsia="Arial" w:hAnsi="Arial"/>
                <w:sz w:val="18"/>
                <w:szCs w:val="18"/>
                <w:color w:val="auto"/>
              </w:rPr>
              <w:t>create, incur or assume debt secured by liens;</w:t>
            </w:r>
          </w:p>
        </w:tc>
      </w:tr>
      <w:tr>
        <w:trPr>
          <w:trHeight w:val="365"/>
        </w:trPr>
        <w:tc>
          <w:tcPr>
            <w:tcW w:w="244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80" w:type="dxa"/>
            <w:vAlign w:val="bottom"/>
          </w:tcPr>
          <w:p>
            <w:pPr>
              <w:ind w:left="160"/>
              <w:spacing w:after="0"/>
              <w:rPr>
                <w:sz w:val="20"/>
                <w:szCs w:val="20"/>
                <w:color w:val="auto"/>
              </w:rPr>
            </w:pPr>
            <w:r>
              <w:rPr>
                <w:rFonts w:ascii="Arial" w:cs="Arial" w:eastAsia="Arial" w:hAnsi="Arial"/>
                <w:sz w:val="18"/>
                <w:szCs w:val="18"/>
                <w:color w:val="auto"/>
              </w:rPr>
              <w:t>engage in sale and leaseback transactions; and</w:t>
            </w:r>
          </w:p>
        </w:tc>
      </w:tr>
      <w:tr>
        <w:trPr>
          <w:trHeight w:val="350"/>
        </w:trPr>
        <w:tc>
          <w:tcPr>
            <w:tcW w:w="244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4980" w:type="dxa"/>
            <w:vAlign w:val="bottom"/>
          </w:tcPr>
          <w:p>
            <w:pPr>
              <w:ind w:left="160"/>
              <w:spacing w:after="0"/>
              <w:rPr>
                <w:sz w:val="20"/>
                <w:szCs w:val="20"/>
                <w:color w:val="auto"/>
              </w:rPr>
            </w:pPr>
            <w:r>
              <w:rPr>
                <w:rFonts w:ascii="Arial" w:cs="Arial" w:eastAsia="Arial" w:hAnsi="Arial"/>
                <w:sz w:val="18"/>
                <w:szCs w:val="18"/>
                <w:color w:val="auto"/>
              </w:rPr>
              <w:t>merge, consolidate or transfer all or substantially all of our</w:t>
            </w:r>
          </w:p>
        </w:tc>
      </w:tr>
      <w:tr>
        <w:trPr>
          <w:trHeight w:val="230"/>
        </w:trPr>
        <w:tc>
          <w:tcPr>
            <w:tcW w:w="2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assets.</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Use of Proceeds</w:t>
            </w: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We expect the net proceeds from the offering of the notes to be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7"/>
              </w:rPr>
              <w:t>$      , after deducting the underwriting discounts and estimated</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expenses of the offering that we will pay.</w:t>
            </w:r>
          </w:p>
        </w:tc>
      </w:tr>
      <w:tr>
        <w:trPr>
          <w:trHeight w:val="337"/>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We intend to use the net proceeds from the offering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(i) to repay borrowings under our commercial paper program used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for working capital, which is fully supported by our $3.5 billion</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revolving credit facility, (ii) to repay borrowings under our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$1.0 billion, two-year, U.S. term credit agreement maturing</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May 2024 (“Term Loan”) and (iii) for general corporate purposes.</w:t>
            </w:r>
          </w:p>
        </w:tc>
      </w:tr>
      <w:tr>
        <w:trPr>
          <w:trHeight w:val="365"/>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See “Use of Proceeds” in this prospectus supplement.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Conflicts of Interest</w:t>
            </w: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7"/>
              </w:rPr>
              <w:t>Certain underwriters or their respective affiliates in this offering are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8"/>
              </w:rPr>
              <w:t>lenders to us under our $3.5 billion revolving credit facility and our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6"/>
              </w:rPr>
              <w:t>Term Loan and may receive 5% or more of the net proceeds of this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7"/>
              </w:rPr>
              <w:t>offering by reason of the repayment of amounts outstanding under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our commercial paper program, which is fully supported by such</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w w:val="99"/>
              </w:rPr>
              <w:t>credit facility, and our Term Loan. Accordingly, such underwriters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are deemed to have a “conflict of interest” within the meaning of</w:t>
            </w:r>
          </w:p>
        </w:tc>
      </w:tr>
      <w:tr>
        <w:trPr>
          <w:trHeight w:val="230"/>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Arial" w:cs="Arial" w:eastAsia="Arial" w:hAnsi="Arial"/>
                <w:sz w:val="18"/>
                <w:szCs w:val="18"/>
                <w:color w:val="auto"/>
              </w:rPr>
              <w:t>Rule 5121 of the Financial Industry Regulatory</w:t>
            </w: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Authority, Inc. (“FINRA Rule 5121”), and this offering will be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conducted in accordance with FINRA Rule 5121, which requires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prominent disclosure of the nature of the conflict of interest in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prospectus supplement. Pursuant to FINRA Rule 5121(a)(1)(C), the</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appointment of a “qualified independent underwriter” is not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necessary in connection with this offering as the notes offered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hereby are “investment grade rated” ​(as defined in FINRA</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Rule 5121). See “Underwriting (Conflicts of Interest) — Conflicts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of Interest” in this prospectus supplement.</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Further Issuances</w:t>
      </w:r>
      <w:r>
        <w:rPr>
          <w:sz w:val="20"/>
          <w:szCs w:val="20"/>
          <w:color w:val="auto"/>
        </w:rPr>
        <w:tab/>
      </w:r>
      <w:r>
        <w:rPr>
          <w:rFonts w:ascii="Arial" w:cs="Arial" w:eastAsia="Arial" w:hAnsi="Arial"/>
          <w:sz w:val="16"/>
          <w:szCs w:val="16"/>
          <w:color w:val="auto"/>
        </w:rPr>
        <w:t>We may create and issue additional notes of each series ranking</w:t>
      </w:r>
    </w:p>
    <w:p>
      <w:pPr>
        <w:spacing w:after="0" w:line="23" w:lineRule="exact"/>
        <w:rPr>
          <w:sz w:val="20"/>
          <w:szCs w:val="20"/>
          <w:color w:val="auto"/>
        </w:rPr>
      </w:pPr>
    </w:p>
    <w:p>
      <w:pPr>
        <w:ind w:left="4300" w:right="399"/>
        <w:spacing w:after="0" w:line="268" w:lineRule="auto"/>
        <w:rPr>
          <w:sz w:val="20"/>
          <w:szCs w:val="20"/>
          <w:color w:val="auto"/>
        </w:rPr>
      </w:pPr>
      <w:r>
        <w:rPr>
          <w:rFonts w:ascii="Arial" w:cs="Arial" w:eastAsia="Arial" w:hAnsi="Arial"/>
          <w:sz w:val="17"/>
          <w:szCs w:val="17"/>
          <w:color w:val="auto"/>
        </w:rPr>
        <w:t>equally and ratably with the notes of such series offered by this prospectus supplement in all respects, so that such additional notes will be consolidated and form a single series with the notes of such series offered by this prospectus supplement and will have the same terms, as to status, redemption or otherwise except for the issue date, the initial interest payment date, if applicable, and the payment of interest accruing prior to the issue date of such additional notes; provided, however, that a separate CUSIP or ISIN will be issued for the additional notes unless the notes and the additional notes are fungible for U.S. federal income tax purposes.</w:t>
      </w:r>
    </w:p>
    <w:p>
      <w:pPr>
        <w:spacing w:after="0" w:line="71"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page S-5 of this prospectus supplement and page 8 of the</w:t>
      </w:r>
    </w:p>
    <w:p>
      <w:pPr>
        <w:spacing w:after="0" w:line="23" w:lineRule="exact"/>
        <w:rPr>
          <w:sz w:val="20"/>
          <w:szCs w:val="20"/>
          <w:color w:val="auto"/>
        </w:rPr>
      </w:pPr>
    </w:p>
    <w:p>
      <w:pPr>
        <w:ind w:left="4300" w:right="639"/>
        <w:spacing w:after="0" w:line="260" w:lineRule="auto"/>
        <w:rPr>
          <w:sz w:val="20"/>
          <w:szCs w:val="20"/>
          <w:color w:val="auto"/>
        </w:rPr>
      </w:pPr>
      <w:r>
        <w:rPr>
          <w:rFonts w:ascii="Arial" w:cs="Arial" w:eastAsia="Arial" w:hAnsi="Arial"/>
          <w:sz w:val="18"/>
          <w:szCs w:val="18"/>
          <w:color w:val="auto"/>
        </w:rPr>
        <w:t>accompanying prospectus for a discussion of the risks you should consider before investing in the notes.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63" w:lineRule="auto"/>
        <w:rPr>
          <w:rFonts w:ascii="Arial" w:cs="Arial" w:eastAsia="Arial" w:hAnsi="Arial"/>
          <w:sz w:val="18"/>
          <w:szCs w:val="18"/>
          <w:i w:val="1"/>
          <w:iCs w:val="1"/>
          <w:color w:val="000000"/>
        </w:rPr>
      </w:pPr>
      <w:r>
        <w:rPr>
          <w:rFonts w:ascii="Arial" w:cs="Arial" w:eastAsia="Arial" w:hAnsi="Arial"/>
          <w:sz w:val="18"/>
          <w:szCs w:val="18"/>
          <w:i w:val="1"/>
          <w:iCs w:val="1"/>
          <w:color w:val="auto"/>
        </w:rPr>
        <w:t xml:space="preserve">You should carefully consider the risk factors identified in Part I, Item 1A., “Risk Factors,” of our </w:t>
      </w:r>
      <w:hyperlink r:id="rId41">
        <w:r>
          <w:rPr>
            <w:rFonts w:ascii="Arial" w:cs="Arial" w:eastAsia="Arial" w:hAnsi="Arial"/>
            <w:sz w:val="18"/>
            <w:szCs w:val="18"/>
            <w:i w:val="1"/>
            <w:iCs w:val="1"/>
            <w:u w:val="single" w:color="auto"/>
            <w:color w:val="0000EE"/>
          </w:rPr>
          <w:t>Annual Report on Form 10-K for the year ended December 31, 2022</w:t>
        </w:r>
        <w:r>
          <w:rPr>
            <w:rFonts w:ascii="Arial" w:cs="Arial" w:eastAsia="Arial" w:hAnsi="Arial"/>
            <w:sz w:val="18"/>
            <w:szCs w:val="18"/>
            <w:i w:val="1"/>
            <w:iCs w:val="1"/>
            <w:color w:val="0000EE"/>
          </w:rPr>
          <w:t xml:space="preserve"> </w:t>
        </w:r>
      </w:hyperlink>
      <w:r>
        <w:rPr>
          <w:rFonts w:ascii="Arial" w:cs="Arial" w:eastAsia="Arial" w:hAnsi="Arial"/>
          <w:sz w:val="18"/>
          <w:szCs w:val="18"/>
          <w:i w:val="1"/>
          <w:iCs w:val="1"/>
          <w:color w:val="000000"/>
        </w:rPr>
        <w:t>and</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in Part II, Item 1A., “Risk</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 xml:space="preserve">Factors,” of our </w:t>
      </w:r>
      <w:hyperlink r:id="rId42">
        <w:r>
          <w:rPr>
            <w:rFonts w:ascii="Arial" w:cs="Arial" w:eastAsia="Arial" w:hAnsi="Arial"/>
            <w:sz w:val="18"/>
            <w:szCs w:val="18"/>
            <w:i w:val="1"/>
            <w:iCs w:val="1"/>
            <w:u w:val="single" w:color="auto"/>
            <w:color w:val="0000EE"/>
          </w:rPr>
          <w:t>Quarterly Report on Form 10-Q for the quarter ended March 31, 2023</w:t>
        </w:r>
        <w:r>
          <w:rPr>
            <w:rFonts w:ascii="Arial" w:cs="Arial" w:eastAsia="Arial" w:hAnsi="Arial"/>
            <w:sz w:val="18"/>
            <w:szCs w:val="18"/>
            <w:i w:val="1"/>
            <w:iCs w:val="1"/>
            <w:u w:val="single" w:color="auto"/>
            <w:color w:val="000000"/>
          </w:rPr>
          <w:t xml:space="preserve"> </w:t>
        </w:r>
      </w:hyperlink>
      <w:r>
        <w:rPr>
          <w:rFonts w:ascii="Arial" w:cs="Arial" w:eastAsia="Arial" w:hAnsi="Arial"/>
          <w:sz w:val="18"/>
          <w:szCs w:val="18"/>
          <w:i w:val="1"/>
          <w:iCs w:val="1"/>
          <w:color w:val="000000"/>
        </w:rPr>
        <w:t>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9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7"/>
          <w:szCs w:val="17"/>
          <w:color w:val="auto"/>
        </w:rPr>
        <w:t>We have substantial indebtedness. At June 30, 2023, our ratio of total debt to total capitalization was 68.9%, and we had $15.4 billion of total debt. In addition, as of June 30, 2023, we had approximately $981 million of total letters of credit outstanding under our various facilities and certain bi-lateral agreements, including $179 million of such outstanding letters of credit that were issued under and supported by our $3.5 billion revolving credit facility. Our indebtedness that bears interest at a floating rate makes us vulnerable to changes in interest rates. As of June 30, 2023, we had approximately $3.6 billion of debt maturing within the next 12 months, including: (i) $1.3 billion of short-term borrowings under our commercial paper program (net of related discount on issuance); (ii) our $1.0 billion Term Loan;</w:t>
      </w:r>
    </w:p>
    <w:p>
      <w:pPr>
        <w:spacing w:after="0" w:line="5" w:lineRule="exact"/>
        <w:rPr>
          <w:sz w:val="20"/>
          <w:szCs w:val="20"/>
          <w:color w:val="auto"/>
        </w:rPr>
      </w:pPr>
    </w:p>
    <w:p>
      <w:pPr>
        <w:ind w:left="1260" w:right="419"/>
        <w:spacing w:after="0" w:line="276" w:lineRule="auto"/>
        <w:tabs>
          <w:tab w:leader="none" w:pos="1596" w:val="left"/>
        </w:tabs>
        <w:numPr>
          <w:ilvl w:val="0"/>
          <w:numId w:val="2"/>
        </w:numPr>
        <w:rPr>
          <w:rFonts w:ascii="Arial" w:cs="Arial" w:eastAsia="Arial" w:hAnsi="Arial"/>
          <w:sz w:val="17"/>
          <w:szCs w:val="17"/>
          <w:color w:val="auto"/>
        </w:rPr>
      </w:pPr>
      <w:r>
        <w:rPr>
          <w:rFonts w:ascii="Arial" w:cs="Arial" w:eastAsia="Arial" w:hAnsi="Arial"/>
          <w:sz w:val="17"/>
          <w:szCs w:val="17"/>
          <w:color w:val="auto"/>
        </w:rPr>
        <w:t>$983 million of tax-exempt bonds with term interest rate periods that expire within the next 12 months, which is prior to their scheduled maturities; (iv) $156 million of 3.5% senior notes that mature in May 2024; and (v) $172 million of other debt with scheduled maturities within the next 12 months, including</w:t>
      </w:r>
    </w:p>
    <w:p>
      <w:pPr>
        <w:ind w:left="1260" w:right="559"/>
        <w:spacing w:after="0" w:line="276" w:lineRule="auto"/>
        <w:rPr>
          <w:rFonts w:ascii="Arial" w:cs="Arial" w:eastAsia="Arial" w:hAnsi="Arial"/>
          <w:sz w:val="17"/>
          <w:szCs w:val="17"/>
          <w:color w:val="auto"/>
        </w:rPr>
      </w:pPr>
      <w:r>
        <w:rPr>
          <w:rFonts w:ascii="Arial" w:cs="Arial" w:eastAsia="Arial" w:hAnsi="Arial"/>
          <w:sz w:val="18"/>
          <w:szCs w:val="18"/>
          <w:color w:val="auto"/>
        </w:rPr>
        <w:t>$55 million of tax-exempt bonds. Our level of indebtedness and the covenants contained in the agreements governing our debt could have important consequences, including:</w:t>
      </w:r>
    </w:p>
    <w:p>
      <w:pPr>
        <w:spacing w:after="0" w:line="90" w:lineRule="exact"/>
        <w:rPr>
          <w:rFonts w:ascii="Arial" w:cs="Arial" w:eastAsia="Arial" w:hAnsi="Arial"/>
          <w:sz w:val="17"/>
          <w:szCs w:val="17"/>
          <w:color w:val="auto"/>
        </w:rPr>
      </w:pPr>
    </w:p>
    <w:p>
      <w:pPr>
        <w:ind w:left="1800" w:right="839" w:hanging="180"/>
        <w:spacing w:after="0" w:line="263"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75"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75" w:lineRule="exact"/>
        <w:rPr>
          <w:rFonts w:ascii="Arial" w:cs="Arial" w:eastAsia="Arial" w:hAnsi="Arial"/>
          <w:sz w:val="18"/>
          <w:szCs w:val="18"/>
          <w:color w:val="auto"/>
        </w:rPr>
      </w:pPr>
    </w:p>
    <w:p>
      <w:pPr>
        <w:jc w:val="both"/>
        <w:ind w:left="1800" w:right="1039" w:hanging="180"/>
        <w:spacing w:after="0" w:line="263"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89" w:lineRule="exact"/>
        <w:rPr>
          <w:rFonts w:ascii="Arial" w:cs="Arial" w:eastAsia="Arial" w:hAnsi="Arial"/>
          <w:sz w:val="18"/>
          <w:szCs w:val="18"/>
          <w:color w:val="auto"/>
        </w:rPr>
      </w:pPr>
    </w:p>
    <w:p>
      <w:pPr>
        <w:ind w:left="1800" w:right="779" w:hanging="180"/>
        <w:spacing w:after="0" w:line="277"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103" w:lineRule="exact"/>
        <w:rPr>
          <w:sz w:val="20"/>
          <w:szCs w:val="20"/>
          <w:color w:val="auto"/>
        </w:rPr>
      </w:pPr>
    </w:p>
    <w:p>
      <w:pPr>
        <w:ind w:left="1260" w:right="419" w:firstLine="360"/>
        <w:spacing w:after="0" w:line="283" w:lineRule="auto"/>
        <w:rPr>
          <w:sz w:val="20"/>
          <w:szCs w:val="20"/>
          <w:color w:val="auto"/>
        </w:rPr>
      </w:pPr>
      <w:r>
        <w:rPr>
          <w:rFonts w:ascii="Arial" w:cs="Arial" w:eastAsia="Arial" w:hAnsi="Arial"/>
          <w:sz w:val="17"/>
          <w:szCs w:val="17"/>
          <w:color w:val="auto"/>
        </w:rPr>
        <w:t>We are not prohibited under the indenture governing the notes from incurring additional indebtedness. Although our $3.5 billion revolving credit facility and our Term Loan require us to maintain a specified ratio of Total Debt to EBITDA (as defined in each of our $3.5 billion revolving credit facility and our Term Loan),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w:t>
      </w:r>
    </w:p>
    <w:p>
      <w:pPr>
        <w:sectPr>
          <w:pgSz w:w="11900" w:h="16838" w:orient="portrait"/>
          <w:cols w:equalWidth="0" w:num="1">
            <w:col w:w="9879"/>
          </w:cols>
          <w:pgMar w:left="580" w:top="90"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a holding company and we depend upon cash distributions from our subsidiaries to service our debt.</w:t>
      </w:r>
    </w:p>
    <w:p>
      <w:pPr>
        <w:spacing w:after="0" w:line="19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Downgrades in our credit ratings or changes in the debt markets may adversely affect the market price of the notes.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market price for the notes will depend on a number of factors, including:</w:t>
      </w:r>
    </w:p>
    <w:p>
      <w:pPr>
        <w:spacing w:after="0" w:line="117"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ratings with major credit rating agencies;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condition, operating performance and future prospects;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condition of the financial markets and global and domestic economies.</w:t>
      </w:r>
    </w:p>
    <w:p>
      <w:pPr>
        <w:spacing w:after="0" w:line="14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notes will be effectively subordinated to certain of our subsidiaries’ debt and our secured debt.</w:t>
      </w:r>
    </w:p>
    <w:p>
      <w:pPr>
        <w:spacing w:after="0" w:line="16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June 30, 2023 was $260 million. As of June 30, 2023, our operating subsidiaries had $2.1 billion of indebtedness and WM Holdings had $223 million of long-term debt (excluding guarantees of $9.2 billion of our senior debt), in each case excluding intercompany loans. For a description of the ranking of the notes, see “Description of Notes — Ranking” in this prospectus supplement.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15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88" w:lineRule="exact"/>
        <w:rPr>
          <w:sz w:val="20"/>
          <w:szCs w:val="20"/>
          <w:color w:val="auto"/>
        </w:rPr>
      </w:pPr>
    </w:p>
    <w:p>
      <w:pPr>
        <w:ind w:left="1260" w:right="39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0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not be able to sell the notes for a profit or at all.</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1279" w:firstLine="360"/>
        <w:spacing w:after="0" w:line="308" w:lineRule="auto"/>
        <w:rPr>
          <w:sz w:val="20"/>
          <w:szCs w:val="20"/>
          <w:color w:val="auto"/>
        </w:rPr>
      </w:pPr>
      <w:r>
        <w:rPr>
          <w:rFonts w:ascii="Arial" w:cs="Arial" w:eastAsia="Arial" w:hAnsi="Arial"/>
          <w:sz w:val="17"/>
          <w:szCs w:val="17"/>
          <w:color w:val="auto"/>
        </w:rPr>
        <w:t>We expect the net proceeds from the offering of the notes to be $      , after deducting the underwriting discounts and estimated expenses of the offering that we will pay.</w:t>
      </w:r>
    </w:p>
    <w:p>
      <w:pPr>
        <w:spacing w:after="0" w:line="79"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We intend to use the net proceeds from the offering of the notes (i) to repay borrowings under our commercial paper program used for working capital, which is fully supported by our $3.5 billion revolving credit facility, (ii) to repay borrowings under our Term Loan and (iii) for general corporate purposes.</w:t>
      </w:r>
    </w:p>
    <w:p>
      <w:pPr>
        <w:spacing w:after="0" w:line="8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Certain underwriters or their respective affiliates in this offering are lenders to us under our $3.5 billion revolving credit facility and our Term Loan and may receive 5% or more of the net proceeds of this offering by reason of the repayment of amounts outstanding under our commercial paper program, which is fully supported by such credit facility, and our Term Loan.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27" w:lineRule="exact"/>
        <w:rPr>
          <w:sz w:val="20"/>
          <w:szCs w:val="20"/>
          <w:color w:val="auto"/>
        </w:rPr>
      </w:pPr>
    </w:p>
    <w:p>
      <w:pPr>
        <w:jc w:val="both"/>
        <w:ind w:left="1260" w:right="679" w:firstLine="360"/>
        <w:spacing w:after="0" w:line="286" w:lineRule="auto"/>
        <w:rPr>
          <w:sz w:val="20"/>
          <w:szCs w:val="20"/>
          <w:color w:val="auto"/>
        </w:rPr>
      </w:pPr>
      <w:r>
        <w:rPr>
          <w:rFonts w:ascii="Arial" w:cs="Arial" w:eastAsia="Arial" w:hAnsi="Arial"/>
          <w:sz w:val="17"/>
          <w:szCs w:val="17"/>
          <w:color w:val="auto"/>
        </w:rPr>
        <w:t>We expect the sales of the 2029 notes and the 2034 notes will take place concurrently. However, the sales of the 2029 notes and the 2034 notes are not conditioned upon each other, and we may consummate the sale of one series and not the other or consummate the sales at different times.</w:t>
      </w:r>
    </w:p>
    <w:p>
      <w:pPr>
        <w:spacing w:after="0" w:line="16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Commercial Paper Program</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July 25, 2023, we had $1.165 billion of outstanding borrowings under our commercial paper program with a weighted average interest rate of 5.5% and a weighted average maturity of 34.39 days. The proceeds of our commercial paper program were used for general corporate purposes.</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Term Loan</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May 2022, we entered into our $1.0 billion Term Loan, which has a maturity date of May 27, 2024. As of July 25, 2023, we had $1.0 billion of outstanding borrowings under our Term Loan with an interest rate of 5.9%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following table sets forth our consolidated cash and cash equivalents and consolidated capitalization as of June 30, 2023 on an actual basis and as adjusted to give effect to the offering of the notes and the application of the net proceeds thereof (i) to repay borrowings under our commercial paper program used for working capital, which is fully supported by our $3.5 billion revolving credit facility, (ii) to repay borrowings under our Term Loan and (iii) for general corporate purposes.</w:t>
      </w:r>
    </w:p>
    <w:p>
      <w:pPr>
        <w:spacing w:after="0" w:line="109"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080" w:type="dxa"/>
            <w:vAlign w:val="bottom"/>
          </w:tcPr>
          <w:p>
            <w:pPr>
              <w:spacing w:after="0"/>
              <w:rPr>
                <w:sz w:val="20"/>
                <w:szCs w:val="20"/>
                <w:color w:val="auto"/>
              </w:rPr>
            </w:pPr>
            <w:r>
              <w:rPr>
                <w:rFonts w:ascii="Arial" w:cs="Arial" w:eastAsia="Arial" w:hAnsi="Arial"/>
                <w:sz w:val="14"/>
                <w:szCs w:val="14"/>
                <w:b w:val="1"/>
                <w:bCs w:val="1"/>
                <w:color w:val="auto"/>
              </w:rPr>
              <w:t>​</w:t>
            </w:r>
          </w:p>
        </w:tc>
        <w:tc>
          <w:tcPr>
            <w:tcW w:w="3120" w:type="dxa"/>
            <w:vAlign w:val="bottom"/>
          </w:tcPr>
          <w:p>
            <w:pPr>
              <w:ind w:left="30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 2023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6"/>
        </w:trPr>
        <w:tc>
          <w:tcPr>
            <w:tcW w:w="3080" w:type="dxa"/>
            <w:vAlign w:val="bottom"/>
          </w:tcPr>
          <w:p>
            <w:pPr>
              <w:spacing w:after="0"/>
              <w:rPr>
                <w:sz w:val="20"/>
                <w:szCs w:val="20"/>
                <w:color w:val="auto"/>
              </w:rPr>
            </w:pPr>
            <w:r>
              <w:rPr>
                <w:rFonts w:ascii="Arial" w:cs="Arial" w:eastAsia="Arial" w:hAnsi="Arial"/>
                <w:sz w:val="14"/>
                <w:szCs w:val="14"/>
                <w:b w:val="1"/>
                <w:bCs w:val="1"/>
                <w:color w:val="auto"/>
              </w:rPr>
              <w:t>​</w:t>
            </w:r>
          </w:p>
        </w:tc>
        <w:tc>
          <w:tcPr>
            <w:tcW w:w="3120" w:type="dxa"/>
            <w:vAlign w:val="bottom"/>
          </w:tcPr>
          <w:p>
            <w:pPr>
              <w:ind w:left="30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Actual</w:t>
            </w:r>
          </w:p>
        </w:tc>
        <w:tc>
          <w:tcPr>
            <w:tcW w:w="1080" w:type="dxa"/>
            <w:vAlign w:val="bottom"/>
            <w:gridSpan w:val="2"/>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As Adjusted</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3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3080" w:type="dxa"/>
            <w:vAlign w:val="bottom"/>
          </w:tcPr>
          <w:p>
            <w:pPr>
              <w:spacing w:after="0"/>
              <w:rPr>
                <w:sz w:val="20"/>
                <w:szCs w:val="20"/>
                <w:color w:val="auto"/>
              </w:rPr>
            </w:pPr>
            <w:r>
              <w:rPr>
                <w:rFonts w:ascii="Arial" w:cs="Arial" w:eastAsia="Arial" w:hAnsi="Arial"/>
                <w:sz w:val="14"/>
                <w:szCs w:val="14"/>
                <w:b w:val="1"/>
                <w:bCs w:val="1"/>
                <w:color w:val="auto"/>
              </w:rPr>
              <w:t>​</w:t>
            </w:r>
          </w:p>
        </w:tc>
        <w:tc>
          <w:tcPr>
            <w:tcW w:w="3120" w:type="dxa"/>
            <w:vAlign w:val="bottom"/>
          </w:tcPr>
          <w:p>
            <w:pPr>
              <w:ind w:left="30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4"/>
          </w:tcPr>
          <w:p>
            <w:pPr>
              <w:jc w:val="right"/>
              <w:spacing w:after="0" w:line="292" w:lineRule="exact"/>
              <w:rPr>
                <w:sz w:val="20"/>
                <w:szCs w:val="20"/>
                <w:color w:val="auto"/>
              </w:rPr>
            </w:pPr>
            <w:r>
              <w:rPr>
                <w:rFonts w:ascii="Arial" w:cs="Arial" w:eastAsia="Arial" w:hAnsi="Arial"/>
                <w:sz w:val="14"/>
                <w:szCs w:val="14"/>
                <w:b w:val="1"/>
                <w:bCs w:val="1"/>
                <w:color w:val="auto"/>
                <w:w w:val="92"/>
              </w:rPr>
              <w:t>(Unaudited, Dollars in millions)</w:t>
            </w:r>
            <w:r>
              <w:rPr>
                <w:rFonts w:ascii="Arial" w:cs="Arial" w:eastAsia="Arial" w:hAnsi="Arial"/>
                <w:sz w:val="28"/>
                <w:szCs w:val="28"/>
                <w:b w:val="1"/>
                <w:bCs w:val="1"/>
                <w:color w:val="auto"/>
                <w:w w:val="92"/>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Commercial paper program</w:t>
      </w:r>
      <w:r>
        <w:rPr>
          <w:rFonts w:ascii="Arial" w:cs="Arial" w:eastAsia="Arial" w:hAnsi="Arial"/>
          <w:sz w:val="23"/>
          <w:szCs w:val="23"/>
          <w:color w:val="auto"/>
          <w:vertAlign w:val="superscript"/>
        </w:rPr>
        <w:t>(a)</w:t>
      </w:r>
    </w:p>
    <w:p>
      <w:pPr>
        <w:spacing w:after="0" w:line="4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$3.5 billion revolving credit facility</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Term Loan</w:t>
      </w:r>
      <w:r>
        <w:rPr>
          <w:rFonts w:ascii="Arial" w:cs="Arial" w:eastAsia="Arial" w:hAnsi="Arial"/>
          <w:sz w:val="23"/>
          <w:szCs w:val="23"/>
          <w:color w:val="auto"/>
          <w:vertAlign w:val="superscript"/>
        </w:rPr>
        <w:t>(b)</w:t>
      </w:r>
    </w:p>
    <w:p>
      <w:pPr>
        <w:spacing w:after="0" w:line="4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Senior notes, maturing through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620" w:hanging="179"/>
        <w:spacing w:after="0" w:line="277" w:lineRule="auto"/>
        <w:rPr>
          <w:sz w:val="20"/>
          <w:szCs w:val="20"/>
          <w:color w:val="auto"/>
        </w:rPr>
      </w:pPr>
      <w:r>
        <w:rPr>
          <w:rFonts w:ascii="Arial" w:cs="Arial" w:eastAsia="Arial" w:hAnsi="Arial"/>
          <w:sz w:val="18"/>
          <w:szCs w:val="18"/>
          <w:color w:val="auto"/>
        </w:rPr>
        <w:t>      % Senior Notes due 2029 offered hereby (including unamortized discount)</w:t>
      </w:r>
    </w:p>
    <w:p>
      <w:pPr>
        <w:spacing w:after="0" w:line="8" w:lineRule="exact"/>
        <w:rPr>
          <w:sz w:val="20"/>
          <w:szCs w:val="20"/>
          <w:color w:val="auto"/>
        </w:rPr>
      </w:pPr>
    </w:p>
    <w:p>
      <w:pPr>
        <w:ind w:left="1620" w:hanging="179"/>
        <w:spacing w:after="0" w:line="277" w:lineRule="auto"/>
        <w:rPr>
          <w:sz w:val="20"/>
          <w:szCs w:val="20"/>
          <w:color w:val="auto"/>
        </w:rPr>
      </w:pPr>
      <w:r>
        <w:rPr>
          <w:rFonts w:ascii="Arial" w:cs="Arial" w:eastAsia="Arial" w:hAnsi="Arial"/>
          <w:sz w:val="18"/>
          <w:szCs w:val="18"/>
          <w:color w:val="auto"/>
        </w:rPr>
        <w:t>      % Senior Notes due 2034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Canadian senior notes, C$500 million maturing September 2026</w:t>
      </w:r>
      <w:r>
        <w:rPr>
          <w:rFonts w:ascii="Arial" w:cs="Arial" w:eastAsia="Arial" w:hAnsi="Arial"/>
          <w:sz w:val="23"/>
          <w:szCs w:val="23"/>
          <w:color w:val="auto"/>
          <w:vertAlign w:val="superscript"/>
        </w:rPr>
        <w:t>(c)</w:t>
      </w:r>
    </w:p>
    <w:p>
      <w:pPr>
        <w:spacing w:after="0" w:line="4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Tax-exempt bonds, maturing through 2048</w:t>
      </w:r>
      <w:r>
        <w:rPr>
          <w:rFonts w:ascii="Arial" w:cs="Arial" w:eastAsia="Arial" w:hAnsi="Arial"/>
          <w:sz w:val="23"/>
          <w:szCs w:val="23"/>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Financing leases and other, maturing through 2071</w:t>
      </w:r>
    </w:p>
    <w:p>
      <w:pPr>
        <w:spacing w:after="0" w:line="4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Debt issuance costs, discounts and other</w:t>
      </w:r>
      <w:r>
        <w:rPr>
          <w:rFonts w:ascii="Arial" w:cs="Arial" w:eastAsia="Arial" w:hAnsi="Arial"/>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debt</w:t>
      </w:r>
    </w:p>
    <w:p>
      <w:pPr>
        <w:spacing w:after="0" w:line="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Waste Management, Inc. Stockholders’ Equity:</w:t>
      </w:r>
    </w:p>
    <w:p>
      <w:pPr>
        <w:spacing w:after="0" w:line="50" w:lineRule="exact"/>
        <w:rPr>
          <w:sz w:val="20"/>
          <w:szCs w:val="20"/>
          <w:color w:val="auto"/>
        </w:rPr>
      </w:pPr>
    </w:p>
    <w:p>
      <w:pPr>
        <w:ind w:left="1620" w:right="400" w:hanging="179"/>
        <w:spacing w:after="0" w:line="277" w:lineRule="auto"/>
        <w:rPr>
          <w:sz w:val="20"/>
          <w:szCs w:val="20"/>
          <w:color w:val="auto"/>
        </w:rPr>
      </w:pPr>
      <w:r>
        <w:rPr>
          <w:rFonts w:ascii="Arial" w:cs="Arial" w:eastAsia="Arial" w:hAnsi="Arial"/>
          <w:sz w:val="18"/>
          <w:szCs w:val="18"/>
          <w:color w:val="auto"/>
        </w:rPr>
        <w:t>Common stock, $0.01 par value; 1,500,000,000 shares authorized; 630,282,461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Treasury stock at cost, 225,407,474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31750</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right="1540" w:firstLine="180"/>
        <w:spacing w:after="0" w:line="328" w:lineRule="auto"/>
        <w:rPr>
          <w:sz w:val="20"/>
          <w:szCs w:val="20"/>
          <w:color w:val="auto"/>
        </w:rPr>
      </w:pPr>
      <w:r>
        <w:rPr>
          <w:rFonts w:ascii="Arial" w:cs="Arial" w:eastAsia="Arial" w:hAnsi="Arial"/>
          <w:sz w:val="18"/>
          <w:szCs w:val="18"/>
          <w:color w:val="auto"/>
        </w:rPr>
        <w:t>Total Waste Management, Inc. stockholders’ equity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Total equity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debt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1234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41"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jc w:val="right"/>
              <w:ind w:right="100"/>
              <w:spacing w:after="0" w:line="241"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80" w:type="dxa"/>
            <w:vAlign w:val="bottom"/>
            <w:gridSpan w:val="3"/>
          </w:tcPr>
          <w:p>
            <w:pPr>
              <w:ind w:left="60"/>
              <w:spacing w:after="0"/>
              <w:rPr>
                <w:sz w:val="20"/>
                <w:szCs w:val="20"/>
                <w:color w:val="auto"/>
              </w:rPr>
            </w:pPr>
            <w:r>
              <w:rPr>
                <w:rFonts w:ascii="Arial" w:cs="Arial" w:eastAsia="Arial" w:hAnsi="Arial"/>
                <w:sz w:val="18"/>
                <w:szCs w:val="18"/>
                <w:b w:val="1"/>
                <w:bCs w:val="1"/>
                <w:color w:val="auto"/>
              </w:rPr>
              <w:t>​ ​ ​ ​</w:t>
            </w:r>
          </w:p>
        </w:tc>
        <w:tc>
          <w:tcPr>
            <w:tcW w:w="4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r>
      <w:tr>
        <w:trPr>
          <w:trHeight w:val="297"/>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48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297"/>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9,376</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8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486"/>
        </w:trPr>
        <w:tc>
          <w:tcPr>
            <w:tcW w:w="48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324"/>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378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2,658</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8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(91)</w:t>
            </w:r>
            <w:r>
              <w:rPr>
                <w:rFonts w:ascii="Arial" w:cs="Arial" w:eastAsia="Arial" w:hAnsi="Arial"/>
                <w:sz w:val="32"/>
                <w:szCs w:val="32"/>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2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 xml:space="preserve">(91) </w:t>
            </w:r>
            <w:r>
              <w:rPr>
                <w:rFonts w:ascii="Arial" w:cs="Arial" w:eastAsia="Arial" w:hAnsi="Arial"/>
                <w:sz w:val="32"/>
                <w:szCs w:val="32"/>
                <w:color w:val="auto"/>
                <w:vertAlign w:val="subscript"/>
              </w:rPr>
              <w:t>​</w:t>
            </w:r>
          </w:p>
        </w:tc>
      </w:tr>
      <w:tr>
        <w:trPr>
          <w:trHeight w:val="20"/>
        </w:trPr>
        <w:tc>
          <w:tcPr>
            <w:tcW w:w="30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980" w:type="dxa"/>
            <w:vAlign w:val="bottom"/>
            <w:gridSpan w:val="4"/>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​15,368 </w:t>
            </w:r>
            <w:r>
              <w:rPr>
                <w:rFonts w:ascii="Arial" w:cs="Arial" w:eastAsia="Arial" w:hAnsi="Arial"/>
                <w:sz w:val="32"/>
                <w:szCs w:val="32"/>
                <w:color w:val="auto"/>
                <w:vertAlign w:val="subscript"/>
              </w:rPr>
              <w:t>​​ ​</w:t>
            </w:r>
          </w:p>
        </w:tc>
        <w:tc>
          <w:tcPr>
            <w:tcW w:w="820" w:type="dxa"/>
            <w:vAlign w:val="bottom"/>
            <w:gridSpan w:val="4"/>
          </w:tcPr>
          <w:p>
            <w:pPr>
              <w:jc w:val="right"/>
              <w:ind w:righ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480" w:type="dxa"/>
            <w:vAlign w:val="bottom"/>
            <w:gridSpan w:val="3"/>
          </w:tcPr>
          <w:p>
            <w:pPr>
              <w:ind w:left="60"/>
              <w:spacing w:after="0"/>
              <w:rPr>
                <w:sz w:val="20"/>
                <w:szCs w:val="20"/>
                <w:color w:val="auto"/>
              </w:rPr>
            </w:pPr>
            <w:r>
              <w:rPr>
                <w:rFonts w:ascii="Arial" w:cs="Arial" w:eastAsia="Arial" w:hAnsi="Arial"/>
                <w:sz w:val="18"/>
                <w:szCs w:val="18"/>
                <w:b w:val="1"/>
                <w:bCs w:val="1"/>
                <w:color w:val="auto"/>
              </w:rPr>
              <w:t>​ ​ ​ ​</w:t>
            </w:r>
          </w:p>
        </w:tc>
        <w:tc>
          <w:tcPr>
            <w:tcW w:w="4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r>
      <w:tr>
        <w:trPr>
          <w:trHeight w:val="270"/>
        </w:trPr>
        <w:tc>
          <w:tcPr>
            <w:tcW w:w="48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46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459"/>
        </w:trPr>
        <w:tc>
          <w:tcPr>
            <w:tcW w:w="48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5,341</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​13,744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 ​13,744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(32)​​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(32) ​</w:t>
            </w:r>
          </w:p>
        </w:tc>
      </w:tr>
      <w:tr>
        <w:trPr>
          <w:trHeight w:val="257"/>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​(12,150)</w:t>
            </w:r>
            <w:r>
              <w:rPr>
                <w:rFonts w:ascii="Arial" w:cs="Arial" w:eastAsia="Arial" w:hAnsi="Arial"/>
                <w:sz w:val="29"/>
                <w:szCs w:val="29"/>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​(12,150) </w:t>
            </w:r>
            <w:r>
              <w:rPr>
                <w:rFonts w:ascii="Arial" w:cs="Arial" w:eastAsia="Arial" w:hAnsi="Arial"/>
                <w:sz w:val="29"/>
                <w:szCs w:val="29"/>
                <w:color w:val="auto"/>
                <w:vertAlign w:val="subscript"/>
              </w:rPr>
              <w:t>​</w:t>
            </w:r>
          </w:p>
        </w:tc>
      </w:tr>
      <w:tr>
        <w:trPr>
          <w:trHeight w:val="20"/>
        </w:trPr>
        <w:tc>
          <w:tcPr>
            <w:tcW w:w="3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3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6,909</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80" w:type="dxa"/>
            <w:vAlign w:val="bottom"/>
            <w:gridSpan w:val="3"/>
          </w:tcPr>
          <w:p>
            <w:pPr>
              <w:ind w:left="6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60"/>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76"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line="276"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6,928</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$ 22,296 </w:t>
            </w:r>
            <w:r>
              <w:rPr>
                <w:rFonts w:ascii="Arial" w:cs="Arial" w:eastAsia="Arial" w:hAnsi="Arial"/>
                <w:sz w:val="30"/>
                <w:szCs w:val="30"/>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520"/>
            <w:col w:w="2519"/>
          </w:cols>
          <w:pgMar w:left="580" w:top="90" w:right="1440" w:bottom="1440" w:gutter="0" w:footer="0" w:header="0"/>
          <w:type w:val="continuous"/>
        </w:sectPr>
      </w:pPr>
    </w:p>
    <w:p>
      <w:pPr>
        <w:spacing w:after="0" w:line="56" w:lineRule="exact"/>
        <w:rPr>
          <w:sz w:val="20"/>
          <w:szCs w:val="20"/>
          <w:color w:val="auto"/>
        </w:rPr>
      </w:pPr>
    </w:p>
    <w:p>
      <w:pPr>
        <w:ind w:left="1620" w:right="419" w:hanging="360"/>
        <w:spacing w:after="0" w:line="269"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$3.5 billion revolving credit facility expires in May 2027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w:t>
      </w:r>
    </w:p>
    <w:p>
      <w:pPr>
        <w:spacing w:after="0" w:line="1"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April 2024.</w:t>
      </w:r>
    </w:p>
    <w:p>
      <w:pPr>
        <w:sectPr>
          <w:pgSz w:w="11900" w:h="16838" w:orient="portrait"/>
          <w:cols w:equalWidth="0" w:num="1">
            <w:col w:w="9879"/>
          </w:cols>
          <w:pgMar w:left="580" w:top="90" w:right="1440" w:bottom="1440" w:gutter="0" w:footer="0" w:header="0"/>
          <w:type w:val="continuous"/>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419"/>
        <w:spacing w:after="0" w:line="268" w:lineRule="auto"/>
        <w:rPr>
          <w:sz w:val="20"/>
          <w:szCs w:val="20"/>
          <w:color w:val="auto"/>
        </w:rPr>
      </w:pPr>
      <w:r>
        <w:rPr>
          <w:rFonts w:ascii="Arial" w:cs="Arial" w:eastAsia="Arial" w:hAnsi="Arial"/>
          <w:sz w:val="17"/>
          <w:szCs w:val="17"/>
          <w:color w:val="auto"/>
        </w:rPr>
        <w:t>The interest rates we pay on outstanding U.S. or Canadian loans are based on a secured overnight financing rate administered by the Federal Reserve Bank of New York (“SOFR”) or the Canadian Dollar Offered Rate (“CDOR”), respectively, plus a spread depending on our senior public debt rating assigned by Moody’s Investors Service, Inc. and Standard and Poor’s Global Ratings. The spread above SOFR or CDOR can range from 0.585% to 1.025% per annum, plus a credit adjustment spread of</w:t>
      </w:r>
    </w:p>
    <w:p>
      <w:pPr>
        <w:spacing w:after="0" w:line="3" w:lineRule="exact"/>
        <w:rPr>
          <w:sz w:val="20"/>
          <w:szCs w:val="20"/>
          <w:color w:val="auto"/>
        </w:rPr>
      </w:pPr>
    </w:p>
    <w:p>
      <w:pPr>
        <w:ind w:left="1620" w:right="419"/>
        <w:spacing w:after="0" w:line="255" w:lineRule="auto"/>
        <w:rPr>
          <w:sz w:val="20"/>
          <w:szCs w:val="20"/>
          <w:color w:val="auto"/>
        </w:rPr>
      </w:pPr>
      <w:r>
        <w:rPr>
          <w:rFonts w:ascii="Arial" w:cs="Arial" w:eastAsia="Arial" w:hAnsi="Arial"/>
          <w:sz w:val="18"/>
          <w:szCs w:val="18"/>
          <w:color w:val="auto"/>
        </w:rPr>
        <w:t>0.10% per annum on SOFR-based rates (the “SOFR Credit Adjustment Spread”) to account for the transition from the use of LIBOR to SOFR in such rate calculations. WM Holdings guarantees all of the obligations under our $3.5 billion revolving credit facility.</w:t>
      </w:r>
    </w:p>
    <w:p>
      <w:pPr>
        <w:spacing w:after="0" w:line="14" w:lineRule="exact"/>
        <w:rPr>
          <w:sz w:val="20"/>
          <w:szCs w:val="20"/>
          <w:color w:val="auto"/>
        </w:rPr>
      </w:pPr>
    </w:p>
    <w:p>
      <w:pPr>
        <w:ind w:left="1620" w:right="459"/>
        <w:spacing w:after="0" w:line="254" w:lineRule="auto"/>
        <w:rPr>
          <w:sz w:val="20"/>
          <w:szCs w:val="20"/>
          <w:color w:val="auto"/>
        </w:rPr>
      </w:pPr>
      <w:r>
        <w:rPr>
          <w:rFonts w:ascii="Arial" w:cs="Arial" w:eastAsia="Arial" w:hAnsi="Arial"/>
          <w:sz w:val="18"/>
          <w:szCs w:val="18"/>
          <w:color w:val="auto"/>
        </w:rPr>
        <w:t>As of June 30, 2023, we had $1.3 billion of outstanding borrowings under our commercial paper program (net of related discount on issuance), which is fully supported by our $3.5 billion revolving credit facility. Additionally, as of June 30, 2023, we had no borrowings under, and $179 million of letters of credit issued under and supported by, our $3.5 billion revolving credit facility, leaving unused and available credit capacity under this facility of $2.0 billion. As of July 25, 2023, we had $1.165 billion of outstanding borrowings under our commercial paper program, which were used for general corporate purposes.</w:t>
      </w:r>
    </w:p>
    <w:p>
      <w:pPr>
        <w:spacing w:after="0" w:line="46" w:lineRule="exact"/>
        <w:rPr>
          <w:sz w:val="20"/>
          <w:szCs w:val="20"/>
          <w:color w:val="auto"/>
        </w:rPr>
      </w:pPr>
    </w:p>
    <w:p>
      <w:pPr>
        <w:ind w:left="1620" w:right="439" w:hanging="360"/>
        <w:spacing w:after="0" w:line="255"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$1.0 billion Term Loan is used for general corporate purposes. The interest rate we pay on our outstanding balance is generally based on SOFR, plus a spread depending on our senior public debt rating assigned by Moody’s Investors Service, Inc. and Standard and Poor’s Global Ratings. The spread above SOFR can range from 0.50% to 0.90% per annum, plus the SOFR Credit Adjustment Spread. As of July 25, 2023, we had $1.0 billion of outstanding borrowings under our Term Loan. WM Holdings also guarantees all of the obligations under the Term Loan.</w:t>
      </w:r>
    </w:p>
    <w:p>
      <w:pPr>
        <w:spacing w:after="0" w:line="57"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2019, Waste Management of Canada Corporation, our indirect wholly owned subsidiary, issued C$500 million, or $378 million based on the conversion rate as of June 30, 2023, of 2.6% senior notes due 2026, all of which are fully and unconditionally guaranteed on a senior unsecured basis by us and WM Holdings.</w:t>
      </w:r>
    </w:p>
    <w:p>
      <w:pPr>
        <w:spacing w:after="0" w:line="38"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8" w:lineRule="exact"/>
        <w:rPr>
          <w:rFonts w:ascii="Arial" w:cs="Arial" w:eastAsia="Arial" w:hAnsi="Arial"/>
          <w:sz w:val="18"/>
          <w:szCs w:val="18"/>
          <w:color w:val="auto"/>
        </w:rPr>
      </w:pPr>
    </w:p>
    <w:p>
      <w:pPr>
        <w:ind w:left="1620" w:right="899" w:hanging="36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 Adjusted column with respect to this line item does not include any debt issuance costs or unamortized discounts associated with the 2029 notes or the 2034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NOTES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We are offering $      of our senior notes, consisting of $      of our    % senior notes due 2029 and $       of our    % senior notes due 2034.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2029 notes and the 2034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119" w:lineRule="exact"/>
        <w:rPr>
          <w:sz w:val="20"/>
          <w:szCs w:val="20"/>
          <w:color w:val="auto"/>
        </w:rPr>
      </w:pPr>
    </w:p>
    <w:p>
      <w:pPr>
        <w:ind w:left="1620"/>
        <w:spacing w:after="0"/>
        <w:tabs>
          <w:tab w:leader="none" w:pos="25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7"/>
          <w:szCs w:val="17"/>
          <w:color w:val="auto"/>
        </w:rPr>
        <w:t>Each series of the notes will:</w:t>
      </w:r>
    </w:p>
    <w:p>
      <w:pPr>
        <w:spacing w:after="0" w:line="104"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as follows: $      in the case of the 2029 notes and $      in the case of the 2034 notes;</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mature on           , 2029, in the case of the 2029 notes, and           , 2034, in the case of the 2034 notes;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03"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19" w:lineRule="exact"/>
        <w:rPr>
          <w:sz w:val="20"/>
          <w:szCs w:val="20"/>
          <w:color w:val="auto"/>
        </w:rPr>
      </w:pPr>
    </w:p>
    <w:p>
      <w:pPr>
        <w:ind w:left="1620"/>
        <w:spacing w:after="0"/>
        <w:tabs>
          <w:tab w:leader="none" w:pos="2360" w:val="left"/>
        </w:tabs>
        <w:rPr>
          <w:sz w:val="20"/>
          <w:szCs w:val="20"/>
          <w:color w:val="auto"/>
        </w:rPr>
      </w:pPr>
      <w:r>
        <w:rPr>
          <w:rFonts w:ascii="Arial" w:cs="Arial" w:eastAsia="Arial" w:hAnsi="Arial"/>
          <w:sz w:val="18"/>
          <w:szCs w:val="18"/>
          <w:i w:val="1"/>
          <w:iCs w:val="1"/>
          <w:color w:val="auto"/>
        </w:rPr>
        <w:t>Interest.</w:t>
      </w:r>
      <w:r>
        <w:rPr>
          <w:sz w:val="20"/>
          <w:szCs w:val="20"/>
          <w:color w:val="auto"/>
        </w:rPr>
        <w:tab/>
      </w:r>
      <w:r>
        <w:rPr>
          <w:rFonts w:ascii="Arial" w:cs="Arial" w:eastAsia="Arial" w:hAnsi="Arial"/>
          <w:sz w:val="18"/>
          <w:szCs w:val="18"/>
          <w:color w:val="auto"/>
        </w:rPr>
        <w:t>Interest will:</w:t>
      </w:r>
    </w:p>
    <w:p>
      <w:pPr>
        <w:spacing w:after="0" w:line="104" w:lineRule="exact"/>
        <w:rPr>
          <w:sz w:val="20"/>
          <w:szCs w:val="20"/>
          <w:color w:val="auto"/>
        </w:rPr>
      </w:pPr>
    </w:p>
    <w:p>
      <w:pPr>
        <w:ind w:left="1800" w:right="7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on the 2029 notes at the rate of    % per annum and accrue on the 2034 notes at the rate of    % per annum;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accrue from           , 2023 or the most recent interest payment date;</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payable in cash semi-annually in arrears on            and            of each year, beginning on           , 2024;</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payable to holders of record on the            and            immediately preceding the related interest payment dates;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Payment and Transfer</w:t>
      </w:r>
    </w:p>
    <w:p>
      <w:pPr>
        <w:spacing w:after="0" w:line="16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Beneficial interests in notes in global form will be shown on, and transfers of interests in notes in</w:t>
      </w:r>
    </w:p>
    <w:p>
      <w:pPr>
        <w:spacing w:after="0" w:line="12" w:lineRule="exact"/>
        <w:rPr>
          <w:sz w:val="20"/>
          <w:szCs w:val="20"/>
          <w:color w:val="auto"/>
        </w:rPr>
      </w:pPr>
    </w:p>
    <w:p>
      <w:pPr>
        <w:ind w:left="1260" w:right="559"/>
        <w:spacing w:after="0" w:line="242" w:lineRule="auto"/>
        <w:rPr>
          <w:sz w:val="20"/>
          <w:szCs w:val="20"/>
          <w:color w:val="auto"/>
        </w:rPr>
      </w:pPr>
      <w:r>
        <w:rPr>
          <w:rFonts w:ascii="Arial" w:cs="Arial" w:eastAsia="Arial" w:hAnsi="Arial"/>
          <w:sz w:val="18"/>
          <w:szCs w:val="18"/>
          <w:color w:val="auto"/>
        </w:rPr>
        <w:t>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90"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05"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ind w:left="1260" w:right="599" w:firstLine="360"/>
        <w:spacing w:after="0" w:line="303" w:lineRule="auto"/>
        <w:rPr>
          <w:sz w:val="20"/>
          <w:szCs w:val="20"/>
          <w:color w:val="auto"/>
        </w:rPr>
      </w:pPr>
      <w:r>
        <w:rPr>
          <w:rFonts w:ascii="Arial" w:cs="Arial" w:eastAsia="Arial" w:hAnsi="Arial"/>
          <w:sz w:val="16"/>
          <w:szCs w:val="16"/>
          <w:color w:val="auto"/>
        </w:rPr>
        <w:t>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w:t>
      </w:r>
    </w:p>
    <w:p>
      <w:pPr>
        <w:spacing w:after="0" w:line="73" w:lineRule="exact"/>
        <w:rPr>
          <w:sz w:val="20"/>
          <w:szCs w:val="20"/>
          <w:color w:val="auto"/>
        </w:rPr>
      </w:pPr>
    </w:p>
    <w:p>
      <w:pPr>
        <w:ind w:left="1260" w:right="479" w:firstLine="360"/>
        <w:spacing w:after="0" w:line="263" w:lineRule="auto"/>
        <w:tabs>
          <w:tab w:leader="none" w:pos="198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basis points for the 2029 notes and       basis points for the 2034 notes, less (b) interest accrued to the redemption date, and</w:t>
      </w:r>
    </w:p>
    <w:p>
      <w:pPr>
        <w:spacing w:after="0" w:line="103" w:lineRule="exact"/>
        <w:rPr>
          <w:rFonts w:ascii="Arial" w:cs="Arial" w:eastAsia="Arial" w:hAnsi="Arial"/>
          <w:sz w:val="17"/>
          <w:szCs w:val="17"/>
          <w:color w:val="auto"/>
        </w:rPr>
      </w:pPr>
    </w:p>
    <w:p>
      <w:pPr>
        <w:ind w:left="1260" w:right="599" w:firstLine="360"/>
        <w:spacing w:after="0" w:line="261" w:lineRule="auto"/>
        <w:tabs>
          <w:tab w:leader="none" w:pos="1986"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of the applicable series to be redeemed, plus, in either case, accrued and unpaid interest thereon to the redemption date.</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99"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(i)           , 2029 (one month prior to the maturity date), in the case of the 2029 notes, and (ii)           , 2033 (three months prior to the maturity date), in the case of the 2034 notes.</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us in accordance with the following two paragraphs.</w:t>
      </w:r>
    </w:p>
    <w:p>
      <w:pPr>
        <w:spacing w:after="0" w:line="103"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9879"/>
          </w:cols>
          <w:pgMar w:left="580" w:top="90" w:right="1440" w:bottom="1440" w:gutter="0" w:footer="0" w:header="0"/>
        </w:sectPr>
      </w:pPr>
    </w:p>
    <w:p>
      <w:pPr>
        <w:spacing w:after="0" w:line="38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6" w:lineRule="exact"/>
        <w:rPr>
          <w:sz w:val="20"/>
          <w:szCs w:val="20"/>
          <w:color w:val="auto"/>
        </w:rPr>
      </w:pPr>
    </w:p>
    <w:p>
      <w:pPr>
        <w:ind w:left="1260" w:right="1019"/>
        <w:spacing w:after="0" w:line="258" w:lineRule="auto"/>
        <w:rPr>
          <w:sz w:val="20"/>
          <w:szCs w:val="20"/>
          <w:color w:val="auto"/>
        </w:rPr>
      </w:pPr>
      <w:r>
        <w:rPr>
          <w:rFonts w:ascii="Arial" w:cs="Arial" w:eastAsia="Arial" w:hAnsi="Arial"/>
          <w:sz w:val="18"/>
          <w:szCs w:val="18"/>
          <w:color w:val="auto"/>
        </w:rPr>
        <w:t>a percentage of principal amount) at 11:00 a.m., New York City time, of such United States Treasury security, and rounded to three decimal places.</w:t>
      </w:r>
    </w:p>
    <w:p>
      <w:pPr>
        <w:spacing w:after="0" w:line="10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99"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19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Defeasance</w:t>
      </w:r>
    </w:p>
    <w:p>
      <w:pPr>
        <w:spacing w:after="0" w:line="162"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9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Satisfaction and Discharge</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7" w:lineRule="exact"/>
        <w:rPr>
          <w:sz w:val="20"/>
          <w:szCs w:val="20"/>
          <w:color w:val="auto"/>
        </w:rPr>
      </w:pPr>
    </w:p>
    <w:p>
      <w:pPr>
        <w:ind w:left="1980" w:hanging="360"/>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left="1620" w:right="519" w:firstLine="360"/>
        <w:spacing w:after="0" w:line="249" w:lineRule="auto"/>
        <w:tabs>
          <w:tab w:leader="none" w:pos="2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13" w:lineRule="exact"/>
        <w:rPr>
          <w:rFonts w:ascii="Arial" w:cs="Arial" w:eastAsia="Arial" w:hAnsi="Arial"/>
          <w:sz w:val="18"/>
          <w:szCs w:val="18"/>
          <w:color w:val="auto"/>
        </w:rPr>
      </w:pPr>
    </w:p>
    <w:p>
      <w:pPr>
        <w:ind w:left="1620" w:right="639" w:firstLine="360"/>
        <w:spacing w:after="0" w:line="291" w:lineRule="auto"/>
        <w:tabs>
          <w:tab w:leader="none" w:pos="2346"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notes of that series not theretofore delivered to the Trustee for cancellation (i) have become due and payable, (ii) will become due and payable at their stated maturity within one year or</w:t>
      </w:r>
    </w:p>
    <w:p>
      <w:pPr>
        <w:sectPr>
          <w:pgSz w:w="11900" w:h="16838" w:orient="portrait"/>
          <w:cols w:equalWidth="0" w:num="1">
            <w:col w:w="9879"/>
          </w:cols>
          <w:pgMar w:left="580" w:top="90" w:right="1440" w:bottom="1440" w:gutter="0" w:footer="0" w:header="0"/>
        </w:sectPr>
      </w:pPr>
    </w:p>
    <w:p>
      <w:pPr>
        <w:spacing w:after="0" w:line="33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459"/>
        <w:spacing w:after="0" w:line="260" w:lineRule="auto"/>
        <w:tabs>
          <w:tab w:leader="none" w:pos="19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06" w:lineRule="exact"/>
        <w:rPr>
          <w:sz w:val="20"/>
          <w:szCs w:val="20"/>
          <w:color w:val="auto"/>
        </w:rPr>
      </w:pPr>
    </w:p>
    <w:p>
      <w:pPr>
        <w:ind w:left="1260" w:right="759" w:firstLine="360"/>
        <w:spacing w:after="0" w:line="261" w:lineRule="auto"/>
        <w:tabs>
          <w:tab w:leader="none" w:pos="19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103" w:lineRule="exact"/>
        <w:rPr>
          <w:rFonts w:ascii="Arial" w:cs="Arial" w:eastAsia="Arial" w:hAnsi="Arial"/>
          <w:sz w:val="18"/>
          <w:szCs w:val="18"/>
          <w:color w:val="auto"/>
        </w:rPr>
      </w:pPr>
    </w:p>
    <w:p>
      <w:pPr>
        <w:ind w:left="1260" w:right="619" w:firstLine="360"/>
        <w:spacing w:after="0" w:line="256" w:lineRule="auto"/>
        <w:tabs>
          <w:tab w:leader="none" w:pos="19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7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12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of June 30, 2023, our operating subsidiaries had $2.1 billion of indebtedness and WM Holdings had $223 million of long-term debt (excluding guarantees of $9.2 billion of our senior debt), in each case excluding intercompany loans.</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ectPr>
          <w:pgSz w:w="11900" w:h="16838" w:orient="portrait"/>
          <w:cols w:equalWidth="0" w:num="1">
            <w:col w:w="9879"/>
          </w:cols>
          <w:pgMar w:left="580" w:top="90" w:right="1440" w:bottom="1440" w:gutter="0" w:footer="0" w:header="0"/>
        </w:sectPr>
      </w:pPr>
    </w:p>
    <w:p>
      <w:pPr>
        <w:spacing w:after="0" w:line="38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89"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Inc. or its successor;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Inc. or its successor into WM Holdings;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117"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Inc. under each of its $3.5 billion revolving credit facility (or any replacement or new principal credit facility) and its Term Loan. Our $3.5 billion revolving credit facility and our Term Loan each currently state that WM Holdings’ guarantees under such facility and Term Loan can only be released with the written consent of each of the lenders that is a party thereto.</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Change of Control Offer</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24"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repurchased.</w:t>
      </w:r>
    </w:p>
    <w:p>
      <w:pPr>
        <w:spacing w:after="0" w:line="6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2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regulations and will not be deemed to have breached our obligations under the change of control offer provisions of the notes by virtue of any such conflict.</w:t>
      </w:r>
    </w:p>
    <w:p>
      <w:pPr>
        <w:spacing w:after="0" w:line="89"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07"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260" w:right="439"/>
        <w:spacing w:after="0"/>
        <w:tabs>
          <w:tab w:leader="none" w:pos="15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1"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5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09"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49" w:lineRule="auto"/>
        <w:rPr>
          <w:sz w:val="20"/>
          <w:szCs w:val="20"/>
          <w:color w:val="auto"/>
        </w:rPr>
      </w:pPr>
      <w:r>
        <w:rPr>
          <w:rFonts w:ascii="Arial" w:cs="Arial" w:eastAsia="Arial" w:hAnsi="Arial"/>
          <w:sz w:val="18"/>
          <w:szCs w:val="18"/>
          <w:color w:val="auto"/>
        </w:rPr>
        <w:t>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Certain Covenants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17"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44" w:lineRule="exact"/>
        <w:rPr>
          <w:sz w:val="20"/>
          <w:szCs w:val="20"/>
          <w:color w:val="auto"/>
        </w:rPr>
      </w:pPr>
    </w:p>
    <w:p>
      <w:pPr>
        <w:ind w:left="1260" w:right="579" w:firstLine="360"/>
        <w:spacing w:after="0" w:line="278" w:lineRule="auto"/>
        <w:rPr>
          <w:sz w:val="20"/>
          <w:szCs w:val="20"/>
          <w:color w:val="auto"/>
        </w:rPr>
      </w:pPr>
      <w:r>
        <w:rPr>
          <w:rFonts w:ascii="Arial" w:cs="Arial" w:eastAsia="Arial" w:hAnsi="Arial"/>
          <w:sz w:val="17"/>
          <w:szCs w:val="17"/>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5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Further Issuances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Book-Entry Systems</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18"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3"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06"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While the following information concerning DTC, Euroclear and Clearstream and their respective</w:t>
      </w:r>
    </w:p>
    <w:p>
      <w:pPr>
        <w:spacing w:after="0" w:line="23" w:lineRule="exact"/>
        <w:rPr>
          <w:sz w:val="20"/>
          <w:szCs w:val="20"/>
          <w:color w:val="auto"/>
        </w:rPr>
      </w:pPr>
    </w:p>
    <w:p>
      <w:pPr>
        <w:ind w:left="1260" w:right="499"/>
        <w:spacing w:after="0" w:line="245" w:lineRule="auto"/>
        <w:rPr>
          <w:sz w:val="20"/>
          <w:szCs w:val="20"/>
          <w:color w:val="auto"/>
        </w:rPr>
      </w:pPr>
      <w:r>
        <w:rPr>
          <w:rFonts w:ascii="Arial" w:cs="Arial" w:eastAsia="Arial" w:hAnsi="Arial"/>
          <w:sz w:val="18"/>
          <w:szCs w:val="18"/>
          <w:color w:val="auto"/>
        </w:rPr>
        <w:t>book-entry systems has been obtained from sources that we believe to be reliable, we take no responsibility for the accuracy of that information.</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319"/>
        <w:spacing w:after="0"/>
        <w:rPr>
          <w:sz w:val="20"/>
          <w:szCs w:val="20"/>
          <w:color w:val="auto"/>
        </w:rPr>
      </w:pPr>
      <w:r>
        <w:rPr>
          <w:rFonts w:ascii="Arial" w:cs="Arial" w:eastAsia="Arial" w:hAnsi="Arial"/>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279"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76" w:lineRule="exact"/>
        <w:rPr>
          <w:rFonts w:ascii="Arial" w:cs="Arial" w:eastAsia="Arial" w:hAnsi="Arial"/>
          <w:sz w:val="17"/>
          <w:szCs w:val="17"/>
          <w:color w:val="auto"/>
        </w:rPr>
      </w:pPr>
    </w:p>
    <w:p>
      <w:pPr>
        <w:ind w:left="1800" w:right="439" w:hanging="180"/>
        <w:spacing w:after="0" w:line="279"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63"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0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2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9"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3"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20" w:lineRule="exact"/>
        <w:rPr>
          <w:sz w:val="20"/>
          <w:szCs w:val="20"/>
          <w:color w:val="auto"/>
        </w:rPr>
      </w:pPr>
    </w:p>
    <w:p>
      <w:pPr>
        <w:ind w:left="1260" w:right="659" w:firstLine="360"/>
        <w:spacing w:after="0" w:line="342"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w:t>
      </w:r>
    </w:p>
    <w:p>
      <w:pPr>
        <w:sectPr>
          <w:pgSz w:w="11900" w:h="16838" w:orient="portrait"/>
          <w:cols w:equalWidth="0" w:num="1">
            <w:col w:w="9879"/>
          </w:cols>
          <w:pgMar w:left="580" w:top="90" w:right="1440" w:bottom="1440" w:gutter="0" w:footer="0" w:header="0"/>
        </w:sectPr>
      </w:pPr>
    </w:p>
    <w:p>
      <w:pPr>
        <w:spacing w:after="0" w:line="29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record date. The omnibus proxy assigns Cede &amp; Co.’s consenting or voting rights to those direct DTC participants to whose accounts the notes are credited on the record date (identified in a listing attached to the omnibus proxy).</w:t>
      </w:r>
    </w:p>
    <w:p>
      <w:pPr>
        <w:spacing w:after="0" w:line="11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3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11"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Euroclear</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11"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103"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The Terms and Conditions Governing Use of Euroclear, the related Operating Procedures of Euroclear and applicable Belgian law govern securities clearance accounts and cash accounts with the Euroclear</w:t>
      </w:r>
    </w:p>
    <w:p>
      <w:pPr>
        <w:spacing w:after="0" w:line="32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107"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3"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05"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05"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7"/>
          <w:szCs w:val="17"/>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Clearstream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1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w:t>
      </w:r>
    </w:p>
    <w:p>
      <w:pPr>
        <w:spacing w:after="0" w:line="36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supplement or one or more of their affiliates. Other institutions that maintain a custodial relationship with a Clearstream participant may obtain indirect access to Clearstream. Clearstream is an indirect DTC participant.</w:t>
      </w:r>
    </w:p>
    <w:p>
      <w:pPr>
        <w:spacing w:after="0" w:line="116"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16"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9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24"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Scope of Discussion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 U.S. holders who purchase the notes at their “issue price” (​</w:t>
      </w:r>
      <w:r>
        <w:rPr>
          <w:rFonts w:ascii="Arial" w:cs="Arial" w:eastAsia="Arial" w:hAnsi="Arial"/>
          <w:sz w:val="17"/>
          <w:szCs w:val="17"/>
          <w:i w:val="1"/>
          <w:iCs w:val="1"/>
          <w:color w:val="auto"/>
        </w:rPr>
        <w:t>i.e.</w:t>
      </w:r>
      <w:r>
        <w:rPr>
          <w:rFonts w:ascii="Arial" w:cs="Arial" w:eastAsia="Arial" w:hAnsi="Arial"/>
          <w:sz w:val="17"/>
          <w:szCs w:val="17"/>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13"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0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0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03"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7" w:lineRule="exact"/>
        <w:rPr>
          <w:sz w:val="20"/>
          <w:szCs w:val="20"/>
          <w:color w:val="auto"/>
        </w:rPr>
      </w:pPr>
    </w:p>
    <w:p>
      <w:pPr>
        <w:ind w:left="1800" w:right="7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79" w:hanging="180"/>
        <w:spacing w:after="0" w:line="259"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Payments of Additional Amounts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Interest on the Notes</w:t>
      </w:r>
    </w:p>
    <w:p>
      <w:pPr>
        <w:spacing w:after="0" w:line="162"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3" w:lineRule="exact"/>
        <w:rPr>
          <w:sz w:val="20"/>
          <w:szCs w:val="20"/>
          <w:color w:val="auto"/>
        </w:rPr>
      </w:pPr>
    </w:p>
    <w:p>
      <w:pPr>
        <w:ind w:left="1800" w:right="5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are not a bank whose receipt of interest on the notes is in connection with an extension of credit made pursuant to a loan agreement entered into in the ordinary course of your trade or business;</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the total combined voting power of all classes of our stock entitled to vote; and</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through actual or constructive stock ownership (as provided in the Code).</w:t>
      </w:r>
    </w:p>
    <w:p>
      <w:pPr>
        <w:spacing w:after="0" w:line="8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12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by you) in the United States and you meet the certification requirements described below in “— Income or Gain Effectively Connected with a U.S. Trade or Business.”</w:t>
      </w:r>
    </w:p>
    <w:p>
      <w:pPr>
        <w:spacing w:after="0" w:line="15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162" w:lineRule="exact"/>
        <w:rPr>
          <w:sz w:val="20"/>
          <w:szCs w:val="20"/>
          <w:color w:val="auto"/>
        </w:rPr>
      </w:pPr>
    </w:p>
    <w:p>
      <w:pPr>
        <w:ind w:left="1260" w:right="939" w:firstLine="360"/>
        <w:spacing w:after="0" w:line="270" w:lineRule="auto"/>
        <w:rPr>
          <w:sz w:val="20"/>
          <w:szCs w:val="20"/>
          <w:color w:val="auto"/>
        </w:rPr>
      </w:pPr>
      <w:r>
        <w:rPr>
          <w:rFonts w:ascii="Arial" w:cs="Arial" w:eastAsia="Arial" w:hAnsi="Arial"/>
          <w:sz w:val="17"/>
          <w:szCs w:val="17"/>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56" w:lineRule="exact"/>
        <w:rPr>
          <w:sz w:val="20"/>
          <w:szCs w:val="20"/>
          <w:color w:val="auto"/>
        </w:rPr>
      </w:pPr>
    </w:p>
    <w:p>
      <w:pPr>
        <w:ind w:left="1800" w:right="43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tax treaty, is attributable to your permanent establishment in the United States); or</w:t>
      </w:r>
    </w:p>
    <w:p>
      <w:pPr>
        <w:spacing w:after="0" w:line="3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03" w:lineRule="exact"/>
        <w:rPr>
          <w:sz w:val="20"/>
          <w:szCs w:val="20"/>
          <w:color w:val="auto"/>
        </w:rPr>
      </w:pPr>
    </w:p>
    <w:p>
      <w:pPr>
        <w:jc w:val="both"/>
        <w:ind w:left="1260" w:right="519" w:firstLine="360"/>
        <w:spacing w:after="0" w:line="278" w:lineRule="auto"/>
        <w:rPr>
          <w:sz w:val="20"/>
          <w:szCs w:val="20"/>
          <w:color w:val="auto"/>
        </w:rPr>
      </w:pPr>
      <w:r>
        <w:rPr>
          <w:rFonts w:ascii="Arial" w:cs="Arial" w:eastAsia="Arial" w:hAnsi="Arial"/>
          <w:sz w:val="17"/>
          <w:szCs w:val="17"/>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5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8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0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07"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68"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16"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16"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8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Foreign Accounts Tax Compliance Act</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6" w:lineRule="exact"/>
        <w:rPr>
          <w:sz w:val="20"/>
          <w:szCs w:val="20"/>
          <w:color w:val="auto"/>
        </w:rPr>
      </w:pPr>
    </w:p>
    <w:p>
      <w:pPr>
        <w:ind w:left="1260" w:right="479"/>
        <w:spacing w:after="0" w:line="251" w:lineRule="auto"/>
        <w:tabs>
          <w:tab w:leader="none" w:pos="1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25"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7"/>
          <w:szCs w:val="17"/>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34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UNDERWRITING (CONFLICTS OF INTEREST)</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Barclays Capital Inc., BofA Securities, Inc., Deutsche Bank Securities Inc., Goldman Sachs &amp; Co. LLC and Scotia Capital (USA) Inc. are acting as joint book-running managers of the offering and as representatives of the underwriters named below.</w:t>
      </w:r>
    </w:p>
    <w:p>
      <w:pPr>
        <w:spacing w:after="0" w:line="116"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8"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1"/>
              </w:rPr>
              <w:t>Amount of</w:t>
            </w:r>
          </w:p>
        </w:tc>
        <w:tc>
          <w:tcPr>
            <w:tcW w:w="1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225"/>
        </w:trPr>
        <w:tc>
          <w:tcPr>
            <w:tcW w:w="534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1020" w:type="dxa"/>
            <w:vAlign w:val="bottom"/>
            <w:gridSpan w:val="3"/>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2029 Notes </w:t>
            </w:r>
            <w:r>
              <w:rPr>
                <w:rFonts w:ascii="Arial" w:cs="Arial" w:eastAsia="Arial" w:hAnsi="Arial"/>
                <w:sz w:val="26"/>
                <w:szCs w:val="26"/>
                <w:b w:val="1"/>
                <w:bCs w:val="1"/>
                <w:color w:val="auto"/>
                <w:vertAlign w:val="subscript"/>
              </w:rPr>
              <w:t>​</w:t>
            </w:r>
          </w:p>
        </w:tc>
        <w:tc>
          <w:tcPr>
            <w:tcW w:w="820" w:type="dxa"/>
            <w:vAlign w:val="bottom"/>
            <w:gridSpan w:val="3"/>
          </w:tcPr>
          <w:p>
            <w:pPr>
              <w:jc w:val="center"/>
              <w:spacing w:after="0" w:line="225" w:lineRule="exact"/>
              <w:rPr>
                <w:sz w:val="20"/>
                <w:szCs w:val="20"/>
                <w:color w:val="auto"/>
              </w:rPr>
            </w:pPr>
            <w:r>
              <w:rPr>
                <w:rFonts w:ascii="Arial" w:cs="Arial" w:eastAsia="Arial" w:hAnsi="Arial"/>
                <w:sz w:val="26"/>
                <w:szCs w:val="26"/>
                <w:b w:val="1"/>
                <w:bCs w:val="1"/>
                <w:color w:val="auto"/>
                <w:w w:val="97"/>
                <w:vertAlign w:val="subscript"/>
              </w:rPr>
              <w:t>​</w:t>
            </w:r>
            <w:r>
              <w:rPr>
                <w:rFonts w:ascii="Arial" w:cs="Arial" w:eastAsia="Arial" w:hAnsi="Arial"/>
                <w:sz w:val="14"/>
                <w:szCs w:val="14"/>
                <w:b w:val="1"/>
                <w:bCs w:val="1"/>
                <w:color w:val="auto"/>
                <w:w w:val="97"/>
              </w:rPr>
              <w:t xml:space="preserve"> 2034 Notes</w:t>
            </w:r>
            <w:r>
              <w:rPr>
                <w:rFonts w:ascii="Arial" w:cs="Arial" w:eastAsia="Arial" w:hAnsi="Arial"/>
                <w:sz w:val="26"/>
                <w:szCs w:val="26"/>
                <w:b w:val="1"/>
                <w:bCs w:val="1"/>
                <w:color w:val="auto"/>
                <w:w w:val="97"/>
                <w:vertAlign w:val="subscript"/>
              </w:rPr>
              <w:t>​</w:t>
            </w:r>
          </w:p>
        </w:tc>
        <w:tc>
          <w:tcPr>
            <w:tcW w:w="0" w:type="dxa"/>
            <w:vAlign w:val="bottom"/>
          </w:tcPr>
          <w:p>
            <w:pPr>
              <w:spacing w:after="0"/>
              <w:rPr>
                <w:sz w:val="1"/>
                <w:szCs w:val="1"/>
                <w:color w:val="auto"/>
              </w:rPr>
            </w:pPr>
          </w:p>
        </w:tc>
      </w:tr>
      <w:tr>
        <w:trPr>
          <w:trHeight w:val="196"/>
        </w:trPr>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Barclays Capital Inc.</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340" w:type="dxa"/>
            <w:vAlign w:val="bottom"/>
            <w:shd w:val="clear" w:color="auto" w:fill="CCEEFF"/>
          </w:tcPr>
          <w:p>
            <w:pPr>
              <w:spacing w:after="0"/>
              <w:rPr>
                <w:sz w:val="4"/>
                <w:szCs w:val="4"/>
                <w:color w:val="auto"/>
              </w:rPr>
            </w:pPr>
          </w:p>
        </w:tc>
        <w:tc>
          <w:tcPr>
            <w:tcW w:w="900" w:type="dxa"/>
            <w:vAlign w:val="bottom"/>
            <w:tcBorders>
              <w:right w:val="single" w:sz="8" w:color="CCEEFF"/>
            </w:tcBorders>
            <w:gridSpan w:val="2"/>
            <w:shd w:val="clear" w:color="auto" w:fill="CCEEFF"/>
          </w:tcPr>
          <w:p>
            <w:pPr>
              <w:ind w:left="60"/>
              <w:spacing w:after="0" w:line="54" w:lineRule="exact"/>
              <w:rPr>
                <w:sz w:val="20"/>
                <w:szCs w:val="20"/>
                <w:color w:val="auto"/>
              </w:rPr>
            </w:pPr>
            <w:r>
              <w:rPr>
                <w:rFonts w:ascii="Arial" w:cs="Arial" w:eastAsia="Arial" w:hAnsi="Arial"/>
                <w:sz w:val="6"/>
                <w:szCs w:val="6"/>
                <w:color w:val="auto"/>
              </w:rPr>
              <w:t>​ ​ ​</w:t>
            </w:r>
          </w:p>
        </w:tc>
        <w:tc>
          <w:tcPr>
            <w:tcW w:w="860" w:type="dxa"/>
            <w:vAlign w:val="bottom"/>
            <w:gridSpan w:val="3"/>
            <w:shd w:val="clear" w:color="auto" w:fill="CCEEFF"/>
          </w:tcPr>
          <w:p>
            <w:pPr>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BofA Securities, Inc.</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860" w:type="dxa"/>
            <w:vAlign w:val="bottom"/>
            <w:gridSpan w:val="3"/>
          </w:tcPr>
          <w:p>
            <w:pPr>
              <w:spacing w:after="0"/>
              <w:rPr>
                <w:sz w:val="20"/>
                <w:szCs w:val="20"/>
                <w:color w:val="auto"/>
              </w:rPr>
            </w:pPr>
            <w:r>
              <w:rPr>
                <w:rFonts w:ascii="Arial" w:cs="Arial" w:eastAsia="Arial" w:hAnsi="Arial"/>
                <w:sz w:val="18"/>
                <w:szCs w:val="18"/>
                <w:color w:val="auto"/>
              </w:rPr>
              <w:t>​​​ ​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860" w:type="dxa"/>
            <w:vAlign w:val="bottom"/>
            <w:gridSpan w:val="3"/>
          </w:tcPr>
          <w:p>
            <w:pPr>
              <w:spacing w:after="0"/>
              <w:rPr>
                <w:sz w:val="20"/>
                <w:szCs w:val="20"/>
                <w:color w:val="auto"/>
              </w:rPr>
            </w:pPr>
            <w:r>
              <w:rPr>
                <w:rFonts w:ascii="Arial" w:cs="Arial" w:eastAsia="Arial" w:hAnsi="Arial"/>
                <w:sz w:val="18"/>
                <w:szCs w:val="18"/>
                <w:color w:val="auto"/>
              </w:rPr>
              <w:t>​​​ ​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860" w:type="dxa"/>
            <w:vAlign w:val="bottom"/>
            <w:gridSpan w:val="3"/>
          </w:tcPr>
          <w:p>
            <w:pPr>
              <w:spacing w:after="0"/>
              <w:rPr>
                <w:sz w:val="20"/>
                <w:szCs w:val="20"/>
                <w:color w:val="auto"/>
              </w:rPr>
            </w:pPr>
            <w:r>
              <w:rPr>
                <w:rFonts w:ascii="Arial" w:cs="Arial" w:eastAsia="Arial" w:hAnsi="Arial"/>
                <w:sz w:val="18"/>
                <w:szCs w:val="18"/>
                <w:color w:val="auto"/>
              </w:rPr>
              <w:t>​​​ ​ ​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900" w:type="dxa"/>
            <w:vAlign w:val="bottom"/>
            <w:gridSpan w:val="2"/>
          </w:tcPr>
          <w:p>
            <w:pPr>
              <w:ind w:left="60"/>
              <w:spacing w:after="0" w:line="297" w:lineRule="exact"/>
              <w:rPr>
                <w:sz w:val="20"/>
                <w:szCs w:val="20"/>
                <w:color w:val="auto"/>
              </w:rPr>
            </w:pPr>
            <w:r>
              <w:rPr>
                <w:rFonts w:ascii="Arial" w:cs="Arial" w:eastAsia="Arial" w:hAnsi="Arial"/>
                <w:sz w:val="18"/>
                <w:szCs w:val="18"/>
                <w:color w:val="auto"/>
              </w:rPr>
              <w:t xml:space="preserve">​ ​ ​ </w:t>
            </w:r>
            <w:r>
              <w:rPr>
                <w:rFonts w:ascii="Arial" w:cs="Arial" w:eastAsia="Arial" w:hAnsi="Arial"/>
                <w:sz w:val="34"/>
                <w:szCs w:val="34"/>
                <w:color w:val="auto"/>
                <w:vertAlign w:val="superscript"/>
              </w:rPr>
              <w:t>​</w:t>
            </w:r>
          </w:p>
        </w:tc>
        <w:tc>
          <w:tcPr>
            <w:tcW w:w="860" w:type="dxa"/>
            <w:vAlign w:val="bottom"/>
            <w:gridSpan w:val="3"/>
          </w:tcPr>
          <w:p>
            <w:pPr>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 xml:space="preserve">​​ ​ ​ </w:t>
            </w:r>
            <w:r>
              <w:rPr>
                <w:rFonts w:ascii="Arial" w:cs="Arial" w:eastAsia="Arial" w:hAnsi="Arial"/>
                <w:sz w:val="34"/>
                <w:szCs w:val="34"/>
                <w:color w:val="auto"/>
                <w:vertAlign w:val="superscript"/>
              </w:rPr>
              <w:t>​</w:t>
            </w:r>
          </w:p>
        </w:tc>
        <w:tc>
          <w:tcPr>
            <w:tcW w:w="80" w:type="dxa"/>
            <w:vAlign w:val="bottom"/>
          </w:tcPr>
          <w:p>
            <w:pPr>
              <w:jc w:val="right"/>
              <w:spacing w:after="0" w:line="297" w:lineRule="exact"/>
              <w:rPr>
                <w:sz w:val="20"/>
                <w:szCs w:val="20"/>
                <w:color w:val="auto"/>
              </w:rPr>
            </w:pPr>
            <w:r>
              <w:rPr>
                <w:rFonts w:ascii="Arial" w:cs="Arial" w:eastAsia="Arial" w:hAnsi="Arial"/>
                <w:sz w:val="18"/>
                <w:szCs w:val="18"/>
                <w:color w:val="auto"/>
              </w:rPr>
              <w:t>​</w:t>
            </w:r>
            <w:r>
              <w:rPr>
                <w:rFonts w:ascii="Arial" w:cs="Arial" w:eastAsia="Arial" w:hAnsi="Arial"/>
                <w:sz w:val="34"/>
                <w:szCs w:val="34"/>
                <w:color w:val="auto"/>
                <w:vertAlign w:val="subscript"/>
              </w:rPr>
              <w:t>​</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xml:space="preserve">$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xml:space="preserve">$      </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900" w:type="dxa"/>
            <w:vAlign w:val="bottom"/>
            <w:gridSpan w:val="2"/>
          </w:tcPr>
          <w:p>
            <w:pPr>
              <w:ind w:left="60"/>
              <w:spacing w:after="0" w:line="68" w:lineRule="exact"/>
              <w:rPr>
                <w:sz w:val="20"/>
                <w:szCs w:val="20"/>
                <w:color w:val="auto"/>
              </w:rPr>
            </w:pPr>
            <w:r>
              <w:rPr>
                <w:rFonts w:ascii="Arial" w:cs="Arial" w:eastAsia="Arial" w:hAnsi="Arial"/>
                <w:sz w:val="7"/>
                <w:szCs w:val="7"/>
                <w:color w:val="auto"/>
              </w:rPr>
              <w:t>​ ​ ​</w:t>
            </w:r>
          </w:p>
        </w:tc>
        <w:tc>
          <w:tcPr>
            <w:tcW w:w="860" w:type="dxa"/>
            <w:vAlign w:val="bottom"/>
            <w:gridSpan w:val="3"/>
          </w:tcPr>
          <w:p>
            <w:pPr>
              <w:spacing w:after="0" w:line="68" w:lineRule="exact"/>
              <w:rPr>
                <w:sz w:val="20"/>
                <w:szCs w:val="20"/>
                <w:color w:val="auto"/>
              </w:rPr>
            </w:pPr>
            <w:r>
              <w:rPr>
                <w:rFonts w:ascii="Arial" w:cs="Arial" w:eastAsia="Arial" w:hAnsi="Arial"/>
                <w:sz w:val="7"/>
                <w:szCs w:val="7"/>
                <w:color w:val="auto"/>
              </w:rPr>
              <w:t>​​ ​ ​</w:t>
            </w: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-753745</wp:posOffset>
            </wp:positionV>
            <wp:extent cx="45262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4526280"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-1096645</wp:posOffset>
            </wp:positionV>
            <wp:extent cx="4526280" cy="883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526280" cy="883285"/>
                    </a:xfrm>
                    <a:prstGeom prst="rect">
                      <a:avLst/>
                    </a:prstGeom>
                    <a:noFill/>
                  </pic:spPr>
                </pic:pic>
              </a:graphicData>
            </a:graphic>
          </wp:anchor>
        </w:drawing>
      </w:r>
    </w:p>
    <w:p>
      <w:pPr>
        <w:spacing w:after="0" w:line="209" w:lineRule="exact"/>
        <w:rPr>
          <w:sz w:val="20"/>
          <w:szCs w:val="20"/>
          <w:color w:val="auto"/>
        </w:rPr>
      </w:pPr>
    </w:p>
    <w:p>
      <w:pPr>
        <w:ind w:left="1260" w:right="579" w:firstLine="360"/>
        <w:spacing w:after="0" w:line="311"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81"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 of the principal amount of the 2029 notes and    % of the principal amount of the 2034 notes. The underwriters may allow, and dealers may reallow, a concession not to exceed    % of the principal amount of the 2029 notes and    % of the principal amount of the 2034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3" w:lineRule="exact"/>
        <w:rPr>
          <w:sz w:val="20"/>
          <w:szCs w:val="20"/>
          <w:color w:val="auto"/>
        </w:rPr>
      </w:pPr>
    </w:p>
    <w:p>
      <w:pPr>
        <w:ind w:left="1260" w:right="479" w:firstLine="360"/>
        <w:spacing w:after="0" w:line="290"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8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1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We estimate that our total expenses (not including the underwriting discounts) for this offering will be approximately $4.8 million.</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07"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7"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expect delivery of the notes will be made against payment therefor on or about           ,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18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Relationships</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Arial" w:cs="Arial" w:eastAsia="Arial" w:hAnsi="Arial"/>
          <w:sz w:val="18"/>
          <w:szCs w:val="18"/>
          <w:color w:val="auto"/>
        </w:rPr>
        <w:t>Certain of the underwriters or one of their respective affiliates are lenders under our $3.5 billion revolving credit facility and our Term Loan.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Certain underwriters or their respective affiliates in this offering are lenders to us under our $3.5 billion revolving credit facility and our Term Loan and may receive 5% or more of the net proceeds of this offering by reason of the repayment of amounts outstanding under our commercial paper program, which is fully supported by such credit facility, and our Term Loan.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48"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No prospectus or other disclosure document (as defined in the Corporations Act 2001 (Cth) of Australia (the “Corporations Act”)) in relation to the notes has been, or will be, lodged with the Australian</w:t>
      </w:r>
    </w:p>
    <w:p>
      <w:pPr>
        <w:sectPr>
          <w:pgSz w:w="11900" w:h="16838" w:orient="portrait"/>
          <w:cols w:equalWidth="0" w:num="1">
            <w:col w:w="9879"/>
          </w:cols>
          <w:pgMar w:left="580" w:top="90" w:right="1440" w:bottom="1440" w:gutter="0" w:footer="0" w:header="0"/>
        </w:sectPr>
      </w:pPr>
    </w:p>
    <w:p>
      <w:pPr>
        <w:spacing w:after="0" w:line="30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49" w:lineRule="auto"/>
        <w:rPr>
          <w:sz w:val="20"/>
          <w:szCs w:val="20"/>
          <w:color w:val="auto"/>
        </w:rPr>
      </w:pPr>
      <w:r>
        <w:rPr>
          <w:rFonts w:ascii="Arial" w:cs="Arial" w:eastAsia="Arial" w:hAnsi="Arial"/>
          <w:sz w:val="18"/>
          <w:szCs w:val="18"/>
          <w:color w:val="auto"/>
        </w:rPr>
        <w:t>Securities and Investments Commission (“ASIC”), the Australian Securities Exchange operated by ASX Limited or any other regulatory body or agency in Australia. This document has not been lodged with ASIC and is only directed to certain categories of exempt persons. Accordingly, if you receive this document in Australia:</w:t>
      </w:r>
    </w:p>
    <w:p>
      <w:pPr>
        <w:spacing w:after="0" w:line="113" w:lineRule="exact"/>
        <w:rPr>
          <w:sz w:val="20"/>
          <w:szCs w:val="20"/>
          <w:color w:val="auto"/>
        </w:rPr>
      </w:pPr>
    </w:p>
    <w:p>
      <w:pPr>
        <w:ind w:left="1980" w:hanging="360"/>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44" w:lineRule="exact"/>
        <w:rPr>
          <w:rFonts w:ascii="Arial" w:cs="Arial" w:eastAsia="Arial" w:hAnsi="Arial"/>
          <w:sz w:val="18"/>
          <w:szCs w:val="18"/>
          <w:color w:val="auto"/>
        </w:rPr>
      </w:pPr>
    </w:p>
    <w:p>
      <w:pPr>
        <w:ind w:left="2340" w:right="459" w:hanging="360"/>
        <w:spacing w:after="0" w:line="259" w:lineRule="auto"/>
        <w:tabs>
          <w:tab w:leader="none" w:pos="2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19" w:lineRule="exact"/>
        <w:rPr>
          <w:rFonts w:ascii="Arial" w:cs="Arial" w:eastAsia="Arial" w:hAnsi="Arial"/>
          <w:sz w:val="18"/>
          <w:szCs w:val="18"/>
          <w:color w:val="auto"/>
        </w:rPr>
      </w:pPr>
    </w:p>
    <w:p>
      <w:pPr>
        <w:ind w:left="2340" w:hanging="360"/>
        <w:spacing w:after="0"/>
        <w:tabs>
          <w:tab w:leader="none" w:pos="2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44" w:lineRule="exact"/>
        <w:rPr>
          <w:rFonts w:ascii="Arial" w:cs="Arial" w:eastAsia="Arial" w:hAnsi="Arial"/>
          <w:sz w:val="18"/>
          <w:szCs w:val="18"/>
          <w:color w:val="auto"/>
        </w:rPr>
      </w:pPr>
    </w:p>
    <w:p>
      <w:pPr>
        <w:ind w:left="2340" w:right="539" w:hanging="360"/>
        <w:spacing w:after="0" w:line="279" w:lineRule="auto"/>
        <w:tabs>
          <w:tab w:leader="none" w:pos="23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03" w:lineRule="exact"/>
        <w:rPr>
          <w:rFonts w:ascii="Arial" w:cs="Arial" w:eastAsia="Arial" w:hAnsi="Arial"/>
          <w:sz w:val="17"/>
          <w:szCs w:val="17"/>
          <w:color w:val="auto"/>
        </w:rPr>
      </w:pPr>
    </w:p>
    <w:p>
      <w:pPr>
        <w:ind w:left="1980" w:hanging="360"/>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notes for resale in Australia within</w:t>
      </w:r>
    </w:p>
    <w:p>
      <w:pPr>
        <w:spacing w:after="0" w:line="23" w:lineRule="exact"/>
        <w:rPr>
          <w:rFonts w:ascii="Arial" w:cs="Arial" w:eastAsia="Arial" w:hAnsi="Arial"/>
          <w:sz w:val="18"/>
          <w:szCs w:val="18"/>
          <w:color w:val="auto"/>
        </w:rPr>
      </w:pPr>
    </w:p>
    <w:p>
      <w:pPr>
        <w:ind w:left="1980" w:right="479"/>
        <w:spacing w:after="0" w:line="260" w:lineRule="auto"/>
        <w:rPr>
          <w:rFonts w:ascii="Arial" w:cs="Arial" w:eastAsia="Arial" w:hAnsi="Arial"/>
          <w:sz w:val="18"/>
          <w:szCs w:val="18"/>
          <w:color w:val="auto"/>
        </w:rPr>
      </w:pPr>
      <w:r>
        <w:rPr>
          <w:rFonts w:ascii="Arial" w:cs="Arial" w:eastAsia="Arial" w:hAnsi="Arial"/>
          <w:sz w:val="18"/>
          <w:szCs w:val="18"/>
          <w:color w:val="auto"/>
        </w:rPr>
        <w:t>12 months of those notes being issued unless any such resale offer is exempt from the requirement to issue a disclosure document under section 708 of the Corporations Act.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8"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w:t>
      </w:r>
    </w:p>
    <w:p>
      <w:pPr>
        <w:sectPr>
          <w:pgSz w:w="11900" w:h="16838" w:orient="portrait"/>
          <w:cols w:equalWidth="0" w:num="1">
            <w:col w:w="9879"/>
          </w:cols>
          <w:pgMar w:left="580" w:top="90" w:right="1440" w:bottom="1440" w:gutter="0" w:footer="0" w:header="0"/>
        </w:sectPr>
      </w:pPr>
    </w:p>
    <w:p>
      <w:pPr>
        <w:spacing w:after="0" w:line="35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color w:val="auto"/>
        </w:rPr>
        <w:t>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9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11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It is a condition of the offer that where the notes are subscribed for or acquired pursuant to an offer made in reliance on Section 275 of the SFA by a Relevant Person which is:</w:t>
      </w:r>
    </w:p>
    <w:p>
      <w:pPr>
        <w:spacing w:after="0" w:line="103" w:lineRule="exact"/>
        <w:rPr>
          <w:sz w:val="20"/>
          <w:szCs w:val="20"/>
          <w:color w:val="auto"/>
        </w:rPr>
      </w:pPr>
    </w:p>
    <w:p>
      <w:pPr>
        <w:ind w:left="1980" w:right="1219" w:hanging="360"/>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right="799"/>
        <w:spacing w:after="0" w:line="277" w:lineRule="auto"/>
        <w:rPr>
          <w:sz w:val="20"/>
          <w:szCs w:val="20"/>
          <w:color w:val="auto"/>
        </w:rPr>
      </w:pPr>
      <w:r>
        <w:rPr>
          <w:rFonts w:ascii="Arial" w:cs="Arial" w:eastAsia="Arial" w:hAnsi="Arial"/>
          <w:sz w:val="18"/>
          <w:szCs w:val="18"/>
          <w:color w:val="auto"/>
        </w:rPr>
        <w:t>and the entire share capital of which is owned by one or more individuals, each of whom is an Accredited Investor; or</w:t>
      </w:r>
    </w:p>
    <w:p>
      <w:pPr>
        <w:spacing w:after="0" w:line="89" w:lineRule="exact"/>
        <w:rPr>
          <w:sz w:val="20"/>
          <w:szCs w:val="20"/>
          <w:color w:val="auto"/>
        </w:rPr>
      </w:pPr>
    </w:p>
    <w:p>
      <w:pPr>
        <w:ind w:left="1980" w:right="499" w:hanging="360"/>
        <w:spacing w:after="0" w:line="255"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111" w:lineRule="exact"/>
        <w:rPr>
          <w:rFonts w:ascii="Arial" w:cs="Arial" w:eastAsia="Arial" w:hAnsi="Arial"/>
          <w:sz w:val="18"/>
          <w:szCs w:val="18"/>
          <w:color w:val="auto"/>
        </w:rPr>
      </w:pPr>
    </w:p>
    <w:p>
      <w:pPr>
        <w:ind w:left="2340" w:right="479" w:hanging="360"/>
        <w:spacing w:after="0" w:line="263" w:lineRule="auto"/>
        <w:tabs>
          <w:tab w:leader="none" w:pos="2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116" w:lineRule="exact"/>
        <w:rPr>
          <w:rFonts w:ascii="Arial" w:cs="Arial" w:eastAsia="Arial" w:hAnsi="Arial"/>
          <w:sz w:val="18"/>
          <w:szCs w:val="18"/>
          <w:color w:val="auto"/>
        </w:rPr>
      </w:pPr>
    </w:p>
    <w:p>
      <w:pPr>
        <w:ind w:left="2340" w:hanging="360"/>
        <w:spacing w:after="0"/>
        <w:tabs>
          <w:tab w:leader="none" w:pos="2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ind w:left="2340" w:hanging="360"/>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2340" w:right="939" w:hanging="360"/>
        <w:spacing w:after="0" w:line="308" w:lineRule="auto"/>
        <w:tabs>
          <w:tab w:leader="none" w:pos="2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 of Singapore.</w:t>
      </w:r>
    </w:p>
    <w:p>
      <w:pPr>
        <w:spacing w:after="0" w:line="79"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South Korea</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14"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Taiwan</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63" w:lineRule="auto"/>
        <w:rPr>
          <w:sz w:val="20"/>
          <w:szCs w:val="20"/>
          <w:color w:val="auto"/>
        </w:rPr>
      </w:pPr>
      <w:r>
        <w:rPr>
          <w:rFonts w:ascii="Arial" w:cs="Arial" w:eastAsia="Arial" w:hAnsi="Arial"/>
          <w:sz w:val="17"/>
          <w:szCs w:val="17"/>
          <w:color w:val="auto"/>
        </w:rPr>
        <w:t>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notes are not intended to be offered, sold or otherwise made available to any retail investor in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Kingdom (“UK”). For these purposes:</w:t>
      </w:r>
    </w:p>
    <w:p>
      <w:pPr>
        <w:spacing w:after="0" w:line="128" w:lineRule="exact"/>
        <w:rPr>
          <w:sz w:val="20"/>
          <w:szCs w:val="20"/>
          <w:color w:val="auto"/>
        </w:rPr>
      </w:pPr>
    </w:p>
    <w:p>
      <w:pPr>
        <w:ind w:left="1980" w:hanging="360"/>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44" w:lineRule="exact"/>
        <w:rPr>
          <w:rFonts w:ascii="Arial" w:cs="Arial" w:eastAsia="Arial" w:hAnsi="Arial"/>
          <w:sz w:val="18"/>
          <w:szCs w:val="18"/>
          <w:color w:val="auto"/>
        </w:rPr>
      </w:pPr>
    </w:p>
    <w:p>
      <w:pPr>
        <w:jc w:val="both"/>
        <w:ind w:left="2340" w:right="539" w:hanging="360"/>
        <w:spacing w:after="0" w:line="308" w:lineRule="auto"/>
        <w:tabs>
          <w:tab w:leader="none" w:pos="23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 retail client as defined in point (8) of Article 2 of Regulation (EU) No 2017/565 as it forms part of domestic law by virtue of the European Union (Withdrawal) Act 2018 (“EUWA”); or</w:t>
      </w:r>
    </w:p>
    <w:p>
      <w:pPr>
        <w:spacing w:after="0" w:line="78" w:lineRule="exact"/>
        <w:rPr>
          <w:rFonts w:ascii="Arial" w:cs="Arial" w:eastAsia="Arial" w:hAnsi="Arial"/>
          <w:sz w:val="17"/>
          <w:szCs w:val="17"/>
          <w:color w:val="auto"/>
        </w:rPr>
      </w:pPr>
    </w:p>
    <w:p>
      <w:pPr>
        <w:ind w:left="2340" w:right="559" w:hanging="360"/>
        <w:spacing w:after="0" w:line="257" w:lineRule="auto"/>
        <w:tabs>
          <w:tab w:leader="none" w:pos="2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106" w:lineRule="exact"/>
        <w:rPr>
          <w:rFonts w:ascii="Arial" w:cs="Arial" w:eastAsia="Arial" w:hAnsi="Arial"/>
          <w:sz w:val="18"/>
          <w:szCs w:val="18"/>
          <w:color w:val="auto"/>
        </w:rPr>
      </w:pPr>
    </w:p>
    <w:p>
      <w:pPr>
        <w:ind w:left="2340" w:hanging="360"/>
        <w:spacing w:after="0"/>
        <w:tabs>
          <w:tab w:leader="none" w:pos="2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 a qualified investor as defined in Article 2 of the UK Prospectus Regulation, and</w:t>
      </w:r>
    </w:p>
    <w:p>
      <w:pPr>
        <w:spacing w:after="0" w:line="157" w:lineRule="exact"/>
        <w:rPr>
          <w:rFonts w:ascii="Arial" w:cs="Arial" w:eastAsia="Arial" w:hAnsi="Arial"/>
          <w:sz w:val="18"/>
          <w:szCs w:val="18"/>
          <w:color w:val="auto"/>
        </w:rPr>
      </w:pPr>
    </w:p>
    <w:p>
      <w:pPr>
        <w:ind w:left="1980" w:right="539" w:hanging="360"/>
        <w:spacing w:after="0" w:line="259"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w:t>
      </w:r>
    </w:p>
    <w:p>
      <w:pPr>
        <w:spacing w:after="0" w:line="106"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36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Certain legal matters in connection with the notes offered hereby will be passed upon for us by Baker Botts L.L.P., Houston, Texas, and for the underwriters by Gibson, Dunn &amp; Crutcher LLP, Houston, Texas.</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41">
        <w:r>
          <w:rPr>
            <w:rFonts w:ascii="Arial" w:cs="Arial" w:eastAsia="Arial" w:hAnsi="Arial"/>
            <w:sz w:val="18"/>
            <w:szCs w:val="18"/>
            <w:u w:val="single" w:color="auto"/>
            <w:color w:val="0000EE"/>
          </w:rPr>
          <w:t>Annual Report (Form 10-K) for the year ended December 31, 2022</w:t>
        </w:r>
      </w:hyperlink>
      <w:r>
        <w:rPr>
          <w:rFonts w:ascii="Arial" w:cs="Arial" w:eastAsia="Arial" w:hAnsi="Arial"/>
          <w:sz w:val="18"/>
          <w:szCs w:val="18"/>
          <w:color w:val="auto"/>
        </w:rPr>
        <w:t>, and the effectiveness of Waste Management, Inc.’s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4" w:lineRule="exact"/>
        <w:rPr>
          <w:sz w:val="20"/>
          <w:szCs w:val="20"/>
          <w:color w:val="auto"/>
        </w:rPr>
      </w:pPr>
    </w:p>
    <w:p>
      <w:pPr>
        <w:jc w:val="right"/>
        <w:ind w:right="379"/>
        <w:spacing w:after="0"/>
        <w:tabs>
          <w:tab w:leader="none" w:pos="1620" w:val="left"/>
          <w:tab w:leader="none" w:pos="1000" w:val="left"/>
          <w:tab w:leader="none" w:pos="20" w:val="left"/>
        </w:tabs>
        <w:rPr>
          <w:sz w:val="20"/>
          <w:szCs w:val="20"/>
          <w:color w:val="auto"/>
        </w:rPr>
      </w:pPr>
      <w:r>
        <w:rPr>
          <w:rFonts w:ascii="Arial" w:cs="Arial" w:eastAsia="Arial" w:hAnsi="Arial"/>
          <w:sz w:val="14"/>
          <w:szCs w:val="14"/>
          <w:b w:val="1"/>
          <w:bCs w:val="1"/>
          <w:color w:val="auto"/>
        </w:rPr>
        <w:t>SEC Filing (Our SEC File Number is 1-12154)</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Date Filed</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71" w:lineRule="exact"/>
        <w:rPr>
          <w:sz w:val="20"/>
          <w:szCs w:val="20"/>
          <w:color w:val="auto"/>
        </w:rPr>
      </w:pPr>
    </w:p>
    <w:p>
      <w:pPr>
        <w:ind w:left="1260"/>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Annual Report on Form 10-K for the year ended December 31, 2022</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Quarterly Report on Form 10-Q for the quarter ended March 31, 2023</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Quarterly Report on Form 10-Q for the quarter ended June 30, 2023</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Current Report on Form 8-K</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Current Report on Form 8-K</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Current Report on Form 8-K</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Current Report on Form 8-K</w:t>
        </w:r>
      </w:hyperlink>
    </w:p>
    <w:p>
      <w:pPr>
        <w:spacing w:after="0" w:line="50" w:lineRule="exact"/>
        <w:rPr>
          <w:sz w:val="20"/>
          <w:szCs w:val="20"/>
          <w:color w:val="auto"/>
        </w:rPr>
      </w:pPr>
    </w:p>
    <w:p>
      <w:pPr>
        <w:ind w:left="1440" w:hanging="17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portions of our </w:t>
      </w:r>
      <w:hyperlink r:id="rId93">
        <w:r>
          <w:rPr>
            <w:rFonts w:ascii="Arial" w:cs="Arial" w:eastAsia="Arial" w:hAnsi="Arial"/>
            <w:sz w:val="18"/>
            <w:szCs w:val="18"/>
            <w:u w:val="single" w:color="auto"/>
            <w:color w:val="0000EE"/>
          </w:rPr>
          <w:t>proxy statement for our 2023 annual meeting of stockholders</w:t>
        </w:r>
      </w:hyperlink>
      <w:r>
        <w:rPr>
          <w:rFonts w:ascii="Arial" w:cs="Arial" w:eastAsia="Arial" w:hAnsi="Arial"/>
          <w:sz w:val="18"/>
          <w:szCs w:val="18"/>
          <w:color w:val="auto"/>
        </w:rPr>
        <w:t xml:space="preserve"> </w:t>
      </w:r>
      <w:hyperlink r:id="rId41">
        <w:r>
          <w:rPr>
            <w:rFonts w:ascii="Arial" w:cs="Arial" w:eastAsia="Arial" w:hAnsi="Arial"/>
            <w:sz w:val="18"/>
            <w:szCs w:val="18"/>
            <w:color w:val="auto"/>
          </w:rPr>
          <w:t xml:space="preserve">incorporated by reference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December 31, 2022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51" w:lineRule="exact"/>
        <w:rPr>
          <w:rFonts w:ascii="Arial" w:cs="Arial" w:eastAsia="Arial" w:hAnsi="Arial"/>
          <w:sz w:val="18"/>
          <w:szCs w:val="18"/>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9"/>
              </w:rPr>
              <w:t>February 7, 2023 ​</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April 27, 2023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July 26, 2023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9"/>
              </w:rPr>
              <w:t>February 6, 2023 ​</w:t>
            </w:r>
          </w:p>
        </w:tc>
      </w:tr>
      <w:tr>
        <w:trPr>
          <w:trHeight w:val="270"/>
        </w:trPr>
        <w:tc>
          <w:tcPr>
            <w:tcW w:w="1660" w:type="dxa"/>
            <w:vAlign w:val="bottom"/>
            <w:gridSpan w:val="3"/>
          </w:tcPr>
          <w:p>
            <w:pPr>
              <w:spacing w:after="0"/>
              <w:rPr>
                <w:sz w:val="20"/>
                <w:szCs w:val="20"/>
                <w:color w:val="auto"/>
              </w:rPr>
            </w:pPr>
            <w:r>
              <w:rPr>
                <w:rFonts w:ascii="Arial" w:cs="Arial" w:eastAsia="Arial" w:hAnsi="Arial"/>
                <w:sz w:val="18"/>
                <w:szCs w:val="18"/>
                <w:color w:val="auto"/>
              </w:rPr>
              <w:t>​ ​ February 13, 2023​</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March 10, 2023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May 10, 2023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8"/>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March 28, 2023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rFonts w:ascii="Arial" w:cs="Arial" w:eastAsia="Arial" w:hAnsi="Arial"/>
          <w:sz w:val="18"/>
          <w:szCs w:val="18"/>
          <w:color w:val="auto"/>
        </w:rPr>
      </w:pPr>
    </w:p>
    <w:p>
      <w:pPr>
        <w:sectPr>
          <w:pgSz w:w="11900" w:h="16838" w:orient="portrait"/>
          <w:cols w:equalWidth="0" w:num="2">
            <w:col w:w="7560" w:space="300"/>
            <w:col w:w="2019"/>
          </w:cols>
          <w:pgMar w:left="580" w:top="90" w:right="1440" w:bottom="1440" w:gutter="0" w:footer="0" w:header="0"/>
          <w:type w:val="continuous"/>
        </w:sectPr>
      </w:pPr>
    </w:p>
    <w:p>
      <w:pPr>
        <w:ind w:left="1260" w:right="459" w:firstLine="360"/>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27" w:lineRule="exact"/>
        <w:rPr>
          <w:rFonts w:ascii="Arial" w:cs="Arial" w:eastAsia="Arial" w:hAnsi="Arial"/>
          <w:sz w:val="18"/>
          <w:szCs w:val="18"/>
          <w:color w:val="auto"/>
        </w:rPr>
      </w:pPr>
    </w:p>
    <w:p>
      <w:pPr>
        <w:jc w:val="both"/>
        <w:ind w:left="1260" w:right="579" w:firstLine="360"/>
        <w:spacing w:after="0" w:line="257" w:lineRule="auto"/>
        <w:rPr>
          <w:sz w:val="20"/>
          <w:szCs w:val="20"/>
          <w:color w:val="auto"/>
        </w:rPr>
      </w:pPr>
      <w:r>
        <w:rPr>
          <w:rFonts w:ascii="Arial" w:cs="Arial" w:eastAsia="Arial" w:hAnsi="Arial"/>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07" w:lineRule="exact"/>
        <w:rPr>
          <w:rFonts w:ascii="Arial" w:cs="Arial" w:eastAsia="Arial" w:hAnsi="Arial"/>
          <w:sz w:val="18"/>
          <w:szCs w:val="18"/>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9"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Waste Management, Inc.</w:t>
      </w:r>
    </w:p>
    <w:p>
      <w:pPr>
        <w:spacing w:after="0" w:line="23"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800 Capitol Street, Suite 3000</w:t>
      </w:r>
    </w:p>
    <w:p>
      <w:pPr>
        <w:spacing w:after="0" w:line="9"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840"/>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240" w:hanging="463"/>
        <w:spacing w:after="0"/>
        <w:tabs>
          <w:tab w:leader="none" w:pos="5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512-6200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color w:val="auto"/>
        </w:rPr>
        <w:t>S-34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128905</wp:posOffset>
            </wp:positionV>
            <wp:extent cx="2785745" cy="746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78574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WASTE MANAGEMENT, INC.</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DEBT SECURITIES</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COMMON STOCK</w:t>
      </w:r>
    </w:p>
    <w:p>
      <w:pPr>
        <w:spacing w:after="0" w:line="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PREFERRED STOCK</w:t>
      </w:r>
    </w:p>
    <w:p>
      <w:pPr>
        <w:ind w:left="4760"/>
        <w:spacing w:after="0" w:line="233" w:lineRule="auto"/>
        <w:rPr>
          <w:sz w:val="20"/>
          <w:szCs w:val="20"/>
          <w:color w:val="auto"/>
        </w:rPr>
      </w:pPr>
      <w:r>
        <w:rPr>
          <w:rFonts w:ascii="Arial" w:cs="Arial" w:eastAsia="Arial" w:hAnsi="Arial"/>
          <w:sz w:val="22"/>
          <w:szCs w:val="22"/>
          <w:b w:val="1"/>
          <w:bCs w:val="1"/>
          <w:color w:val="auto"/>
        </w:rPr>
        <w:t>WARRANTS</w:t>
      </w:r>
    </w:p>
    <w:p>
      <w:pPr>
        <w:spacing w:after="0" w:line="1"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GUARANTEES</w:t>
      </w:r>
    </w:p>
    <w:p>
      <w:pPr>
        <w:spacing w:after="0" w:line="3"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UNITS</w:t>
      </w:r>
    </w:p>
    <w:p>
      <w:pPr>
        <w:spacing w:after="0" w:line="12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10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40" w:lineRule="exact"/>
        <w:rPr>
          <w:sz w:val="20"/>
          <w:szCs w:val="20"/>
          <w:color w:val="auto"/>
        </w:rPr>
      </w:pPr>
    </w:p>
    <w:p>
      <w:pPr>
        <w:ind w:left="1260" w:right="459" w:firstLine="360"/>
        <w:spacing w:after="0" w:line="343" w:lineRule="auto"/>
        <w:rPr>
          <w:sz w:val="20"/>
          <w:szCs w:val="20"/>
          <w:color w:val="auto"/>
        </w:rPr>
      </w:pPr>
      <w:r>
        <w:rPr>
          <w:rFonts w:ascii="Arial" w:cs="Arial" w:eastAsia="Arial" w:hAnsi="Arial"/>
          <w:sz w:val="15"/>
          <w:szCs w:val="15"/>
          <w:b w:val="1"/>
          <w:bCs w:val="1"/>
          <w:color w:val="auto"/>
        </w:rPr>
        <w:t>Investing in our securities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on page </w:t>
      </w:r>
      <w:r>
        <w:rPr>
          <w:rFonts w:ascii="Arial" w:cs="Arial" w:eastAsia="Arial" w:hAnsi="Arial"/>
          <w:sz w:val="15"/>
          <w:szCs w:val="15"/>
          <w:b w:val="1"/>
          <w:bCs w:val="1"/>
          <w:u w:val="single" w:color="auto"/>
          <w:color w:val="0000EE"/>
        </w:rPr>
        <w:t>8</w:t>
      </w:r>
      <w:r>
        <w:rPr>
          <w:rFonts w:ascii="Arial" w:cs="Arial" w:eastAsia="Arial" w:hAnsi="Arial"/>
          <w:sz w:val="15"/>
          <w:szCs w:val="15"/>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61"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59" w:firstLine="360"/>
        <w:spacing w:after="0" w:line="289" w:lineRule="auto"/>
        <w:rPr>
          <w:sz w:val="20"/>
          <w:szCs w:val="20"/>
          <w:color w:val="auto"/>
        </w:rPr>
      </w:pPr>
      <w:r>
        <w:rPr>
          <w:rFonts w:ascii="Arial" w:cs="Arial" w:eastAsia="Arial" w:hAnsi="Arial"/>
          <w:sz w:val="16"/>
          <w:szCs w:val="16"/>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40" w:type="dxa"/>
            <w:vAlign w:val="bottom"/>
            <w:gridSpan w:val="15"/>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0000EE"/>
              </w:rPr>
              <w:t>Forward-Looking Statements</w:t>
            </w:r>
          </w:p>
        </w:tc>
        <w:tc>
          <w:tcPr>
            <w:tcW w:w="1580" w:type="dxa"/>
            <w:vAlign w:val="bottom"/>
            <w:tcBorders>
              <w:right w:val="single" w:sz="8" w:color="CCEEFF"/>
            </w:tcBorders>
            <w:shd w:val="clear" w:color="auto" w:fill="CCEEFF"/>
          </w:tcPr>
          <w:p>
            <w:pPr>
              <w:ind w:left="1420"/>
              <w:spacing w:after="0" w:line="142" w:lineRule="exact"/>
              <w:rPr>
                <w:sz w:val="20"/>
                <w:szCs w:val="20"/>
                <w:color w:val="auto"/>
              </w:rPr>
            </w:pPr>
            <w:r>
              <w:rPr>
                <w:rFonts w:ascii="Arial" w:cs="Arial" w:eastAsia="Arial" w:hAnsi="Arial"/>
                <w:sz w:val="16"/>
                <w:szCs w:val="16"/>
                <w:color w:val="auto"/>
              </w:rPr>
              <w:t>​</w:t>
            </w:r>
          </w:p>
        </w:tc>
        <w:tc>
          <w:tcPr>
            <w:tcW w:w="20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0000EE"/>
              </w:rPr>
              <w:t>1</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5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gridSpan w:val="10"/>
          </w:tcPr>
          <w:p>
            <w:pPr>
              <w:spacing w:after="0"/>
              <w:rPr>
                <w:sz w:val="20"/>
                <w:szCs w:val="20"/>
                <w:color w:val="auto"/>
              </w:rPr>
            </w:pPr>
            <w:r>
              <w:rPr>
                <w:rFonts w:ascii="Arial" w:cs="Arial" w:eastAsia="Arial" w:hAnsi="Arial"/>
                <w:sz w:val="18"/>
                <w:szCs w:val="18"/>
                <w:color w:val="0000EE"/>
              </w:rPr>
              <w:t>About this Prospectus</w:t>
            </w:r>
          </w:p>
        </w:tc>
        <w:tc>
          <w:tcPr>
            <w:tcW w:w="4280" w:type="dxa"/>
            <w:vAlign w:val="bottom"/>
            <w:gridSpan w:val="5"/>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Incorporation of Certain Documents by Reference</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Where You Can Find More Information</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gridSpan w:val="1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460" w:type="dxa"/>
            <w:vAlign w:val="bottom"/>
            <w:gridSpan w:val="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The Company</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8</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left w:val="single" w:sz="8" w:color="CCEEFF"/>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Risk Factors</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9</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left w:val="single" w:sz="8" w:color="CCEEFF"/>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Description of the Debt Securities</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2"/>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Description of Guarantees</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18</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left w:val="single" w:sz="8" w:color="CCEEFF"/>
              <w:bottom w:val="single" w:sz="8" w:color="CCEEFF"/>
            </w:tcBorders>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Description of Capital Stock</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00" w:type="dxa"/>
            <w:vAlign w:val="bottom"/>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Description of Other Securities</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22</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1"/>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Plan of Distribution</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260" w:type="dxa"/>
            <w:vAlign w:val="bottom"/>
            <w:gridSpan w:val="2"/>
          </w:tcPr>
          <w:p>
            <w:pPr>
              <w:spacing w:after="0"/>
              <w:rPr>
                <w:sz w:val="2"/>
                <w:szCs w:val="2"/>
                <w:color w:val="auto"/>
              </w:rPr>
            </w:pPr>
          </w:p>
        </w:tc>
        <w:tc>
          <w:tcPr>
            <w:tcW w:w="4680" w:type="dxa"/>
            <w:vAlign w:val="bottom"/>
            <w:gridSpan w:val="7"/>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Selling Securityholders</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25</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4680" w:type="dxa"/>
            <w:vAlign w:val="bottom"/>
            <w:tcBorders>
              <w:bottom w:val="single" w:sz="8" w:color="CCEEFF"/>
            </w:tcBorders>
            <w:gridSpan w:val="7"/>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Arial" w:cs="Arial" w:eastAsia="Arial" w:hAnsi="Arial"/>
                <w:sz w:val="18"/>
                <w:szCs w:val="18"/>
                <w:color w:val="0000EE"/>
              </w:rPr>
              <w:t>Legal Matters</w:t>
            </w:r>
          </w:p>
        </w:tc>
        <w:tc>
          <w:tcPr>
            <w:tcW w:w="15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380" w:type="dxa"/>
            <w:vAlign w:val="bottom"/>
            <w:gridSpan w:val="1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gridSpan w:val="2"/>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Arial" w:cs="Arial" w:eastAsia="Arial" w:hAnsi="Arial"/>
                <w:sz w:val="18"/>
                <w:szCs w:val="18"/>
                <w:color w:val="0000EE"/>
              </w:rPr>
              <w:t>Experts</w:t>
            </w:r>
          </w:p>
        </w:tc>
        <w:tc>
          <w:tcPr>
            <w:tcW w:w="15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r>
              <w:rPr>
                <w:rFonts w:ascii="Arial" w:cs="Arial" w:eastAsia="Arial" w:hAnsi="Arial"/>
                <w:sz w:val="18"/>
                <w:szCs w:val="18"/>
                <w:color w:val="0000EE"/>
                <w:w w:val="79"/>
              </w:rPr>
              <w:t>26</w:t>
            </w:r>
          </w:p>
        </w:tc>
        <w:tc>
          <w:tcPr>
            <w:tcW w:w="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Arial" w:cs="Arial" w:eastAsia="Arial" w:hAnsi="Arial"/>
                <w:sz w:val="1"/>
                <w:szCs w:val="1"/>
                <w:color w:val="auto"/>
              </w:rPr>
              <w:t>​</w:t>
            </w:r>
          </w:p>
        </w:tc>
        <w:tc>
          <w:tcPr>
            <w:tcW w:w="5860" w:type="dxa"/>
            <w:vAlign w:val="bottom"/>
            <w:tcBorders>
              <w:bottom w:val="single" w:sz="8" w:color="CCEEFF"/>
            </w:tcBorders>
            <w:gridSpan w:val="14"/>
            <w:shd w:val="clear" w:color="auto" w:fill="CCEEFF"/>
          </w:tcPr>
          <w:p>
            <w:pPr>
              <w:spacing w:after="0"/>
              <w:rPr>
                <w:sz w:val="2"/>
                <w:szCs w:val="2"/>
                <w:color w:val="auto"/>
              </w:rPr>
            </w:pPr>
          </w:p>
        </w:tc>
        <w:tc>
          <w:tcPr>
            <w:tcW w:w="1580" w:type="dxa"/>
            <w:vAlign w:val="bottom"/>
            <w:tcBorders>
              <w:bottom w:val="single" w:sz="8" w:color="CCEEFF"/>
              <w:right w:val="single" w:sz="8" w:color="CCEEFF"/>
            </w:tcBorders>
            <w:shd w:val="clear" w:color="auto" w:fill="CCEEFF"/>
          </w:tcPr>
          <w:p>
            <w:pPr>
              <w:ind w:left="1420"/>
              <w:spacing w:after="0" w:line="7" w:lineRule="exact"/>
              <w:rPr>
                <w:sz w:val="20"/>
                <w:szCs w:val="20"/>
                <w:color w:val="auto"/>
              </w:rPr>
            </w:pPr>
            <w:r>
              <w:rPr>
                <w:rFonts w:ascii="Arial" w:cs="Arial" w:eastAsia="Arial" w:hAnsi="Arial"/>
                <w:sz w:val="1"/>
                <w:szCs w:val="1"/>
                <w:color w:val="auto"/>
              </w:rPr>
              <w:t>​</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75"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54"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65"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integration of acquisitions and/or new service offerings could increase our exposure to environmental liabilities for past operations and the risk of inadvertent noncompliance with laws and regulations;</w:t>
      </w:r>
    </w:p>
    <w:p>
      <w:pPr>
        <w:spacing w:after="0" w:line="38"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75" w:lineRule="exact"/>
        <w:rPr>
          <w:rFonts w:ascii="Arial" w:cs="Arial" w:eastAsia="Arial" w:hAnsi="Arial"/>
          <w:sz w:val="18"/>
          <w:szCs w:val="18"/>
          <w:color w:val="auto"/>
        </w:rPr>
      </w:pPr>
    </w:p>
    <w:p>
      <w:pPr>
        <w:jc w:val="both"/>
        <w:ind w:left="1800" w:right="6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75"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59"/>
        <w:spacing w:after="0" w:line="263" w:lineRule="auto"/>
        <w:rPr>
          <w:sz w:val="20"/>
          <w:szCs w:val="20"/>
          <w:color w:val="auto"/>
        </w:rPr>
      </w:pPr>
      <w:r>
        <w:rPr>
          <w:rFonts w:ascii="Arial" w:cs="Arial" w:eastAsia="Arial" w:hAnsi="Arial"/>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9" w:lineRule="exact"/>
        <w:rPr>
          <w:sz w:val="20"/>
          <w:szCs w:val="20"/>
          <w:color w:val="auto"/>
        </w:rPr>
      </w:pPr>
    </w:p>
    <w:p>
      <w:pPr>
        <w:ind w:left="1800" w:right="5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8" w:lineRule="exact"/>
        <w:rPr>
          <w:rFonts w:ascii="Arial" w:cs="Arial" w:eastAsia="Arial" w:hAnsi="Arial"/>
          <w:sz w:val="18"/>
          <w:szCs w:val="18"/>
          <w:color w:val="auto"/>
        </w:rPr>
      </w:pPr>
    </w:p>
    <w:p>
      <w:pPr>
        <w:ind w:left="1800" w:right="61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9"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79" w:lineRule="exact"/>
        <w:rPr>
          <w:rFonts w:ascii="Arial" w:cs="Arial" w:eastAsia="Arial" w:hAnsi="Arial"/>
          <w:sz w:val="18"/>
          <w:szCs w:val="18"/>
          <w:color w:val="auto"/>
        </w:rPr>
      </w:pPr>
    </w:p>
    <w:p>
      <w:pPr>
        <w:ind w:left="1800" w:right="439" w:hanging="180"/>
        <w:spacing w:after="0" w:line="275"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68" w:lineRule="exact"/>
        <w:rPr>
          <w:rFonts w:ascii="Arial" w:cs="Arial" w:eastAsia="Arial" w:hAnsi="Arial"/>
          <w:sz w:val="17"/>
          <w:szCs w:val="17"/>
          <w:color w:val="auto"/>
        </w:rPr>
      </w:pPr>
    </w:p>
    <w:p>
      <w:pPr>
        <w:jc w:val="both"/>
        <w:ind w:left="1800" w:right="599" w:hanging="180"/>
        <w:spacing w:after="0" w:line="311" w:lineRule="auto"/>
        <w:tabs>
          <w:tab w:leader="none" w:pos="1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9" w:lineRule="exact"/>
        <w:rPr>
          <w:rFonts w:ascii="Arial" w:cs="Arial" w:eastAsia="Arial" w:hAnsi="Arial"/>
          <w:sz w:val="18"/>
          <w:szCs w:val="18"/>
          <w:color w:val="auto"/>
        </w:rPr>
      </w:pPr>
    </w:p>
    <w:p>
      <w:pPr>
        <w:ind w:left="1800" w:right="85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75" w:lineRule="exact"/>
        <w:rPr>
          <w:rFonts w:ascii="Arial" w:cs="Arial" w:eastAsia="Arial" w:hAnsi="Arial"/>
          <w:sz w:val="18"/>
          <w:szCs w:val="18"/>
          <w:color w:val="auto"/>
        </w:rPr>
      </w:pPr>
    </w:p>
    <w:p>
      <w:pPr>
        <w:ind w:left="1800" w:right="559" w:hanging="180"/>
        <w:spacing w:after="0" w:line="279"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63" w:lineRule="exact"/>
        <w:rPr>
          <w:rFonts w:ascii="Arial" w:cs="Arial" w:eastAsia="Arial" w:hAnsi="Arial"/>
          <w:sz w:val="17"/>
          <w:szCs w:val="17"/>
          <w:color w:val="auto"/>
        </w:rPr>
      </w:pPr>
    </w:p>
    <w:p>
      <w:pPr>
        <w:ind w:left="1800" w:right="459" w:hanging="180"/>
        <w:spacing w:after="0" w:line="286"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57" w:lineRule="exact"/>
        <w:rPr>
          <w:rFonts w:ascii="Arial" w:cs="Arial" w:eastAsia="Arial" w:hAnsi="Arial"/>
          <w:sz w:val="17"/>
          <w:szCs w:val="17"/>
          <w:color w:val="auto"/>
        </w:rPr>
      </w:pPr>
    </w:p>
    <w:p>
      <w:pPr>
        <w:ind w:left="1800" w:right="8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9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can directly and adversely affect revenues for environmental services and our income from operations margins;</w:t>
      </w:r>
    </w:p>
    <w:p>
      <w:pPr>
        <w:spacing w:after="0" w:line="62"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effective tax rate and tax liability could materially change as a result of the adoption of new tax legislation and other factors;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diesel fuel price increases or diesel fuel supply shortages may increase our operating expenses;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57" w:lineRule="exact"/>
        <w:rPr>
          <w:rFonts w:ascii="Arial" w:cs="Arial" w:eastAsia="Arial" w:hAnsi="Arial"/>
          <w:sz w:val="17"/>
          <w:szCs w:val="17"/>
          <w:color w:val="auto"/>
        </w:rPr>
      </w:pPr>
    </w:p>
    <w:p>
      <w:pPr>
        <w:ind w:left="1800" w:right="57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89" w:lineRule="exact"/>
        <w:rPr>
          <w:rFonts w:ascii="Arial" w:cs="Arial" w:eastAsia="Arial" w:hAnsi="Arial"/>
          <w:sz w:val="18"/>
          <w:szCs w:val="18"/>
          <w:color w:val="auto"/>
        </w:rPr>
      </w:pPr>
    </w:p>
    <w:p>
      <w:pPr>
        <w:ind w:left="1800" w:right="439" w:hanging="180"/>
        <w:spacing w:after="0" w:line="273"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69" w:lineRule="exact"/>
        <w:rPr>
          <w:rFonts w:ascii="Arial" w:cs="Arial" w:eastAsia="Arial" w:hAnsi="Arial"/>
          <w:sz w:val="17"/>
          <w:szCs w:val="17"/>
          <w:color w:val="auto"/>
        </w:rPr>
      </w:pPr>
    </w:p>
    <w:p>
      <w:pPr>
        <w:ind w:left="1800" w:right="5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75" w:lineRule="exact"/>
        <w:rPr>
          <w:rFonts w:ascii="Arial" w:cs="Arial" w:eastAsia="Arial" w:hAnsi="Arial"/>
          <w:sz w:val="18"/>
          <w:szCs w:val="18"/>
          <w:color w:val="auto"/>
        </w:rPr>
      </w:pPr>
    </w:p>
    <w:p>
      <w:pPr>
        <w:ind w:left="1800" w:right="1179" w:hanging="180"/>
        <w:spacing w:after="0" w:line="308"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increasing regulatory focus on privacy and data protection issues and expanding laws could negatively impact our business, subject us to criticism and expose us to increased liability;</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86"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57"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federal and state renewable fuel policies could affect our financial performance as a renewable fuel producer and impact our projected future investments;</w:t>
      </w:r>
    </w:p>
    <w:p>
      <w:pPr>
        <w:spacing w:after="0" w:line="62" w:lineRule="exact"/>
        <w:rPr>
          <w:rFonts w:ascii="Arial" w:cs="Arial" w:eastAsia="Arial" w:hAnsi="Arial"/>
          <w:sz w:val="18"/>
          <w:szCs w:val="18"/>
          <w:color w:val="auto"/>
        </w:rPr>
      </w:pPr>
    </w:p>
    <w:p>
      <w:pPr>
        <w:ind w:left="1800" w:right="123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3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5" w:lineRule="exact"/>
        <w:rPr>
          <w:rFonts w:ascii="Arial" w:cs="Arial" w:eastAsia="Arial" w:hAnsi="Arial"/>
          <w:sz w:val="18"/>
          <w:szCs w:val="18"/>
          <w:color w:val="auto"/>
        </w:rPr>
      </w:pPr>
    </w:p>
    <w:p>
      <w:pPr>
        <w:ind w:left="1800" w:right="499" w:hanging="180"/>
        <w:spacing w:after="0" w:line="291"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1800" w:right="699" w:hanging="180"/>
        <w:spacing w:after="0" w:line="286"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57"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1800" w:right="69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62"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9"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9"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97"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343" w:lineRule="auto"/>
        <w:rPr>
          <w:sz w:val="20"/>
          <w:szCs w:val="20"/>
          <w:color w:val="auto"/>
        </w:rPr>
      </w:pPr>
      <w:r>
        <w:rPr>
          <w:rFonts w:ascii="Arial" w:cs="Arial" w:eastAsia="Arial" w:hAnsi="Arial"/>
          <w:sz w:val="15"/>
          <w:szCs w:val="15"/>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61"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5" w:lineRule="exact"/>
        <w:rPr>
          <w:sz w:val="20"/>
          <w:szCs w:val="20"/>
          <w:color w:val="auto"/>
        </w:rPr>
      </w:pPr>
    </w:p>
    <w:p>
      <w:pPr>
        <w:jc w:val="right"/>
        <w:ind w:right="379"/>
        <w:spacing w:after="0"/>
        <w:tabs>
          <w:tab w:leader="none" w:pos="1620" w:val="left"/>
          <w:tab w:leader="none" w:pos="1000" w:val="left"/>
          <w:tab w:leader="none" w:pos="20" w:val="left"/>
        </w:tabs>
        <w:rPr>
          <w:sz w:val="20"/>
          <w:szCs w:val="20"/>
          <w:color w:val="auto"/>
        </w:rPr>
      </w:pPr>
      <w:r>
        <w:rPr>
          <w:rFonts w:ascii="Arial" w:cs="Arial" w:eastAsia="Arial" w:hAnsi="Arial"/>
          <w:sz w:val="14"/>
          <w:szCs w:val="14"/>
          <w:b w:val="1"/>
          <w:bCs w:val="1"/>
          <w:color w:val="auto"/>
        </w:rPr>
        <w:t>SEC Filing (Our SEC File Number is 1-12154)</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Date Filed</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71" w:lineRule="exact"/>
        <w:rPr>
          <w:sz w:val="20"/>
          <w:szCs w:val="20"/>
          <w:color w:val="auto"/>
        </w:rPr>
      </w:pPr>
    </w:p>
    <w:p>
      <w:pPr>
        <w:ind w:left="126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Annual Report on Form 10-K for the year ended December 31, 2021</w:t>
        </w:r>
      </w:hyperlink>
    </w:p>
    <w:p>
      <w:pPr>
        <w:spacing w:after="0" w:line="50" w:lineRule="exact"/>
        <w:rPr>
          <w:sz w:val="20"/>
          <w:szCs w:val="20"/>
          <w:color w:val="auto"/>
        </w:rPr>
      </w:pPr>
    </w:p>
    <w:p>
      <w:pPr>
        <w:ind w:left="1440" w:right="220" w:hanging="179"/>
        <w:spacing w:after="0" w:line="277"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Amendment No. 1 to Annual Report on Form 10-K for the year ended December 31,</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2021</w:t>
        </w:r>
      </w:hyperlink>
    </w:p>
    <w:p>
      <w:pPr>
        <w:spacing w:after="0" w:line="22" w:lineRule="exact"/>
        <w:rPr>
          <w:sz w:val="20"/>
          <w:szCs w:val="20"/>
          <w:color w:val="auto"/>
        </w:rPr>
      </w:pPr>
    </w:p>
    <w:p>
      <w:pPr>
        <w:ind w:left="1260" w:right="1320"/>
        <w:spacing w:after="0" w:line="305"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Quarterly Report on Form 10-Q for the quarter ended March 31, 2022</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Current Report on Form 8-K</w:t>
        </w:r>
      </w:hyperlink>
    </w:p>
    <w:p>
      <w:pPr>
        <w:ind w:left="1440" w:right="300" w:hanging="179"/>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portions of our </w:t>
      </w:r>
      <w:hyperlink r:id="rId109">
        <w:r>
          <w:rPr>
            <w:rFonts w:ascii="Arial" w:cs="Arial" w:eastAsia="Arial" w:hAnsi="Arial"/>
            <w:sz w:val="18"/>
            <w:szCs w:val="18"/>
            <w:u w:val="single" w:color="auto"/>
            <w:color w:val="0000EE"/>
          </w:rPr>
          <w:t>proxy statement for our 2022 annual meeting of stockholders</w:t>
        </w:r>
      </w:hyperlink>
      <w:r>
        <w:rPr>
          <w:rFonts w:ascii="Arial" w:cs="Arial" w:eastAsia="Arial" w:hAnsi="Arial"/>
          <w:sz w:val="18"/>
          <w:szCs w:val="18"/>
          <w:color w:val="auto"/>
        </w:rPr>
        <w:t xml:space="preserve"> </w:t>
      </w:r>
      <w:hyperlink r:id="rId106">
        <w:r>
          <w:rPr>
            <w:rFonts w:ascii="Arial" w:cs="Arial" w:eastAsia="Arial" w:hAnsi="Arial"/>
            <w:sz w:val="18"/>
            <w:szCs w:val="18"/>
            <w:color w:val="auto"/>
          </w:rPr>
          <w:t xml:space="preserve">incorporated by reference in our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December 31, 2021</w:t>
        </w:r>
      </w:hyperlink>
    </w:p>
    <w:p>
      <w:pPr>
        <w:spacing w:after="0" w:line="22" w:lineRule="exact"/>
        <w:rPr>
          <w:rFonts w:ascii="Arial" w:cs="Arial" w:eastAsia="Arial" w:hAnsi="Arial"/>
          <w:sz w:val="18"/>
          <w:szCs w:val="18"/>
          <w:color w:val="auto"/>
        </w:rPr>
      </w:pPr>
    </w:p>
    <w:p>
      <w:pPr>
        <w:ind w:left="1440" w:hanging="179"/>
        <w:spacing w:after="0" w:line="257" w:lineRule="auto"/>
        <w:rPr>
          <w:rFonts w:ascii="Arial" w:cs="Arial" w:eastAsia="Arial" w:hAnsi="Arial"/>
          <w:sz w:val="18"/>
          <w:szCs w:val="18"/>
          <w:color w:val="0000EE"/>
        </w:rPr>
      </w:pPr>
      <w:hyperlink r:id="rId110">
        <w:r>
          <w:rPr>
            <w:rFonts w:ascii="Arial" w:cs="Arial" w:eastAsia="Arial" w:hAnsi="Arial"/>
            <w:sz w:val="18"/>
            <w:szCs w:val="18"/>
            <w:color w:val="auto"/>
          </w:rPr>
          <w:t xml:space="preserve">Description of our Common Stock contained in our Registration Statement on </w:t>
        </w:r>
        <w:r>
          <w:rPr>
            <w:rFonts w:ascii="Arial" w:cs="Arial" w:eastAsia="Arial" w:hAnsi="Arial"/>
            <w:sz w:val="18"/>
            <w:szCs w:val="18"/>
            <w:u w:val="single" w:color="auto"/>
            <w:color w:val="0000EE"/>
          </w:rPr>
          <w:t>Form 8-</w:t>
        </w:r>
      </w:hyperlink>
      <w:hyperlink r:id="rId111">
        <w:r>
          <w:rPr>
            <w:rFonts w:ascii="Arial" w:cs="Arial" w:eastAsia="Arial" w:hAnsi="Arial"/>
            <w:sz w:val="18"/>
            <w:szCs w:val="18"/>
            <w:u w:val="single" w:color="auto"/>
            <w:color w:val="0000EE"/>
          </w:rPr>
          <w:t>B</w:t>
        </w:r>
        <w:r>
          <w:rPr>
            <w:rFonts w:ascii="Arial" w:cs="Arial" w:eastAsia="Arial" w:hAnsi="Arial"/>
            <w:sz w:val="18"/>
            <w:szCs w:val="18"/>
            <w:color w:val="000000"/>
          </w:rPr>
          <w:t>, as updated by the description of our Common Stock included in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Exhibit 4.9 to our</w:t>
        </w:r>
      </w:hyperlink>
      <w:r>
        <w:rPr>
          <w:rFonts w:ascii="Arial" w:cs="Arial" w:eastAsia="Arial" w:hAnsi="Arial"/>
          <w:sz w:val="18"/>
          <w:szCs w:val="18"/>
          <w:color w:val="0000EE"/>
        </w:rPr>
        <w:t xml:space="preserve"> </w:t>
      </w:r>
      <w:hyperlink r:id="rId111">
        <w:r>
          <w:rPr>
            <w:rFonts w:ascii="Arial" w:cs="Arial" w:eastAsia="Arial" w:hAnsi="Arial"/>
            <w:sz w:val="18"/>
            <w:szCs w:val="18"/>
            <w:u w:val="single" w:color="auto"/>
            <w:color w:val="0000EE"/>
          </w:rPr>
          <w:t>Annual Report on Form 10-K for the year ended December 31, 2019 filed with the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SEC on February 13, 2020</w:t>
        </w:r>
        <w:r>
          <w:rPr>
            <w:rFonts w:ascii="Arial" w:cs="Arial" w:eastAsia="Arial" w:hAnsi="Arial"/>
            <w:sz w:val="18"/>
            <w:szCs w:val="18"/>
            <w:color w:val="000000"/>
          </w:rPr>
          <w:t>, together with any subsequent amendment or report filed</w:t>
        </w:r>
      </w:hyperlink>
      <w:r>
        <w:rPr>
          <w:rFonts w:ascii="Arial" w:cs="Arial" w:eastAsia="Arial" w:hAnsi="Arial"/>
          <w:sz w:val="18"/>
          <w:szCs w:val="18"/>
          <w:color w:val="0000EE"/>
        </w:rPr>
        <w:t xml:space="preserve"> </w:t>
      </w:r>
      <w:r>
        <w:rPr>
          <w:rFonts w:ascii="Arial" w:cs="Arial" w:eastAsia="Arial" w:hAnsi="Arial"/>
          <w:sz w:val="18"/>
          <w:szCs w:val="18"/>
          <w:color w:val="000000"/>
        </w:rPr>
        <w:t>for the purpose of updating such description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br w:type="column"/>
      </w:r>
    </w:p>
    <w:p>
      <w:pPr>
        <w:spacing w:after="0" w:line="5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 ​ February 15, 2022​</w:t>
      </w:r>
    </w:p>
    <w:p>
      <w:pPr>
        <w:spacing w:after="0" w:line="266"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March 29, 2022</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83"/>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April 26, 2022</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March 7, 2022</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688"/>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March 29, 2022</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77" w:lineRule="exact"/>
        <w:rPr>
          <w:rFonts w:ascii="Arial" w:cs="Arial" w:eastAsia="Arial" w:hAnsi="Arial"/>
          <w:sz w:val="18"/>
          <w:szCs w:val="18"/>
          <w:color w:val="0000EE"/>
        </w:rPr>
      </w:pPr>
    </w:p>
    <w:p>
      <w:pPr>
        <w:spacing w:after="0"/>
        <w:tabs>
          <w:tab w:leader="none" w:pos="380" w:val="left"/>
          <w:tab w:leader="none" w:pos="1580" w:val="left"/>
        </w:tabs>
        <w:rPr>
          <w:sz w:val="20"/>
          <w:szCs w:val="20"/>
          <w:color w:val="auto"/>
        </w:rPr>
      </w:pPr>
      <w:r>
        <w:rPr>
          <w:rFonts w:ascii="Arial" w:cs="Arial" w:eastAsia="Arial" w:hAnsi="Arial"/>
          <w:sz w:val="18"/>
          <w:szCs w:val="18"/>
          <w:color w:val="auto"/>
        </w:rPr>
        <w:t>​ ​</w:t>
        <w:tab/>
        <w:t>July 13, 1995</w:t>
        <w:tab/>
        <w:t>​</w:t>
      </w:r>
    </w:p>
    <w:p>
      <w:pPr>
        <w:spacing w:after="0" w:line="171" w:lineRule="exact"/>
        <w:rPr>
          <w:rFonts w:ascii="Arial" w:cs="Arial" w:eastAsia="Arial" w:hAnsi="Arial"/>
          <w:sz w:val="18"/>
          <w:szCs w:val="18"/>
          <w:color w:val="0000EE"/>
        </w:rPr>
      </w:pPr>
    </w:p>
    <w:p>
      <w:pPr>
        <w:sectPr>
          <w:pgSz w:w="11900" w:h="16838" w:orient="portrait"/>
          <w:cols w:equalWidth="0" w:num="2">
            <w:col w:w="7860" w:space="0"/>
            <w:col w:w="2019"/>
          </w:cols>
          <w:pgMar w:left="580" w:top="90" w:right="1440" w:bottom="1440" w:gutter="0" w:footer="0" w:header="0"/>
          <w:type w:val="continuous"/>
        </w:sectPr>
      </w:pPr>
    </w:p>
    <w:p>
      <w:pPr>
        <w:ind w:left="1260" w:right="419" w:firstLine="360"/>
        <w:spacing w:after="0" w:line="285"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2" w:lineRule="exact"/>
        <w:rPr>
          <w:rFonts w:ascii="Arial" w:cs="Arial" w:eastAsia="Arial" w:hAnsi="Arial"/>
          <w:sz w:val="18"/>
          <w:szCs w:val="18"/>
          <w:color w:val="0000EE"/>
        </w:rPr>
      </w:pPr>
    </w:p>
    <w:p>
      <w:pPr>
        <w:ind w:left="1260" w:right="419"/>
        <w:spacing w:after="0" w:line="255" w:lineRule="auto"/>
        <w:rPr>
          <w:sz w:val="20"/>
          <w:szCs w:val="20"/>
          <w:color w:val="auto"/>
        </w:rPr>
      </w:pPr>
      <w:r>
        <w:rPr>
          <w:rFonts w:ascii="Arial" w:cs="Arial" w:eastAsia="Arial" w:hAnsi="Arial"/>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122" w:lineRule="exact"/>
        <w:rPr>
          <w:rFonts w:ascii="Arial" w:cs="Arial" w:eastAsia="Arial" w:hAnsi="Arial"/>
          <w:sz w:val="18"/>
          <w:szCs w:val="18"/>
          <w:color w:val="0000EE"/>
        </w:rPr>
      </w:pPr>
    </w:p>
    <w:p>
      <w:pPr>
        <w:jc w:val="both"/>
        <w:ind w:left="1260" w:right="439" w:firstLine="360"/>
        <w:spacing w:after="0" w:line="259" w:lineRule="auto"/>
        <w:rPr>
          <w:sz w:val="20"/>
          <w:szCs w:val="20"/>
          <w:color w:val="auto"/>
        </w:rPr>
      </w:pPr>
      <w:r>
        <w:rPr>
          <w:rFonts w:ascii="Arial" w:cs="Arial" w:eastAsia="Arial" w:hAnsi="Arial"/>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06" w:lineRule="exact"/>
        <w:rPr>
          <w:rFonts w:ascii="Arial" w:cs="Arial" w:eastAsia="Arial" w:hAnsi="Arial"/>
          <w:sz w:val="18"/>
          <w:szCs w:val="18"/>
          <w:color w:val="0000EE"/>
        </w:rPr>
      </w:pPr>
    </w:p>
    <w:p>
      <w:pPr>
        <w:jc w:val="both"/>
        <w:ind w:left="1260" w:right="639" w:firstLine="360"/>
        <w:spacing w:after="0" w:line="259" w:lineRule="auto"/>
        <w:rPr>
          <w:sz w:val="20"/>
          <w:szCs w:val="20"/>
          <w:color w:val="auto"/>
        </w:rPr>
      </w:pPr>
      <w:r>
        <w:rPr>
          <w:rFonts w:ascii="Arial" w:cs="Arial" w:eastAsia="Arial" w:hAnsi="Arial"/>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Arial" w:cs="Arial" w:eastAsia="Arial" w:hAnsi="Arial"/>
          <w:sz w:val="18"/>
          <w:szCs w:val="18"/>
          <w:i w:val="1"/>
          <w:iCs w:val="1"/>
          <w:color w:val="auto"/>
        </w:rPr>
        <w:t>.</w:t>
      </w:r>
    </w:p>
    <w:p>
      <w:pPr>
        <w:spacing w:after="0" w:line="119"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Waste Management, Inc.</w:t>
      </w:r>
    </w:p>
    <w:p>
      <w:pPr>
        <w:spacing w:after="0" w:line="23"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800 Capitol Street, Suite 3000</w:t>
      </w:r>
    </w:p>
    <w:p>
      <w:pPr>
        <w:spacing w:after="0" w:line="9"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0000EE"/>
        </w:rPr>
      </w:pPr>
    </w:p>
    <w:p>
      <w:pPr>
        <w:jc w:val="center"/>
        <w:ind w:right="-840"/>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0000EE"/>
        </w:rPr>
      </w:pPr>
    </w:p>
    <w:p>
      <w:pPr>
        <w:ind w:left="5240" w:hanging="463"/>
        <w:spacing w:after="0"/>
        <w:tabs>
          <w:tab w:leader="none" w:pos="5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512-6200</w:t>
      </w:r>
    </w:p>
    <w:p>
      <w:pPr>
        <w:spacing w:after="0" w:line="386"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 You can also obtain information about us at the offices of the New York Stock Exchange, 20 Broad Street, New York, New York 10005.</w:t>
      </w:r>
    </w:p>
    <w:p>
      <w:pPr>
        <w:spacing w:after="0" w:line="10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other filings with the SEC are available, without charge, on or through our website, </w:t>
      </w:r>
      <w:r>
        <w:rPr>
          <w:rFonts w:ascii="Arial" w:cs="Arial" w:eastAsia="Arial" w:hAnsi="Arial"/>
          <w:sz w:val="18"/>
          <w:szCs w:val="18"/>
          <w:i w:val="1"/>
          <w:iCs w:val="1"/>
          <w:color w:val="auto"/>
        </w:rPr>
        <w:t>www.wm.com</w:t>
      </w:r>
      <w:r>
        <w:rPr>
          <w:rFonts w:ascii="Arial" w:cs="Arial" w:eastAsia="Arial" w:hAnsi="Arial"/>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7"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9"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 xml:space="preserve">Our principal executive offices are located at 800 Capitol Street, Suite 3000, Houston, Texas 77002. Our telephone number is (713) 512-6200. Our website address is </w:t>
      </w:r>
      <w:r>
        <w:rPr>
          <w:rFonts w:ascii="Arial" w:cs="Arial" w:eastAsia="Arial" w:hAnsi="Arial"/>
          <w:sz w:val="18"/>
          <w:szCs w:val="18"/>
          <w:i w:val="1"/>
          <w:iCs w:val="1"/>
          <w:color w:val="auto"/>
        </w:rPr>
        <w:t>www.wm.com.</w:t>
      </w:r>
      <w:r>
        <w:rPr>
          <w:rFonts w:ascii="Arial" w:cs="Arial" w:eastAsia="Arial" w:hAnsi="Arial"/>
          <w:sz w:val="18"/>
          <w:szCs w:val="18"/>
          <w:color w:val="auto"/>
        </w:rPr>
        <w:t xml:space="preserve"> Information contained on, or that can be accessed through, our website is not incorporated by reference into this prospectus and does not constitute a part of this prospectus.</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DESCRIPTION OF THE DEBT SECURITIES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4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terms relating to the offering. These terms will include some or all of the following:</w:t>
      </w:r>
    </w:p>
    <w:p>
      <w:pPr>
        <w:spacing w:after="0" w:line="62"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or dates on which the principal of and any premium on the debt securities will be payable;</w:t>
      </w:r>
    </w:p>
    <w:p>
      <w:pPr>
        <w:spacing w:after="0" w:line="128"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payments on the debt securities will be payable in foreign currency or currency units or another form and whether payments will be payable by reference to any index or formula;</w:t>
      </w:r>
    </w:p>
    <w:p>
      <w:pPr>
        <w:spacing w:after="0" w:line="38" w:lineRule="exact"/>
        <w:rPr>
          <w:rFonts w:ascii="Arial" w:cs="Arial" w:eastAsia="Arial" w:hAnsi="Arial"/>
          <w:sz w:val="17"/>
          <w:szCs w:val="17"/>
          <w:color w:val="auto"/>
        </w:rPr>
      </w:pPr>
    </w:p>
    <w:p>
      <w:pPr>
        <w:ind w:left="1800" w:right="12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Inc. or any other entity;</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0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of Waste Management, Inc. into another person, or a conveyance, transfer or lease of our properties and assets substantially as an entirety to another person unless:</w:t>
      </w:r>
    </w:p>
    <w:p>
      <w:pPr>
        <w:spacing w:after="0" w:line="76" w:lineRule="exact"/>
        <w:rPr>
          <w:sz w:val="20"/>
          <w:szCs w:val="20"/>
          <w:color w:val="auto"/>
        </w:rPr>
      </w:pPr>
    </w:p>
    <w:p>
      <w:pPr>
        <w:ind w:left="1800" w:right="719" w:hanging="180"/>
        <w:spacing w:after="0" w:line="259"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03"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with respect to a series of debt securities:</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69" w:lineRule="exact"/>
        <w:rPr>
          <w:rFonts w:ascii="Arial" w:cs="Arial" w:eastAsia="Arial" w:hAnsi="Arial"/>
          <w:sz w:val="17"/>
          <w:szCs w:val="17"/>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76"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the request and offer of indemnity; and</w:t>
      </w:r>
    </w:p>
    <w:p>
      <w:pPr>
        <w:spacing w:after="0" w:line="128"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03"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03"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9"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0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0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0" w:lineRule="exact"/>
        <w:rPr>
          <w:sz w:val="20"/>
          <w:szCs w:val="20"/>
          <w:color w:val="auto"/>
        </w:rPr>
      </w:pPr>
    </w:p>
    <w:p>
      <w:pPr>
        <w:ind w:left="1800" w:right="6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9"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89"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80" w:lineRule="exact"/>
        <w:rPr>
          <w:sz w:val="20"/>
          <w:szCs w:val="20"/>
          <w:color w:val="auto"/>
        </w:rPr>
      </w:pPr>
    </w:p>
    <w:p>
      <w:pPr>
        <w:ind w:left="1800" w:right="69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16"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1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07"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7"/>
          <w:szCs w:val="17"/>
          <w:color w:val="auto"/>
        </w:rPr>
        <w:t>New York law will govern the indentures and the debt securities.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7"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9"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01"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03"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06"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3"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8"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62"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16"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8" w:lineRule="exact"/>
        <w:rPr>
          <w:sz w:val="20"/>
          <w:szCs w:val="20"/>
          <w:color w:val="auto"/>
        </w:rPr>
      </w:pPr>
    </w:p>
    <w:p>
      <w:pPr>
        <w:jc w:val="both"/>
        <w:ind w:left="1260" w:right="419" w:firstLine="360"/>
        <w:spacing w:after="0" w:line="311" w:lineRule="auto"/>
        <w:rPr>
          <w:sz w:val="20"/>
          <w:szCs w:val="20"/>
          <w:color w:val="auto"/>
        </w:rPr>
      </w:pPr>
      <w:r>
        <w:rPr>
          <w:rFonts w:ascii="Arial" w:cs="Arial" w:eastAsia="Arial" w:hAnsi="Arial"/>
          <w:sz w:val="16"/>
          <w:szCs w:val="16"/>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68" w:lineRule="exact"/>
        <w:rPr>
          <w:sz w:val="20"/>
          <w:szCs w:val="20"/>
          <w:color w:val="auto"/>
        </w:rPr>
      </w:pPr>
    </w:p>
    <w:p>
      <w:pPr>
        <w:ind w:left="1260" w:right="459" w:firstLine="360"/>
        <w:spacing w:after="0" w:line="277" w:lineRule="auto"/>
        <w:tabs>
          <w:tab w:leader="none" w:pos="19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102" w:lineRule="exact"/>
        <w:rPr>
          <w:rFonts w:ascii="Arial" w:cs="Arial" w:eastAsia="Arial" w:hAnsi="Arial"/>
          <w:sz w:val="18"/>
          <w:szCs w:val="18"/>
          <w:color w:val="auto"/>
        </w:rPr>
      </w:pPr>
    </w:p>
    <w:p>
      <w:pPr>
        <w:ind w:left="1260" w:right="559" w:firstLine="360"/>
        <w:spacing w:after="0" w:line="277" w:lineRule="auto"/>
        <w:tabs>
          <w:tab w:leader="none" w:pos="19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02" w:lineRule="exact"/>
        <w:rPr>
          <w:rFonts w:ascii="Arial" w:cs="Arial" w:eastAsia="Arial" w:hAnsi="Arial"/>
          <w:sz w:val="18"/>
          <w:szCs w:val="18"/>
          <w:color w:val="auto"/>
        </w:rPr>
      </w:pPr>
    </w:p>
    <w:p>
      <w:pPr>
        <w:ind w:left="1260" w:right="699" w:firstLine="360"/>
        <w:spacing w:after="0" w:line="308" w:lineRule="auto"/>
        <w:tabs>
          <w:tab w:leader="none" w:pos="19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liens on the property, assets or stock of an entity at the time the entity is merged into or consolidated with us or a Restricted Subsidiary or at the time the entity becomes a Restricted Subsidiary;</w:t>
      </w:r>
    </w:p>
    <w:p>
      <w:pPr>
        <w:spacing w:after="0" w:line="65" w:lineRule="exact"/>
        <w:rPr>
          <w:rFonts w:ascii="Arial" w:cs="Arial" w:eastAsia="Arial" w:hAnsi="Arial"/>
          <w:sz w:val="17"/>
          <w:szCs w:val="17"/>
          <w:color w:val="auto"/>
        </w:rPr>
      </w:pPr>
    </w:p>
    <w:p>
      <w:pPr>
        <w:ind w:left="1260" w:right="459" w:firstLine="360"/>
        <w:spacing w:after="0" w:line="263" w:lineRule="auto"/>
        <w:tabs>
          <w:tab w:leader="none" w:pos="19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2160" w:right="499" w:hanging="180"/>
        <w:spacing w:after="0" w:line="257" w:lineRule="auto"/>
        <w:tabs>
          <w:tab w:leader="none" w:pos="2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20" w:lineRule="exact"/>
        <w:rPr>
          <w:rFonts w:ascii="Arial" w:cs="Arial" w:eastAsia="Arial" w:hAnsi="Arial"/>
          <w:sz w:val="18"/>
          <w:szCs w:val="18"/>
          <w:color w:val="auto"/>
        </w:rPr>
      </w:pPr>
    </w:p>
    <w:p>
      <w:pPr>
        <w:ind w:left="1960" w:hanging="340"/>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57" w:lineRule="exact"/>
        <w:rPr>
          <w:rFonts w:ascii="Arial" w:cs="Arial" w:eastAsia="Arial" w:hAnsi="Arial"/>
          <w:sz w:val="18"/>
          <w:szCs w:val="18"/>
          <w:color w:val="auto"/>
        </w:rPr>
      </w:pPr>
    </w:p>
    <w:p>
      <w:pPr>
        <w:ind w:left="1260" w:right="1039" w:firstLine="360"/>
        <w:spacing w:after="0" w:line="277" w:lineRule="auto"/>
        <w:tabs>
          <w:tab w:leader="none" w:pos="19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02" w:lineRule="exact"/>
        <w:rPr>
          <w:rFonts w:ascii="Arial" w:cs="Arial" w:eastAsia="Arial" w:hAnsi="Arial"/>
          <w:sz w:val="18"/>
          <w:szCs w:val="18"/>
          <w:color w:val="auto"/>
        </w:rPr>
      </w:pPr>
    </w:p>
    <w:p>
      <w:pPr>
        <w:ind w:left="1940" w:hanging="320"/>
        <w:spacing w:after="0"/>
        <w:tabs>
          <w:tab w:leader="none" w:pos="19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not yet delinquent or being contested in good</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faith;</w:t>
      </w:r>
    </w:p>
    <w:p>
      <w:pPr>
        <w:spacing w:after="0" w:line="129" w:lineRule="exact"/>
        <w:rPr>
          <w:rFonts w:ascii="Arial" w:cs="Arial" w:eastAsia="Arial" w:hAnsi="Arial"/>
          <w:sz w:val="17"/>
          <w:szCs w:val="17"/>
          <w:color w:val="auto"/>
        </w:rPr>
      </w:pPr>
    </w:p>
    <w:p>
      <w:pPr>
        <w:ind w:left="1260" w:right="759" w:firstLine="360"/>
        <w:spacing w:after="0" w:line="277" w:lineRule="auto"/>
        <w:tabs>
          <w:tab w:leader="none" w:pos="19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102" w:lineRule="exact"/>
        <w:rPr>
          <w:rFonts w:ascii="Arial" w:cs="Arial" w:eastAsia="Arial" w:hAnsi="Arial"/>
          <w:sz w:val="18"/>
          <w:szCs w:val="18"/>
          <w:color w:val="auto"/>
        </w:rPr>
      </w:pPr>
    </w:p>
    <w:p>
      <w:pPr>
        <w:ind w:left="1260" w:right="919" w:firstLine="360"/>
        <w:spacing w:after="0" w:line="277" w:lineRule="auto"/>
        <w:tabs>
          <w:tab w:leader="none" w:pos="19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02" w:lineRule="exact"/>
        <w:rPr>
          <w:rFonts w:ascii="Arial" w:cs="Arial" w:eastAsia="Arial" w:hAnsi="Arial"/>
          <w:sz w:val="18"/>
          <w:szCs w:val="18"/>
          <w:color w:val="auto"/>
        </w:rPr>
      </w:pPr>
    </w:p>
    <w:p>
      <w:pPr>
        <w:ind w:left="1260" w:right="1059" w:firstLine="360"/>
        <w:spacing w:after="0" w:line="277" w:lineRule="auto"/>
        <w:tabs>
          <w:tab w:leader="none" w:pos="19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89" w:lineRule="exact"/>
        <w:rPr>
          <w:rFonts w:ascii="Arial" w:cs="Arial" w:eastAsia="Arial" w:hAnsi="Arial"/>
          <w:sz w:val="18"/>
          <w:szCs w:val="18"/>
          <w:color w:val="auto"/>
        </w:rPr>
      </w:pPr>
    </w:p>
    <w:p>
      <w:pPr>
        <w:ind w:left="1260" w:right="479" w:firstLine="360"/>
        <w:spacing w:after="0" w:line="277" w:lineRule="auto"/>
        <w:tabs>
          <w:tab w:leader="none" w:pos="20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19" w:firstLine="360"/>
        <w:spacing w:after="0" w:line="277" w:lineRule="auto"/>
        <w:tabs>
          <w:tab w:leader="none" w:pos="19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44" w:lineRule="exact"/>
        <w:rPr>
          <w:rFonts w:ascii="Arial" w:cs="Arial" w:eastAsia="Arial" w:hAnsi="Arial"/>
          <w:sz w:val="18"/>
          <w:szCs w:val="18"/>
          <w:color w:val="auto"/>
        </w:rPr>
      </w:pPr>
    </w:p>
    <w:p>
      <w:pPr>
        <w:ind w:left="1260" w:right="459" w:firstLine="360"/>
        <w:spacing w:after="0" w:line="256" w:lineRule="auto"/>
        <w:tabs>
          <w:tab w:leader="none" w:pos="19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0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44"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89" w:lineRule="exact"/>
        <w:rPr>
          <w:sz w:val="20"/>
          <w:szCs w:val="20"/>
          <w:color w:val="auto"/>
        </w:rPr>
      </w:pPr>
    </w:p>
    <w:p>
      <w:pPr>
        <w:ind w:left="1260" w:right="779" w:firstLine="360"/>
        <w:spacing w:after="0" w:line="249" w:lineRule="auto"/>
        <w:tabs>
          <w:tab w:leader="none" w:pos="19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9" w:lineRule="exact"/>
        <w:rPr>
          <w:rFonts w:ascii="Arial" w:cs="Arial" w:eastAsia="Arial" w:hAnsi="Arial"/>
          <w:sz w:val="18"/>
          <w:szCs w:val="18"/>
          <w:color w:val="auto"/>
        </w:rPr>
      </w:pPr>
    </w:p>
    <w:p>
      <w:pPr>
        <w:ind w:left="1260" w:right="559" w:firstLine="360"/>
        <w:spacing w:after="0" w:line="249" w:lineRule="auto"/>
        <w:tabs>
          <w:tab w:leader="none" w:pos="19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114" w:lineRule="exact"/>
        <w:rPr>
          <w:rFonts w:ascii="Arial" w:cs="Arial" w:eastAsia="Arial" w:hAnsi="Arial"/>
          <w:sz w:val="18"/>
          <w:szCs w:val="18"/>
          <w:color w:val="auto"/>
        </w:rPr>
      </w:pPr>
    </w:p>
    <w:p>
      <w:pPr>
        <w:ind w:left="1260" w:right="599" w:firstLine="360"/>
        <w:spacing w:after="0" w:line="248" w:lineRule="auto"/>
        <w:tabs>
          <w:tab w:leader="none" w:pos="19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Glossary</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27"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consolidated subsidiaries less:</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73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58" w:lineRule="exact"/>
        <w:rPr>
          <w:sz w:val="20"/>
          <w:szCs w:val="20"/>
          <w:color w:val="auto"/>
        </w:rPr>
      </w:pPr>
    </w:p>
    <w:p>
      <w:pPr>
        <w:ind w:left="1620" w:right="719" w:firstLine="360"/>
        <w:spacing w:after="0" w:line="277" w:lineRule="auto"/>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means (a) all obligations for borrowed money or on which interest charges are</w:t>
      </w:r>
      <w:r>
        <w:rPr>
          <w:rFonts w:ascii="Arial" w:cs="Arial" w:eastAsia="Arial" w:hAnsi="Arial"/>
          <w:sz w:val="17"/>
          <w:szCs w:val="17"/>
          <w:i w:val="1"/>
          <w:iCs w:val="1"/>
          <w:color w:val="auto"/>
        </w:rPr>
        <w:t xml:space="preserve"> </w:t>
      </w:r>
      <w:r>
        <w:rPr>
          <w:rFonts w:ascii="Arial" w:cs="Arial" w:eastAsia="Arial" w:hAnsi="Arial"/>
          <w:sz w:val="17"/>
          <w:szCs w:val="17"/>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2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(other than any Subsidiary of which the Company owns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lease any Principal Property that we or such Restricted Subsidiary has sold or transferred or will sell or transfer to that person. This term excludes the following:</w:t>
      </w:r>
    </w:p>
    <w:p>
      <w:pPr>
        <w:spacing w:after="0" w:line="76" w:lineRule="exact"/>
        <w:rPr>
          <w:sz w:val="20"/>
          <w:szCs w:val="20"/>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4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by us or by one or more other Subsidiaries, or by us and one or more other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62"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i w:val="1"/>
          <w:iCs w:val="1"/>
          <w:color w:val="auto"/>
        </w:rPr>
        <w:t xml:space="preserve">Ranking. </w:t>
      </w:r>
      <w:r>
        <w:rPr>
          <w:rFonts w:ascii="Arial" w:cs="Arial" w:eastAsia="Arial" w:hAnsi="Arial"/>
          <w:sz w:val="17"/>
          <w:szCs w:val="17"/>
          <w:color w:val="auto"/>
        </w:rPr>
        <w:t>The subordinated debt securities will rank junior to all of our senior debt and may rank</w:t>
      </w:r>
      <w:r>
        <w:rPr>
          <w:rFonts w:ascii="Arial" w:cs="Arial" w:eastAsia="Arial" w:hAnsi="Arial"/>
          <w:sz w:val="17"/>
          <w:szCs w:val="17"/>
          <w:i w:val="1"/>
          <w:iCs w:val="1"/>
          <w:color w:val="auto"/>
        </w:rPr>
        <w:t xml:space="preserve"> </w:t>
      </w:r>
      <w:r>
        <w:rPr>
          <w:rFonts w:ascii="Arial" w:cs="Arial" w:eastAsia="Arial" w:hAnsi="Arial"/>
          <w:sz w:val="17"/>
          <w:szCs w:val="17"/>
          <w:color w:val="auto"/>
        </w:rPr>
        <w:t>equally with or senior to our other subordinated debt that may be outstanding from time to time.</w:t>
      </w:r>
    </w:p>
    <w:p>
      <w:pPr>
        <w:spacing w:after="0" w:line="79"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i w:val="1"/>
          <w:iCs w:val="1"/>
          <w:color w:val="auto"/>
        </w:rPr>
        <w:t xml:space="preserve">Subordination. </w:t>
      </w:r>
      <w:r>
        <w:rPr>
          <w:rFonts w:ascii="Arial" w:cs="Arial" w:eastAsia="Arial" w:hAnsi="Arial"/>
          <w:sz w:val="17"/>
          <w:szCs w:val="17"/>
          <w:color w:val="auto"/>
        </w:rPr>
        <w:t>Under the subordinated indenture, payment of the principal of and any premium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6"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00" w:lineRule="exact"/>
        <w:rPr>
          <w:sz w:val="20"/>
          <w:szCs w:val="20"/>
          <w:color w:val="auto"/>
        </w:rPr>
      </w:pP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GUARANTEES</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0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7"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3"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holders of common stock are entitled to receive dividends when,</w:t>
      </w:r>
      <w:r>
        <w:rPr>
          <w:rFonts w:ascii="Arial" w:cs="Arial" w:eastAsia="Arial" w:hAnsi="Arial"/>
          <w:sz w:val="18"/>
          <w:szCs w:val="18"/>
          <w:i w:val="1"/>
          <w:iCs w:val="1"/>
          <w:color w:val="auto"/>
        </w:rPr>
        <w:t xml:space="preserve"> </w:t>
      </w:r>
      <w:r>
        <w:rPr>
          <w:rFonts w:ascii="Arial" w:cs="Arial" w:eastAsia="Arial" w:hAnsi="Arial"/>
          <w:sz w:val="18"/>
          <w:szCs w:val="18"/>
          <w:color w:val="auto"/>
        </w:rPr>
        <w:t>as and if declared by our Board of Directors. In certain cases, common stockholders may not receive dividends until we satisfy our obligations to any preferred stockholders.</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common stock is entitled to one vote for each share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7"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107"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common stockholders will share ratably in the assets remaining for distribution to stockholders after we pay our creditors and any preferred stockholders.</w:t>
      </w:r>
    </w:p>
    <w:p>
      <w:pPr>
        <w:spacing w:after="0" w:line="107"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w:t>
      </w:r>
      <w:r>
        <w:rPr>
          <w:rFonts w:ascii="Arial" w:cs="Arial" w:eastAsia="Arial" w:hAnsi="Arial"/>
          <w:sz w:val="18"/>
          <w:szCs w:val="18"/>
          <w:i w:val="1"/>
          <w:iCs w:val="1"/>
          <w:color w:val="auto"/>
        </w:rPr>
        <w:t xml:space="preserve"> </w:t>
      </w:r>
      <w:r>
        <w:rPr>
          <w:rFonts w:ascii="Arial" w:cs="Arial" w:eastAsia="Arial" w:hAnsi="Arial"/>
          <w:sz w:val="18"/>
          <w:szCs w:val="18"/>
          <w:color w:val="auto"/>
        </w:rPr>
        <w:t>“WM.”</w:t>
      </w:r>
    </w:p>
    <w:p>
      <w:pPr>
        <w:spacing w:after="0" w:line="103"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in Jersey City, New Jersey.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and Proxy Access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35"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Stockholder Meetings</w:t>
      </w:r>
    </w:p>
    <w:p>
      <w:pPr>
        <w:spacing w:after="0" w:line="135"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a Change of Control</w:t>
      </w:r>
    </w:p>
    <w:p>
      <w:pPr>
        <w:spacing w:after="0" w:line="135"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97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1800" w:right="719" w:hanging="180"/>
        <w:spacing w:after="0" w:line="255"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4"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1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03"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combination of any such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1"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1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07" w:lineRule="exact"/>
        <w:rPr>
          <w:sz w:val="20"/>
          <w:szCs w:val="20"/>
          <w:color w:val="auto"/>
        </w:rPr>
      </w:pPr>
    </w:p>
    <w:p>
      <w:pPr>
        <w:jc w:val="both"/>
        <w:ind w:left="1260" w:right="659" w:firstLine="360"/>
        <w:spacing w:after="0" w:line="24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3"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8"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w:t>
      </w: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39"/>
        <w:spacing w:after="0" w:line="279" w:lineRule="auto"/>
        <w:rPr>
          <w:sz w:val="20"/>
          <w:szCs w:val="20"/>
          <w:color w:val="auto"/>
        </w:rPr>
      </w:pPr>
      <w:r>
        <w:rPr>
          <w:rFonts w:ascii="Arial" w:cs="Arial" w:eastAsia="Arial" w:hAnsi="Arial"/>
          <w:sz w:val="17"/>
          <w:szCs w:val="17"/>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0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11"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consolidated financial statements of Waste Management, Inc. appearing in Waste Management, Inc.’s </w:t>
      </w:r>
      <w:hyperlink r:id="rId105">
        <w:r>
          <w:rPr>
            <w:rFonts w:ascii="Arial" w:cs="Arial" w:eastAsia="Arial" w:hAnsi="Arial"/>
            <w:sz w:val="17"/>
            <w:szCs w:val="17"/>
            <w:u w:val="single" w:color="auto"/>
            <w:color w:val="0000EE"/>
          </w:rPr>
          <w:t>Annual Report (Form 10-K) for the year ended December 31, 2021</w:t>
        </w:r>
      </w:hyperlink>
      <w:r>
        <w:rPr>
          <w:rFonts w:ascii="Arial" w:cs="Arial" w:eastAsia="Arial" w:hAnsi="Arial"/>
          <w:sz w:val="17"/>
          <w:szCs w:val="17"/>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166370</wp:posOffset>
            </wp:positionV>
            <wp:extent cx="2785745" cy="7454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278574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$           % Senior Notes due 2029</w:t>
      </w:r>
    </w:p>
    <w:p>
      <w:pPr>
        <w:spacing w:after="0" w:line="87"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$           %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844550</wp:posOffset>
            </wp:positionV>
            <wp:extent cx="1234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137160</wp:posOffset>
            </wp:positionV>
            <wp:extent cx="1234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860"/>
        <w:spacing w:after="0"/>
        <w:rPr>
          <w:sz w:val="20"/>
          <w:szCs w:val="20"/>
          <w:color w:val="auto"/>
        </w:rPr>
      </w:pPr>
      <w:r>
        <w:rPr>
          <w:rFonts w:ascii="Arial" w:cs="Arial" w:eastAsia="Arial" w:hAnsi="Arial"/>
          <w:sz w:val="18"/>
          <w:szCs w:val="18"/>
          <w:i w:val="1"/>
          <w:iCs w:val="1"/>
          <w:color w:val="auto"/>
        </w:rPr>
        <w:t>Joint Book-Running Managers</w:t>
      </w:r>
    </w:p>
    <w:p>
      <w:pPr>
        <w:spacing w:after="0" w:line="194"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Barclays</w:t>
      </w:r>
    </w:p>
    <w:p>
      <w:pPr>
        <w:jc w:val="center"/>
        <w:ind w:right="-860"/>
        <w:spacing w:after="0"/>
        <w:rPr>
          <w:sz w:val="20"/>
          <w:szCs w:val="20"/>
          <w:color w:val="auto"/>
        </w:rPr>
      </w:pPr>
      <w:r>
        <w:rPr>
          <w:rFonts w:ascii="Arial" w:cs="Arial" w:eastAsia="Arial" w:hAnsi="Arial"/>
          <w:sz w:val="29"/>
          <w:szCs w:val="29"/>
          <w:b w:val="1"/>
          <w:bCs w:val="1"/>
          <w:color w:val="auto"/>
        </w:rPr>
        <w:t>BofA Securities</w:t>
      </w:r>
    </w:p>
    <w:p>
      <w:pPr>
        <w:jc w:val="center"/>
        <w:ind w:right="-860"/>
        <w:spacing w:after="0" w:line="223" w:lineRule="auto"/>
        <w:rPr>
          <w:sz w:val="20"/>
          <w:szCs w:val="20"/>
          <w:color w:val="auto"/>
        </w:rPr>
      </w:pPr>
      <w:r>
        <w:rPr>
          <w:rFonts w:ascii="Arial" w:cs="Arial" w:eastAsia="Arial" w:hAnsi="Arial"/>
          <w:sz w:val="29"/>
          <w:szCs w:val="29"/>
          <w:b w:val="1"/>
          <w:bCs w:val="1"/>
          <w:color w:val="auto"/>
        </w:rPr>
        <w:t>Deutsche Bank Securities</w:t>
      </w:r>
    </w:p>
    <w:p>
      <w:pPr>
        <w:jc w:val="center"/>
        <w:ind w:right="-860"/>
        <w:spacing w:after="0" w:line="223" w:lineRule="auto"/>
        <w:rPr>
          <w:sz w:val="20"/>
          <w:szCs w:val="20"/>
          <w:color w:val="auto"/>
        </w:rPr>
      </w:pPr>
      <w:r>
        <w:rPr>
          <w:rFonts w:ascii="Arial" w:cs="Arial" w:eastAsia="Arial" w:hAnsi="Arial"/>
          <w:sz w:val="29"/>
          <w:szCs w:val="29"/>
          <w:b w:val="1"/>
          <w:bCs w:val="1"/>
          <w:color w:val="auto"/>
        </w:rPr>
        <w:t>Goldman Sachs &amp; Co. LLC</w:t>
      </w:r>
    </w:p>
    <w:p>
      <w:pPr>
        <w:spacing w:after="0" w:line="1" w:lineRule="exact"/>
        <w:rPr>
          <w:sz w:val="20"/>
          <w:szCs w:val="20"/>
          <w:color w:val="auto"/>
        </w:rPr>
      </w:pPr>
    </w:p>
    <w:p>
      <w:pPr>
        <w:jc w:val="center"/>
        <w:ind w:right="-860"/>
        <w:spacing w:after="0"/>
        <w:rPr>
          <w:sz w:val="20"/>
          <w:szCs w:val="20"/>
          <w:color w:val="auto"/>
        </w:rPr>
      </w:pPr>
      <w:r>
        <w:rPr>
          <w:rFonts w:ascii="Arial" w:cs="Arial" w:eastAsia="Arial" w:hAnsi="Arial"/>
          <w:sz w:val="29"/>
          <w:szCs w:val="29"/>
          <w:b w:val="1"/>
          <w:bCs w:val="1"/>
          <w:color w:val="auto"/>
        </w:rPr>
        <w:t>Scotiabank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July  ,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5212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901D82"/>
    <w:multiLevelType w:val="hybridMultilevel"/>
    <w:lvl w:ilvl="0">
      <w:lvlJc w:val="left"/>
      <w:lvlText w:val="(%1)"/>
      <w:numFmt w:val="lowerRoman"/>
      <w:start w:val="3"/>
    </w:lvl>
    <w:lvl w:ilvl="1">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lowerLetter"/>
      <w:start w:val="2"/>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lvl w:ilvl="1">
      <w:lvlJc w:val="left"/>
      <w:lvlText w:val="(%2)"/>
      <w:numFmt w:val="lowerLetter"/>
      <w:start w:val="1"/>
    </w:lvl>
  </w:abstractNum>
  <w:abstractNum w:abstractNumId="9">
    <w:nsid w:val="4516DDE9"/>
    <w:multiLevelType w:val="hybridMultilevel"/>
    <w:lvl w:ilvl="0">
      <w:lvlJc w:val="left"/>
      <w:lvlText w:val="(%1)"/>
      <w:numFmt w:val="lowerRoman"/>
      <w:start w:val="3"/>
    </w:lvl>
  </w:abstractNum>
  <w:abstractNum w:abstractNumId="10">
    <w:nsid w:val="3006C83E"/>
    <w:multiLevelType w:val="hybridMultilevel"/>
    <w:lvl w:ilvl="0">
      <w:lvlJc w:val="left"/>
      <w:lvlText w:val="(%1)"/>
      <w:numFmt w:val="decimal"/>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Roman"/>
      <w:start w:val="2"/>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Roman"/>
      <w:start w:val="3"/>
    </w:lvl>
  </w:abstractNum>
  <w:abstractNum w:abstractNumId="22">
    <w:nsid w:val="51EAD36B"/>
    <w:multiLevelType w:val="hybridMultilevel"/>
    <w:lvl w:ilvl="0">
      <w:lvlJc w:val="left"/>
      <w:lvlText w:val="(%1)"/>
      <w:numFmt w:val="lowerLetter"/>
      <w:start w:val="1"/>
    </w:lvl>
    <w:lvl w:ilvl="1">
      <w:lvlJc w:val="left"/>
      <w:lvlText w:val="(%2)"/>
      <w:numFmt w:val="lowerRoman"/>
      <w:start w:val="1"/>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lowerLetter"/>
      <w:start w:val="35"/>
    </w:lvl>
    <w:lvl w:ilvl="1">
      <w:lvlJc w:val="left"/>
      <w:lvlText w:val="(%2)"/>
      <w:numFmt w:val="lowerLetter"/>
      <w:start w:val="24"/>
    </w:lvl>
  </w:abstractNum>
  <w:abstractNum w:abstractNumId="25">
    <w:nsid w:val="153EA438"/>
    <w:multiLevelType w:val="hybridMultilevel"/>
    <w:lvl w:ilvl="0">
      <w:lvlJc w:val="left"/>
      <w:lvlText w:val="(%1)"/>
      <w:numFmt w:val="lowerLetter"/>
      <w:start w:val="27"/>
    </w:lvl>
  </w:abstractNum>
  <w:abstractNum w:abstractNumId="26">
    <w:nsid w:val="3855585C"/>
    <w:multiLevelType w:val="hybridMultilevel"/>
    <w:lvl w:ilvl="0">
      <w:lvlJc w:val="left"/>
      <w:lvlText w:val="(%1)"/>
      <w:numFmt w:val="lowerLetter"/>
      <w:start w:val="1"/>
    </w:lvl>
    <w:lvl w:ilvl="1">
      <w:lvlJc w:val="left"/>
      <w:lvlText w:val="(%2)"/>
      <w:numFmt w:val="lowerRoman"/>
      <w:start w:val="1"/>
    </w:lvl>
  </w:abstractNum>
  <w:abstractNum w:abstractNumId="27">
    <w:nsid w:val="70A64E2A"/>
    <w:multiLevelType w:val="hybridMultilevel"/>
    <w:lvl w:ilvl="0">
      <w:lvlJc w:val="left"/>
      <w:lvlText w:val="(%1)"/>
      <w:numFmt w:val="decimal"/>
      <w:start w:val="713"/>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713"/>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lowerLetter"/>
      <w:start w:val="1"/>
    </w:lvl>
    <w:lvl w:ilvl="1">
      <w:lvlJc w:val="left"/>
      <w:lvlText w:val="•"/>
      <w:numFmt w:val="bullet"/>
      <w:start w:val="1"/>
    </w:lvl>
  </w:abstractNum>
  <w:abstractNum w:abstractNumId="50">
    <w:nsid w:val="520EEDD1"/>
    <w:multiLevelType w:val="hybridMultilevel"/>
    <w:lvl w:ilvl="0">
      <w:lvlJc w:val="left"/>
      <w:lvlText w:val="(%1)"/>
      <w:numFmt w:val="lowerLetter"/>
      <w:start w:val="14"/>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jpe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jpe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41" Type="http://schemas.openxmlformats.org/officeDocument/2006/relationships/hyperlink" Target="http://www.sec.gov/ix?doc=/Archives/edgar/data/823768/000155837023000964/wm-20221231x10k.htm" TargetMode="External"/><Relationship Id="rId42" Type="http://schemas.openxmlformats.org/officeDocument/2006/relationships/hyperlink" Target="http://www.sec.gov/ix?doc=/Archives/edgar/data/823768/000155837023007024/wm-20230331x10q.htm" TargetMode="External"/><Relationship Id="rId88" Type="http://schemas.openxmlformats.org/officeDocument/2006/relationships/hyperlink" Target="https://www.sec.gov/ix?doc=/Archives/edgar/data/823768/000155837023012266/wm-20230630x10q.htm" TargetMode="External"/><Relationship Id="rId89" Type="http://schemas.openxmlformats.org/officeDocument/2006/relationships/hyperlink" Target="http://www.sec.gov/ix?doc=/Archives/edgar/data/823768/000110465923011281/tm235358d1_8k.htm" TargetMode="External"/><Relationship Id="rId90" Type="http://schemas.openxmlformats.org/officeDocument/2006/relationships/hyperlink" Target="http://www.sec.gov/ix?doc=/Archives/edgar/data/823768/000110465923019722/tm235749d5_8k.htm" TargetMode="External"/><Relationship Id="rId91" Type="http://schemas.openxmlformats.org/officeDocument/2006/relationships/hyperlink" Target="http://www.sec.gov/ix?doc=/Archives/edgar/data/823768/000110465923030666/tm238966d1_8k.htm" TargetMode="External"/><Relationship Id="rId92" Type="http://schemas.openxmlformats.org/officeDocument/2006/relationships/hyperlink" Target="http://www.sec.gov/ix?doc=/Archives/edgar/data/823768/000110465923058503/tm2315236d1_8k.htm" TargetMode="External"/><Relationship Id="rId93" Type="http://schemas.openxmlformats.org/officeDocument/2006/relationships/hyperlink" Target="http://www.sec.gov/ix?doc=/Archives/edgar/data/823768/000110465923037529/tm231382d2_def14a.htm" TargetMode="External"/><Relationship Id="rId105" Type="http://schemas.openxmlformats.org/officeDocument/2006/relationships/hyperlink" Target="http://www.sec.gov/ix?doc=/Archives/edgar/data/823768/000155837022001179/wm-20211231x10k.htm" TargetMode="External"/><Relationship Id="rId106" Type="http://schemas.openxmlformats.org/officeDocument/2006/relationships/hyperlink" Target="http://www.sec.gov/ix?doc=/Archives/edgar/data/823768/000155837022004593/wm-20211231x10ka.htm" TargetMode="External"/><Relationship Id="rId107" Type="http://schemas.openxmlformats.org/officeDocument/2006/relationships/hyperlink" Target="http://www.sec.gov/ix?doc=/Archives/edgar/data/823768/000155837022005976/wm-20220331x10q.htm" TargetMode="External"/><Relationship Id="rId108" Type="http://schemas.openxmlformats.org/officeDocument/2006/relationships/hyperlink" Target="http://www.sec.gov/ix?doc=/Archives/edgar/data/823768/000110465922030973/tm228341d1_8k.htm" TargetMode="External"/><Relationship Id="rId109" Type="http://schemas.openxmlformats.org/officeDocument/2006/relationships/hyperlink" Target="http://www.sec.gov/Archives/edgar/data/823768/000110465922039107/tm223363-1_def14a.htm" TargetMode="External"/><Relationship Id="rId110" Type="http://schemas.openxmlformats.org/officeDocument/2006/relationships/hyperlink" Target="http://www.sec.gov/Archives/edgar/data/823768/0000950134-95-001585-index.htm" TargetMode="External"/><Relationship Id="rId111"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2023-07-27T08:36:20Z</dcterms:created>
  <dcterms:modified xsi:type="dcterms:W3CDTF">2023-07-27T08:36:20Z</dcterms:modified>
</cp:coreProperties>
</file>