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838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As filed with the Securities and Exchange Commission on June 2, 1995</w:t>
            </w:r>
          </w:p>
        </w:tc>
      </w:tr>
      <w:tr>
        <w:trPr>
          <w:trHeight w:val="403"/>
        </w:trPr>
        <w:tc>
          <w:tcPr>
            <w:tcW w:w="4720" w:type="dxa"/>
            <w:vAlign w:val="bottom"/>
          </w:tcPr>
          <w:p>
            <w:pPr>
              <w:spacing w:after="0"/>
              <w:rPr>
                <w:sz w:val="24"/>
                <w:szCs w:val="24"/>
                <w:color w:val="auto"/>
              </w:rPr>
            </w:pPr>
          </w:p>
        </w:tc>
        <w:tc>
          <w:tcPr>
            <w:tcW w:w="3660" w:type="dxa"/>
            <w:vAlign w:val="bottom"/>
          </w:tcPr>
          <w:p>
            <w:pPr>
              <w:ind w:left="320"/>
              <w:spacing w:after="0"/>
              <w:rPr>
                <w:sz w:val="20"/>
                <w:szCs w:val="20"/>
                <w:color w:val="auto"/>
              </w:rPr>
            </w:pPr>
            <w:r>
              <w:rPr>
                <w:rFonts w:ascii="Courier New" w:cs="Courier New" w:eastAsia="Courier New" w:hAnsi="Courier New"/>
                <w:sz w:val="17"/>
                <w:szCs w:val="17"/>
                <w:color w:val="auto"/>
              </w:rPr>
              <w:t>Registration No. 33-</w:t>
            </w:r>
          </w:p>
        </w:tc>
      </w:tr>
      <w:tr>
        <w:trPr>
          <w:trHeight w:val="201"/>
        </w:trPr>
        <w:tc>
          <w:tcPr>
            <w:tcW w:w="8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SECURITIES AND EXCHANGE COMMISSION</w:t>
            </w:r>
          </w:p>
        </w:tc>
      </w:tr>
      <w:tr>
        <w:trPr>
          <w:trHeight w:val="201"/>
        </w:trPr>
        <w:tc>
          <w:tcPr>
            <w:tcW w:w="4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Washington, D.C.</w:t>
            </w:r>
          </w:p>
        </w:tc>
        <w:tc>
          <w:tcPr>
            <w:tcW w:w="3660" w:type="dxa"/>
            <w:vAlign w:val="bottom"/>
          </w:tcPr>
          <w:p>
            <w:pPr>
              <w:ind w:left="100"/>
              <w:spacing w:after="0"/>
              <w:rPr>
                <w:sz w:val="20"/>
                <w:szCs w:val="20"/>
                <w:color w:val="auto"/>
              </w:rPr>
            </w:pPr>
            <w:r>
              <w:rPr>
                <w:rFonts w:ascii="Courier New" w:cs="Courier New" w:eastAsia="Courier New" w:hAnsi="Courier New"/>
                <w:sz w:val="17"/>
                <w:szCs w:val="17"/>
                <w:color w:val="auto"/>
              </w:rPr>
              <w:t>20549</w:t>
            </w: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r>
      <w:tr>
        <w:trPr>
          <w:trHeight w:val="403"/>
        </w:trPr>
        <w:tc>
          <w:tcPr>
            <w:tcW w:w="4720" w:type="dxa"/>
            <w:vAlign w:val="bottom"/>
          </w:tcPr>
          <w:p>
            <w:pPr>
              <w:jc w:val="center"/>
              <w:ind w:left="3593"/>
              <w:spacing w:after="0"/>
              <w:rPr>
                <w:sz w:val="20"/>
                <w:szCs w:val="20"/>
                <w:color w:val="auto"/>
              </w:rPr>
            </w:pPr>
            <w:r>
              <w:rPr>
                <w:rFonts w:ascii="Courier New" w:cs="Courier New" w:eastAsia="Courier New" w:hAnsi="Courier New"/>
                <w:sz w:val="17"/>
                <w:szCs w:val="17"/>
                <w:color w:val="auto"/>
              </w:rPr>
              <w:t>FORM S-8</w:t>
            </w:r>
          </w:p>
        </w:tc>
        <w:tc>
          <w:tcPr>
            <w:tcW w:w="3660" w:type="dxa"/>
            <w:vAlign w:val="bottom"/>
          </w:tcPr>
          <w:p>
            <w:pPr>
              <w:spacing w:after="0"/>
              <w:rPr>
                <w:sz w:val="24"/>
                <w:szCs w:val="24"/>
                <w:color w:val="auto"/>
              </w:rPr>
            </w:pP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REGISTRATION STATEMENT UNDER</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THE SECURITIES ACT OF 1933</w:t>
            </w: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USA WASTE SERVICES, INC.</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(Exact name of registrant as specified in its charter)</w:t>
            </w:r>
          </w:p>
        </w:tc>
      </w:tr>
      <w:tr>
        <w:trPr>
          <w:trHeight w:val="403"/>
        </w:trPr>
        <w:tc>
          <w:tcPr>
            <w:tcW w:w="4720" w:type="dxa"/>
            <w:vAlign w:val="bottom"/>
          </w:tcPr>
          <w:p>
            <w:pPr>
              <w:jc w:val="right"/>
              <w:ind w:right="2853"/>
              <w:spacing w:after="0"/>
              <w:rPr>
                <w:sz w:val="20"/>
                <w:szCs w:val="20"/>
                <w:color w:val="auto"/>
              </w:rPr>
            </w:pPr>
            <w:r>
              <w:rPr>
                <w:rFonts w:ascii="Courier New" w:cs="Courier New" w:eastAsia="Courier New" w:hAnsi="Courier New"/>
                <w:sz w:val="17"/>
                <w:szCs w:val="17"/>
                <w:color w:val="auto"/>
              </w:rPr>
              <w:t>OKLAHOMA</w:t>
            </w:r>
          </w:p>
        </w:tc>
        <w:tc>
          <w:tcPr>
            <w:tcW w:w="3660" w:type="dxa"/>
            <w:vAlign w:val="bottom"/>
          </w:tcPr>
          <w:p>
            <w:pPr>
              <w:ind w:left="1680"/>
              <w:spacing w:after="0"/>
              <w:rPr>
                <w:sz w:val="20"/>
                <w:szCs w:val="20"/>
                <w:color w:val="auto"/>
              </w:rPr>
            </w:pPr>
            <w:r>
              <w:rPr>
                <w:rFonts w:ascii="Courier New" w:cs="Courier New" w:eastAsia="Courier New" w:hAnsi="Courier New"/>
                <w:sz w:val="17"/>
                <w:szCs w:val="17"/>
                <w:color w:val="auto"/>
              </w:rPr>
              <w:t>73-1309529</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(State or other jurisdiction</w:t>
            </w:r>
          </w:p>
        </w:tc>
        <w:tc>
          <w:tcPr>
            <w:tcW w:w="3660" w:type="dxa"/>
            <w:vAlign w:val="bottom"/>
          </w:tcPr>
          <w:p>
            <w:pPr>
              <w:ind w:left="1360"/>
              <w:spacing w:after="0"/>
              <w:rPr>
                <w:sz w:val="20"/>
                <w:szCs w:val="20"/>
                <w:color w:val="auto"/>
              </w:rPr>
            </w:pPr>
            <w:r>
              <w:rPr>
                <w:rFonts w:ascii="Courier New" w:cs="Courier New" w:eastAsia="Courier New" w:hAnsi="Courier New"/>
                <w:sz w:val="17"/>
                <w:szCs w:val="17"/>
                <w:color w:val="auto"/>
              </w:rPr>
              <w:t>(I.R.S. Employer</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3660" w:type="dxa"/>
            <w:vAlign w:val="bottom"/>
          </w:tcPr>
          <w:p>
            <w:pPr>
              <w:ind w:left="1260"/>
              <w:spacing w:after="0"/>
              <w:rPr>
                <w:sz w:val="20"/>
                <w:szCs w:val="20"/>
                <w:color w:val="auto"/>
              </w:rPr>
            </w:pPr>
            <w:r>
              <w:rPr>
                <w:rFonts w:ascii="Courier New" w:cs="Courier New" w:eastAsia="Courier New" w:hAnsi="Courier New"/>
                <w:sz w:val="17"/>
                <w:szCs w:val="17"/>
                <w:color w:val="auto"/>
              </w:rPr>
              <w:t>Identification No.)</w:t>
            </w:r>
          </w:p>
        </w:tc>
      </w:tr>
      <w:tr>
        <w:trPr>
          <w:trHeight w:val="403"/>
        </w:trPr>
        <w:tc>
          <w:tcPr>
            <w:tcW w:w="4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5000 QUORUM DRIVE,</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SUITE 300</w:t>
            </w:r>
          </w:p>
        </w:tc>
      </w:tr>
      <w:tr>
        <w:trPr>
          <w:trHeight w:val="201"/>
        </w:trPr>
        <w:tc>
          <w:tcPr>
            <w:tcW w:w="4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DALLAS, TEXAS</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75240</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(Address of principal executive offices)</w:t>
            </w:r>
          </w:p>
        </w:tc>
      </w:tr>
      <w:tr>
        <w:trPr>
          <w:trHeight w:val="403"/>
        </w:trPr>
        <w:tc>
          <w:tcPr>
            <w:tcW w:w="838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EMPLOYEE SAVINGS PLAN</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(Full title of the plan)</w:t>
            </w: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EARL E. DEFRATES</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USA WASTE SERVICES, INC.</w:t>
            </w:r>
          </w:p>
        </w:tc>
      </w:tr>
      <w:tr>
        <w:trPr>
          <w:trHeight w:val="201"/>
        </w:trPr>
        <w:tc>
          <w:tcPr>
            <w:tcW w:w="4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5000 QUORUM DRIVE,</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SUITE 300</w:t>
            </w:r>
          </w:p>
        </w:tc>
      </w:tr>
      <w:tr>
        <w:trPr>
          <w:trHeight w:val="201"/>
        </w:trPr>
        <w:tc>
          <w:tcPr>
            <w:tcW w:w="4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DALLAS, TEXAS</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75240</w:t>
            </w:r>
          </w:p>
        </w:tc>
      </w:tr>
      <w:tr>
        <w:trPr>
          <w:trHeight w:val="201"/>
        </w:trPr>
        <w:tc>
          <w:tcPr>
            <w:tcW w:w="8380" w:type="dxa"/>
            <w:vAlign w:val="bottom"/>
            <w:gridSpan w:val="2"/>
          </w:tcPr>
          <w:p>
            <w:pPr>
              <w:jc w:val="right"/>
              <w:ind w:right="3373"/>
              <w:spacing w:after="0"/>
              <w:rPr>
                <w:sz w:val="20"/>
                <w:szCs w:val="20"/>
                <w:color w:val="auto"/>
              </w:rPr>
            </w:pPr>
            <w:r>
              <w:rPr>
                <w:rFonts w:ascii="Courier New" w:cs="Courier New" w:eastAsia="Courier New" w:hAnsi="Courier New"/>
                <w:sz w:val="17"/>
                <w:szCs w:val="17"/>
                <w:color w:val="auto"/>
              </w:rPr>
              <w:t>(214) 383-7900</w:t>
            </w:r>
          </w:p>
        </w:tc>
      </w:tr>
      <w:tr>
        <w:trPr>
          <w:trHeight w:val="201"/>
        </w:trPr>
        <w:tc>
          <w:tcPr>
            <w:tcW w:w="838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(Name, address and telephone number of agent for service)</w:t>
            </w:r>
          </w:p>
        </w:tc>
      </w:tr>
      <w:tr>
        <w:trPr>
          <w:trHeight w:val="403"/>
        </w:trPr>
        <w:tc>
          <w:tcPr>
            <w:tcW w:w="4720" w:type="dxa"/>
            <w:vAlign w:val="bottom"/>
          </w:tcPr>
          <w:p>
            <w:pPr>
              <w:jc w:val="center"/>
              <w:ind w:left="3593"/>
              <w:spacing w:after="0"/>
              <w:rPr>
                <w:sz w:val="20"/>
                <w:szCs w:val="20"/>
                <w:color w:val="auto"/>
              </w:rPr>
            </w:pPr>
            <w:r>
              <w:rPr>
                <w:rFonts w:ascii="Courier New" w:cs="Courier New" w:eastAsia="Courier New" w:hAnsi="Courier New"/>
                <w:sz w:val="17"/>
                <w:szCs w:val="17"/>
                <w:color w:val="auto"/>
              </w:rPr>
              <w:t>Copies to:</w:t>
            </w:r>
          </w:p>
        </w:tc>
        <w:tc>
          <w:tcPr>
            <w:tcW w:w="3660" w:type="dxa"/>
            <w:vAlign w:val="bottom"/>
          </w:tcPr>
          <w:p>
            <w:pPr>
              <w:spacing w:after="0"/>
              <w:rPr>
                <w:sz w:val="24"/>
                <w:szCs w:val="24"/>
                <w:color w:val="auto"/>
              </w:rPr>
            </w:pPr>
          </w:p>
        </w:tc>
      </w:tr>
      <w:tr>
        <w:trPr>
          <w:trHeight w:val="403"/>
        </w:trPr>
        <w:tc>
          <w:tcPr>
            <w:tcW w:w="838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JOHN T. UNGER</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SNELL &amp; SMITH, P. C.</w:t>
            </w:r>
          </w:p>
        </w:tc>
      </w:tr>
      <w:tr>
        <w:trPr>
          <w:trHeight w:val="201"/>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1000 LOUISIANA, SUITE 3650</w:t>
            </w:r>
          </w:p>
        </w:tc>
      </w:tr>
      <w:tr>
        <w:trPr>
          <w:trHeight w:val="201"/>
        </w:trPr>
        <w:tc>
          <w:tcPr>
            <w:tcW w:w="4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HOUSTON, TEXAS</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77002</w:t>
            </w:r>
          </w:p>
        </w:tc>
      </w:tr>
      <w:tr>
        <w:trPr>
          <w:trHeight w:val="403"/>
        </w:trPr>
        <w:tc>
          <w:tcPr>
            <w:tcW w:w="83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r>
      <w:tr>
        <w:trPr>
          <w:trHeight w:val="403"/>
        </w:trPr>
        <w:tc>
          <w:tcPr>
            <w:tcW w:w="838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CALCULATION OF REGISTRATION FEE</w:t>
            </w:r>
          </w:p>
        </w:tc>
      </w:tr>
    </w:tbl>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tbl>
      <w:tblPr>
        <w:tblLayout w:type="fixed"/>
        <w:tblInd w:w="320" w:type="dxa"/>
        <w:tblCellMar>
          <w:top w:w="0" w:type="dxa"/>
          <w:left w:w="0" w:type="dxa"/>
          <w:bottom w:w="0" w:type="dxa"/>
          <w:right w:w="0" w:type="dxa"/>
        </w:tblCellMar>
      </w:tblPr>
      <w:tr>
        <w:trPr>
          <w:trHeight w:val="197"/>
        </w:trPr>
        <w:tc>
          <w:tcPr>
            <w:tcW w:w="18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40" w:type="dxa"/>
            <w:vAlign w:val="bottom"/>
          </w:tcPr>
          <w:p>
            <w:pPr>
              <w:ind w:left="620"/>
              <w:spacing w:after="0"/>
              <w:rPr>
                <w:sz w:val="20"/>
                <w:szCs w:val="20"/>
                <w:color w:val="auto"/>
              </w:rPr>
            </w:pPr>
            <w:r>
              <w:rPr>
                <w:rFonts w:ascii="Courier New" w:cs="Courier New" w:eastAsia="Courier New" w:hAnsi="Courier New"/>
                <w:sz w:val="17"/>
                <w:szCs w:val="17"/>
                <w:color w:val="auto"/>
              </w:rPr>
              <w:t>Proposed</w:t>
            </w:r>
          </w:p>
        </w:tc>
        <w:tc>
          <w:tcPr>
            <w:tcW w:w="2160" w:type="dxa"/>
            <w:vAlign w:val="bottom"/>
          </w:tcPr>
          <w:p>
            <w:pPr>
              <w:ind w:left="680"/>
              <w:spacing w:after="0"/>
              <w:rPr>
                <w:sz w:val="20"/>
                <w:szCs w:val="20"/>
                <w:color w:val="auto"/>
              </w:rPr>
            </w:pPr>
            <w:r>
              <w:rPr>
                <w:rFonts w:ascii="Courier New" w:cs="Courier New" w:eastAsia="Courier New" w:hAnsi="Courier New"/>
                <w:sz w:val="17"/>
                <w:szCs w:val="17"/>
                <w:color w:val="auto"/>
              </w:rPr>
              <w:t>Proposed</w:t>
            </w: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1880" w:type="dxa"/>
            <w:vAlign w:val="bottom"/>
          </w:tcPr>
          <w:p>
            <w:pPr>
              <w:jc w:val="center"/>
              <w:ind w:right="753"/>
              <w:spacing w:after="0"/>
              <w:rPr>
                <w:sz w:val="20"/>
                <w:szCs w:val="20"/>
                <w:color w:val="auto"/>
              </w:rPr>
            </w:pPr>
            <w:r>
              <w:rPr>
                <w:rFonts w:ascii="Courier New" w:cs="Courier New" w:eastAsia="Courier New" w:hAnsi="Courier New"/>
                <w:sz w:val="17"/>
                <w:szCs w:val="17"/>
                <w:color w:val="auto"/>
              </w:rPr>
              <w:t>Title of</w:t>
            </w:r>
          </w:p>
        </w:tc>
        <w:tc>
          <w:tcPr>
            <w:tcW w:w="2840" w:type="dxa"/>
            <w:vAlign w:val="bottom"/>
          </w:tcPr>
          <w:p>
            <w:pPr>
              <w:spacing w:after="0"/>
              <w:rPr>
                <w:sz w:val="17"/>
                <w:szCs w:val="17"/>
                <w:color w:val="auto"/>
              </w:rPr>
            </w:pPr>
          </w:p>
        </w:tc>
        <w:tc>
          <w:tcPr>
            <w:tcW w:w="2240" w:type="dxa"/>
            <w:vAlign w:val="bottom"/>
          </w:tcPr>
          <w:p>
            <w:pPr>
              <w:ind w:left="620"/>
              <w:spacing w:after="0"/>
              <w:rPr>
                <w:sz w:val="20"/>
                <w:szCs w:val="20"/>
                <w:color w:val="auto"/>
              </w:rPr>
            </w:pPr>
            <w:r>
              <w:rPr>
                <w:rFonts w:ascii="Courier New" w:cs="Courier New" w:eastAsia="Courier New" w:hAnsi="Courier New"/>
                <w:sz w:val="17"/>
                <w:szCs w:val="17"/>
                <w:color w:val="auto"/>
              </w:rPr>
              <w:t>maximum</w:t>
            </w:r>
          </w:p>
        </w:tc>
        <w:tc>
          <w:tcPr>
            <w:tcW w:w="2160" w:type="dxa"/>
            <w:vAlign w:val="bottom"/>
          </w:tcPr>
          <w:p>
            <w:pPr>
              <w:ind w:left="680"/>
              <w:spacing w:after="0"/>
              <w:rPr>
                <w:sz w:val="20"/>
                <w:szCs w:val="20"/>
                <w:color w:val="auto"/>
              </w:rPr>
            </w:pPr>
            <w:r>
              <w:rPr>
                <w:rFonts w:ascii="Courier New" w:cs="Courier New" w:eastAsia="Courier New" w:hAnsi="Courier New"/>
                <w:sz w:val="17"/>
                <w:szCs w:val="17"/>
                <w:color w:val="auto"/>
              </w:rPr>
              <w:t>maximum</w:t>
            </w: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1880" w:type="dxa"/>
            <w:vAlign w:val="bottom"/>
          </w:tcPr>
          <w:p>
            <w:pPr>
              <w:jc w:val="center"/>
              <w:ind w:right="753"/>
              <w:spacing w:after="0"/>
              <w:rPr>
                <w:sz w:val="20"/>
                <w:szCs w:val="20"/>
                <w:color w:val="auto"/>
              </w:rPr>
            </w:pPr>
            <w:r>
              <w:rPr>
                <w:rFonts w:ascii="Courier New" w:cs="Courier New" w:eastAsia="Courier New" w:hAnsi="Courier New"/>
                <w:sz w:val="17"/>
                <w:szCs w:val="17"/>
                <w:color w:val="auto"/>
              </w:rPr>
              <w:t>securities</w:t>
            </w:r>
          </w:p>
        </w:tc>
        <w:tc>
          <w:tcPr>
            <w:tcW w:w="2840" w:type="dxa"/>
            <w:vAlign w:val="bottom"/>
          </w:tcPr>
          <w:p>
            <w:pPr>
              <w:ind w:left="1160"/>
              <w:spacing w:after="0"/>
              <w:rPr>
                <w:sz w:val="20"/>
                <w:szCs w:val="20"/>
                <w:color w:val="auto"/>
              </w:rPr>
            </w:pPr>
            <w:r>
              <w:rPr>
                <w:rFonts w:ascii="Courier New" w:cs="Courier New" w:eastAsia="Courier New" w:hAnsi="Courier New"/>
                <w:sz w:val="17"/>
                <w:szCs w:val="17"/>
                <w:color w:val="auto"/>
              </w:rPr>
              <w:t>Amount</w:t>
            </w:r>
          </w:p>
        </w:tc>
        <w:tc>
          <w:tcPr>
            <w:tcW w:w="2240" w:type="dxa"/>
            <w:vAlign w:val="bottom"/>
          </w:tcPr>
          <w:p>
            <w:pPr>
              <w:ind w:left="620"/>
              <w:spacing w:after="0"/>
              <w:rPr>
                <w:sz w:val="20"/>
                <w:szCs w:val="20"/>
                <w:color w:val="auto"/>
              </w:rPr>
            </w:pPr>
            <w:r>
              <w:rPr>
                <w:rFonts w:ascii="Courier New" w:cs="Courier New" w:eastAsia="Courier New" w:hAnsi="Courier New"/>
                <w:sz w:val="17"/>
                <w:szCs w:val="17"/>
                <w:color w:val="auto"/>
              </w:rPr>
              <w:t>offering</w:t>
            </w:r>
          </w:p>
        </w:tc>
        <w:tc>
          <w:tcPr>
            <w:tcW w:w="2160" w:type="dxa"/>
            <w:vAlign w:val="bottom"/>
          </w:tcPr>
          <w:p>
            <w:pPr>
              <w:ind w:left="680"/>
              <w:spacing w:after="0"/>
              <w:rPr>
                <w:sz w:val="20"/>
                <w:szCs w:val="20"/>
                <w:color w:val="auto"/>
              </w:rPr>
            </w:pPr>
            <w:r>
              <w:rPr>
                <w:rFonts w:ascii="Courier New" w:cs="Courier New" w:eastAsia="Courier New" w:hAnsi="Courier New"/>
                <w:sz w:val="17"/>
                <w:szCs w:val="17"/>
                <w:color w:val="auto"/>
              </w:rPr>
              <w:t>aggregate</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Amount</w:t>
            </w:r>
          </w:p>
        </w:tc>
        <w:tc>
          <w:tcPr>
            <w:tcW w:w="38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r>
      <w:tr>
        <w:trPr>
          <w:trHeight w:val="201"/>
        </w:trPr>
        <w:tc>
          <w:tcPr>
            <w:tcW w:w="1880" w:type="dxa"/>
            <w:vAlign w:val="bottom"/>
          </w:tcPr>
          <w:p>
            <w:pPr>
              <w:ind w:left="220"/>
              <w:spacing w:after="0"/>
              <w:rPr>
                <w:sz w:val="20"/>
                <w:szCs w:val="20"/>
                <w:color w:val="auto"/>
              </w:rPr>
            </w:pPr>
            <w:r>
              <w:rPr>
                <w:rFonts w:ascii="Courier New" w:cs="Courier New" w:eastAsia="Courier New" w:hAnsi="Courier New"/>
                <w:sz w:val="17"/>
                <w:szCs w:val="17"/>
                <w:color w:val="auto"/>
              </w:rPr>
              <w:t>to be</w:t>
            </w:r>
          </w:p>
        </w:tc>
        <w:tc>
          <w:tcPr>
            <w:tcW w:w="2840" w:type="dxa"/>
            <w:vAlign w:val="bottom"/>
          </w:tcPr>
          <w:p>
            <w:pPr>
              <w:ind w:left="1160"/>
              <w:spacing w:after="0"/>
              <w:rPr>
                <w:sz w:val="20"/>
                <w:szCs w:val="20"/>
                <w:color w:val="auto"/>
              </w:rPr>
            </w:pPr>
            <w:r>
              <w:rPr>
                <w:rFonts w:ascii="Courier New" w:cs="Courier New" w:eastAsia="Courier New" w:hAnsi="Courier New"/>
                <w:sz w:val="17"/>
                <w:szCs w:val="17"/>
                <w:color w:val="auto"/>
              </w:rPr>
              <w:t>to be</w:t>
            </w:r>
          </w:p>
        </w:tc>
        <w:tc>
          <w:tcPr>
            <w:tcW w:w="2240" w:type="dxa"/>
            <w:vAlign w:val="bottom"/>
          </w:tcPr>
          <w:p>
            <w:pPr>
              <w:ind w:left="720"/>
              <w:spacing w:after="0"/>
              <w:rPr>
                <w:sz w:val="20"/>
                <w:szCs w:val="20"/>
                <w:color w:val="auto"/>
              </w:rPr>
            </w:pPr>
            <w:r>
              <w:rPr>
                <w:rFonts w:ascii="Courier New" w:cs="Courier New" w:eastAsia="Courier New" w:hAnsi="Courier New"/>
                <w:sz w:val="17"/>
                <w:szCs w:val="17"/>
                <w:color w:val="auto"/>
              </w:rPr>
              <w:t>price</w:t>
            </w:r>
          </w:p>
        </w:tc>
        <w:tc>
          <w:tcPr>
            <w:tcW w:w="2160" w:type="dxa"/>
            <w:vAlign w:val="bottom"/>
          </w:tcPr>
          <w:p>
            <w:pPr>
              <w:ind w:left="680"/>
              <w:spacing w:after="0"/>
              <w:rPr>
                <w:sz w:val="20"/>
                <w:szCs w:val="20"/>
                <w:color w:val="auto"/>
              </w:rPr>
            </w:pPr>
            <w:r>
              <w:rPr>
                <w:rFonts w:ascii="Courier New" w:cs="Courier New" w:eastAsia="Courier New" w:hAnsi="Courier New"/>
                <w:sz w:val="17"/>
                <w:szCs w:val="17"/>
                <w:color w:val="auto"/>
              </w:rPr>
              <w:t>offering</w:t>
            </w:r>
          </w:p>
        </w:tc>
        <w:tc>
          <w:tcPr>
            <w:tcW w:w="17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registration</w:t>
            </w:r>
          </w:p>
        </w:tc>
      </w:tr>
      <w:tr>
        <w:trPr>
          <w:trHeight w:val="201"/>
        </w:trPr>
        <w:tc>
          <w:tcPr>
            <w:tcW w:w="1880" w:type="dxa"/>
            <w:vAlign w:val="bottom"/>
          </w:tcPr>
          <w:p>
            <w:pPr>
              <w:jc w:val="center"/>
              <w:ind w:right="753"/>
              <w:spacing w:after="0"/>
              <w:rPr>
                <w:sz w:val="20"/>
                <w:szCs w:val="20"/>
                <w:color w:val="auto"/>
              </w:rPr>
            </w:pPr>
            <w:r>
              <w:rPr>
                <w:rFonts w:ascii="Courier New" w:cs="Courier New" w:eastAsia="Courier New" w:hAnsi="Courier New"/>
                <w:sz w:val="17"/>
                <w:szCs w:val="17"/>
                <w:color w:val="auto"/>
              </w:rPr>
              <w:t>registered</w:t>
            </w:r>
          </w:p>
        </w:tc>
        <w:tc>
          <w:tcPr>
            <w:tcW w:w="2840" w:type="dxa"/>
            <w:vAlign w:val="bottom"/>
          </w:tcPr>
          <w:p>
            <w:pPr>
              <w:ind w:left="840"/>
              <w:spacing w:after="0"/>
              <w:rPr>
                <w:sz w:val="20"/>
                <w:szCs w:val="20"/>
                <w:color w:val="auto"/>
              </w:rPr>
            </w:pPr>
            <w:r>
              <w:rPr>
                <w:rFonts w:ascii="Courier New" w:cs="Courier New" w:eastAsia="Courier New" w:hAnsi="Courier New"/>
                <w:sz w:val="17"/>
                <w:szCs w:val="17"/>
                <w:color w:val="auto"/>
              </w:rPr>
              <w:t>registered(1)</w:t>
            </w:r>
          </w:p>
        </w:tc>
        <w:tc>
          <w:tcPr>
            <w:tcW w:w="2240" w:type="dxa"/>
            <w:vAlign w:val="bottom"/>
          </w:tcPr>
          <w:p>
            <w:pPr>
              <w:ind w:left="620"/>
              <w:spacing w:after="0"/>
              <w:rPr>
                <w:sz w:val="20"/>
                <w:szCs w:val="20"/>
                <w:color w:val="auto"/>
              </w:rPr>
            </w:pPr>
            <w:r>
              <w:rPr>
                <w:rFonts w:ascii="Courier New" w:cs="Courier New" w:eastAsia="Courier New" w:hAnsi="Courier New"/>
                <w:sz w:val="17"/>
                <w:szCs w:val="17"/>
                <w:color w:val="auto"/>
              </w:rPr>
              <w:t>per share</w:t>
            </w:r>
          </w:p>
        </w:tc>
        <w:tc>
          <w:tcPr>
            <w:tcW w:w="2160" w:type="dxa"/>
            <w:vAlign w:val="bottom"/>
          </w:tcPr>
          <w:p>
            <w:pPr>
              <w:ind w:left="900"/>
              <w:spacing w:after="0"/>
              <w:rPr>
                <w:sz w:val="20"/>
                <w:szCs w:val="20"/>
                <w:color w:val="auto"/>
              </w:rPr>
            </w:pPr>
            <w:r>
              <w:rPr>
                <w:rFonts w:ascii="Courier New" w:cs="Courier New" w:eastAsia="Courier New" w:hAnsi="Courier New"/>
                <w:sz w:val="17"/>
                <w:szCs w:val="17"/>
                <w:color w:val="auto"/>
              </w:rPr>
              <w:t>price</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fee</w:t>
            </w:r>
          </w:p>
        </w:tc>
        <w:tc>
          <w:tcPr>
            <w:tcW w:w="38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4"/>
          <w:szCs w:val="24"/>
          <w:color w:val="auto"/>
        </w:rPr>
      </w:pPr>
    </w:p>
    <w:tbl>
      <w:tblPr>
        <w:tblLayout w:type="fixed"/>
        <w:tblInd w:w="220" w:type="dxa"/>
        <w:tblCellMar>
          <w:top w:w="0" w:type="dxa"/>
          <w:left w:w="0" w:type="dxa"/>
          <w:bottom w:w="0" w:type="dxa"/>
          <w:right w:w="0" w:type="dxa"/>
        </w:tblCellMar>
      </w:tblP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2720" w:type="dxa"/>
            <w:vAlign w:val="bottom"/>
          </w:tcPr>
          <w:p>
            <w:pPr>
              <w:ind w:left="620"/>
              <w:spacing w:after="0"/>
              <w:rPr>
                <w:sz w:val="20"/>
                <w:szCs w:val="20"/>
                <w:color w:val="auto"/>
              </w:rPr>
            </w:pPr>
            <w:r>
              <w:rPr>
                <w:rFonts w:ascii="Courier New" w:cs="Courier New" w:eastAsia="Courier New" w:hAnsi="Courier New"/>
                <w:sz w:val="17"/>
                <w:szCs w:val="17"/>
                <w:color w:val="auto"/>
              </w:rPr>
              <w:t>500,000 shares</w:t>
            </w:r>
          </w:p>
        </w:tc>
        <w:tc>
          <w:tcPr>
            <w:tcW w:w="2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$14.875(2)</w:t>
            </w:r>
          </w:p>
        </w:tc>
        <w:tc>
          <w:tcPr>
            <w:tcW w:w="22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$7,437,500</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$2,564.66</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$.01 par value</w:t>
            </w:r>
          </w:p>
        </w:tc>
        <w:tc>
          <w:tcPr>
            <w:tcW w:w="2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960" w:right="3440" w:hanging="953"/>
        <w:spacing w:after="0" w:line="251" w:lineRule="auto"/>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also includes an indeterminable number of additional shares that may become issuable pursuant to the antidilution adjustment provisions of the plan.</w:t>
      </w:r>
    </w:p>
    <w:p>
      <w:pPr>
        <w:ind w:left="960" w:right="3240" w:hanging="953"/>
        <w:spacing w:after="0" w:line="257" w:lineRule="auto"/>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accordance with Rule 457, calculated on the basis of the closing price for Common Stock on the New York Stock Exchange on May 30, 1995.</w:t>
      </w:r>
    </w:p>
    <w:p>
      <w:pPr>
        <w:spacing w:after="0" w:line="191" w:lineRule="exact"/>
        <w:rPr>
          <w:rFonts w:ascii="Courier New" w:cs="Courier New" w:eastAsia="Courier New" w:hAnsi="Courier New"/>
          <w:sz w:val="17"/>
          <w:szCs w:val="17"/>
          <w:color w:val="auto"/>
        </w:rPr>
      </w:pPr>
    </w:p>
    <w:p>
      <w:pPr>
        <w:ind w:left="960" w:right="3240"/>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pursuant to Rule 416(c) under the Securities Act of 1933, this registration statement also covers an indeterminate amount of interests to be offered and sold pursuant to the employee benefit plan described herein.</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249" w:right="139" w:bottom="927"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3.</w:t>
        <w:tab/>
        <w:t>INCORPORATION OF CERTAIN DOCUMENTS BY REFERENCE</w:t>
      </w:r>
    </w:p>
    <w:p>
      <w:pPr>
        <w:spacing w:after="0" w:line="210" w:lineRule="exact"/>
        <w:rPr>
          <w:sz w:val="20"/>
          <w:szCs w:val="20"/>
          <w:color w:val="auto"/>
        </w:rPr>
      </w:pPr>
    </w:p>
    <w:p>
      <w:pPr>
        <w:ind w:right="2879" w:firstLine="943"/>
        <w:spacing w:after="0" w:line="257" w:lineRule="auto"/>
        <w:rPr>
          <w:sz w:val="20"/>
          <w:szCs w:val="20"/>
          <w:color w:val="auto"/>
        </w:rPr>
      </w:pPr>
      <w:r>
        <w:rPr>
          <w:rFonts w:ascii="Courier New" w:cs="Courier New" w:eastAsia="Courier New" w:hAnsi="Courier New"/>
          <w:sz w:val="17"/>
          <w:szCs w:val="17"/>
          <w:color w:val="auto"/>
        </w:rPr>
        <w:t>The following documents are incorporated by reference in this registration statement:</w:t>
      </w:r>
    </w:p>
    <w:p>
      <w:pPr>
        <w:spacing w:after="0" w:line="192" w:lineRule="exact"/>
        <w:rPr>
          <w:sz w:val="20"/>
          <w:szCs w:val="20"/>
          <w:color w:val="auto"/>
        </w:rPr>
      </w:pPr>
    </w:p>
    <w:p>
      <w:pPr>
        <w:ind w:right="1939" w:firstLine="950"/>
        <w:spacing w:after="0" w:line="252" w:lineRule="auto"/>
        <w:tabs>
          <w:tab w:leader="none" w:pos="17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7" w:lineRule="exact"/>
        <w:rPr>
          <w:rFonts w:ascii="Courier New" w:cs="Courier New" w:eastAsia="Courier New" w:hAnsi="Courier New"/>
          <w:sz w:val="17"/>
          <w:szCs w:val="17"/>
          <w:color w:val="auto"/>
        </w:rPr>
      </w:pPr>
    </w:p>
    <w:p>
      <w:pPr>
        <w:ind w:right="1939" w:firstLine="950"/>
        <w:spacing w:after="0" w:line="254" w:lineRule="auto"/>
        <w:tabs>
          <w:tab w:leader="none" w:pos="17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by the registrant pursuant to sections 13(a) or 15(d) of the Securities Exchange Act of 1934 since the end of the fiscal year covered by the annual report or the prospectus referred to in (a) above.</w:t>
      </w:r>
    </w:p>
    <w:p>
      <w:pPr>
        <w:spacing w:after="0" w:line="395" w:lineRule="exact"/>
        <w:rPr>
          <w:rFonts w:ascii="Courier New" w:cs="Courier New" w:eastAsia="Courier New" w:hAnsi="Courier New"/>
          <w:sz w:val="17"/>
          <w:szCs w:val="17"/>
          <w:color w:val="auto"/>
        </w:rPr>
      </w:pPr>
    </w:p>
    <w:p>
      <w:pPr>
        <w:ind w:right="2039" w:firstLine="950"/>
        <w:spacing w:after="0" w:line="253" w:lineRule="auto"/>
        <w:tabs>
          <w:tab w:leader="none" w:pos="17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195"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4.</w:t>
        <w:tab/>
        <w:t>DESCRIPTION OF SECURITIES.</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5.</w:t>
        <w:tab/>
        <w:t>INTERESTS OF NAMED EXPERTS AND COUNSEL.</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16"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6.</w:t>
        <w:tab/>
        <w:t>INDEMNIFICATION OF DIRECTORS AND OFFICERS.</w:t>
      </w:r>
    </w:p>
    <w:p>
      <w:pPr>
        <w:spacing w:after="0" w:line="210"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Section 1006-B(7) of the Oklahoma General Corporation Law provides that the certificate of incorporation of an Oklahoma corporation may contain</w:t>
      </w:r>
    </w:p>
    <w:p>
      <w:pPr>
        <w:spacing w:after="0" w:line="192" w:lineRule="exact"/>
        <w:rPr>
          <w:sz w:val="20"/>
          <w:szCs w:val="20"/>
          <w:color w:val="auto"/>
        </w:rPr>
      </w:pPr>
    </w:p>
    <w:p>
      <w:pPr>
        <w:ind w:right="1939" w:firstLine="950"/>
        <w:spacing w:after="0" w:line="253" w:lineRule="auto"/>
        <w:tabs>
          <w:tab w:leader="none" w:pos="136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provision eliminating or limiting the personal liability of a director to the corporation or its shareholders for monetary damages for breach of fiduciary duty as a director, provided that such provision shall not eliminate or limit the liability of a director:</w:t>
      </w:r>
    </w:p>
    <w:p>
      <w:pPr>
        <w:spacing w:after="0" w:line="195" w:lineRule="exact"/>
        <w:rPr>
          <w:rFonts w:ascii="Courier New" w:cs="Courier New" w:eastAsia="Courier New" w:hAnsi="Courier New"/>
          <w:sz w:val="17"/>
          <w:szCs w:val="17"/>
          <w:color w:val="auto"/>
        </w:rPr>
      </w:pPr>
    </w:p>
    <w:p>
      <w:pPr>
        <w:ind w:left="960" w:right="2139" w:firstLine="828"/>
        <w:spacing w:after="0" w:line="257" w:lineRule="auto"/>
        <w:tabs>
          <w:tab w:leader="none" w:pos="27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any breach of the director's duty of loyalty to the corporation or its shareholders; or</w:t>
      </w:r>
    </w:p>
    <w:p>
      <w:pPr>
        <w:spacing w:after="0" w:line="191" w:lineRule="exact"/>
        <w:rPr>
          <w:rFonts w:ascii="Courier New" w:cs="Courier New" w:eastAsia="Courier New" w:hAnsi="Courier New"/>
          <w:sz w:val="17"/>
          <w:szCs w:val="17"/>
          <w:color w:val="auto"/>
        </w:rPr>
      </w:pPr>
    </w:p>
    <w:p>
      <w:pPr>
        <w:jc w:val="both"/>
        <w:ind w:left="960" w:right="2459" w:firstLine="828"/>
        <w:spacing w:after="0" w:line="257" w:lineRule="auto"/>
        <w:tabs>
          <w:tab w:leader="none" w:pos="27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acts or omissions not in good faith or which involved intentional misconduct or a knowing violation of law; or</w:t>
      </w:r>
    </w:p>
    <w:p>
      <w:pPr>
        <w:spacing w:after="0" w:line="191" w:lineRule="exact"/>
        <w:rPr>
          <w:rFonts w:ascii="Courier New" w:cs="Courier New" w:eastAsia="Courier New" w:hAnsi="Courier New"/>
          <w:sz w:val="17"/>
          <w:szCs w:val="17"/>
          <w:color w:val="auto"/>
        </w:rPr>
      </w:pPr>
    </w:p>
    <w:p>
      <w:pPr>
        <w:ind w:left="2740" w:hanging="952"/>
        <w:spacing w:after="0"/>
        <w:tabs>
          <w:tab w:leader="none" w:pos="27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Section 1053 of this title; or</w:t>
      </w:r>
    </w:p>
    <w:p>
      <w:pPr>
        <w:spacing w:after="0" w:line="210" w:lineRule="exact"/>
        <w:rPr>
          <w:rFonts w:ascii="Courier New" w:cs="Courier New" w:eastAsia="Courier New" w:hAnsi="Courier New"/>
          <w:sz w:val="17"/>
          <w:szCs w:val="17"/>
          <w:color w:val="auto"/>
        </w:rPr>
      </w:pPr>
    </w:p>
    <w:p>
      <w:pPr>
        <w:ind w:left="960" w:right="2139" w:firstLine="828"/>
        <w:spacing w:after="0" w:line="257" w:lineRule="auto"/>
        <w:tabs>
          <w:tab w:leader="none" w:pos="27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any transaction from which the director derived an improper personal benefit.</w:t>
      </w:r>
    </w:p>
    <w:p>
      <w:pPr>
        <w:spacing w:after="0" w:line="192"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No such provision shall eliminate or limit the liability of a director for any act or omission occurring prior to the date when such provision becomes effective.</w:t>
      </w:r>
    </w:p>
    <w:p>
      <w:pPr>
        <w:spacing w:after="0" w:line="194"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Section 1031 of the Oklahoma General Corporation Act provides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10"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1031. INDEMNIFICATION OF OFFICERS DIRECTORS, EMPLOYEES AND AGENTS; INSURANCE. -- 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spacing w:after="0" w:line="203" w:lineRule="exact"/>
        <w:rPr>
          <w:sz w:val="20"/>
          <w:szCs w:val="20"/>
          <w:color w:val="auto"/>
        </w:rPr>
      </w:pPr>
    </w:p>
    <w:p>
      <w:pPr>
        <w:ind w:right="1939" w:firstLine="950"/>
        <w:spacing w:after="0" w:line="251" w:lineRule="auto"/>
        <w:tabs>
          <w:tab w:leader="none" w:pos="167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shall have the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16"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201" w:lineRule="exact"/>
        <w:rPr>
          <w:sz w:val="20"/>
          <w:szCs w:val="20"/>
          <w:color w:val="auto"/>
        </w:rPr>
      </w:pPr>
    </w:p>
    <w:p>
      <w:pPr>
        <w:ind w:right="1939" w:firstLine="950"/>
        <w:spacing w:after="0" w:line="252" w:lineRule="auto"/>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96" w:lineRule="exact"/>
        <w:rPr>
          <w:rFonts w:ascii="Courier New" w:cs="Courier New" w:eastAsia="Courier New" w:hAnsi="Courier New"/>
          <w:sz w:val="17"/>
          <w:szCs w:val="17"/>
          <w:color w:val="auto"/>
        </w:rPr>
      </w:pPr>
    </w:p>
    <w:p>
      <w:pPr>
        <w:ind w:right="2039" w:firstLine="950"/>
        <w:spacing w:after="0" w:line="252" w:lineRule="auto"/>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w:t>
      </w:r>
    </w:p>
    <w:p>
      <w:pPr>
        <w:spacing w:after="0" w:line="196" w:lineRule="exact"/>
        <w:rPr>
          <w:rFonts w:ascii="Courier New" w:cs="Courier New" w:eastAsia="Courier New" w:hAnsi="Courier New"/>
          <w:sz w:val="17"/>
          <w:szCs w:val="17"/>
          <w:color w:val="auto"/>
        </w:rPr>
      </w:pPr>
    </w:p>
    <w:p>
      <w:pPr>
        <w:ind w:left="960" w:right="2259" w:firstLine="828"/>
        <w:spacing w:after="0" w:line="254" w:lineRule="auto"/>
        <w:tabs>
          <w:tab w:leader="none" w:pos="27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board of directors by a majority vote of a quorum consisting of directors who were not parties to such action, suit or proceeding; or</w:t>
      </w:r>
    </w:p>
    <w:p>
      <w:pPr>
        <w:spacing w:after="0" w:line="194" w:lineRule="exact"/>
        <w:rPr>
          <w:rFonts w:ascii="Courier New" w:cs="Courier New" w:eastAsia="Courier New" w:hAnsi="Courier New"/>
          <w:sz w:val="17"/>
          <w:szCs w:val="17"/>
          <w:color w:val="auto"/>
        </w:rPr>
      </w:pPr>
    </w:p>
    <w:p>
      <w:pPr>
        <w:ind w:left="960" w:right="2559" w:firstLine="828"/>
        <w:spacing w:after="0" w:line="254" w:lineRule="auto"/>
        <w:tabs>
          <w:tab w:leader="none" w:pos="27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a quorum is not obtainable, or, even if obtainable a quorum of disinterested directors so directs, by independent legal counsel in a written opinion; or</w:t>
      </w:r>
    </w:p>
    <w:p>
      <w:pPr>
        <w:spacing w:after="0" w:line="194" w:lineRule="exact"/>
        <w:rPr>
          <w:rFonts w:ascii="Courier New" w:cs="Courier New" w:eastAsia="Courier New" w:hAnsi="Courier New"/>
          <w:sz w:val="17"/>
          <w:szCs w:val="17"/>
          <w:color w:val="auto"/>
        </w:rPr>
      </w:pPr>
    </w:p>
    <w:p>
      <w:pPr>
        <w:ind w:left="2740" w:hanging="952"/>
        <w:spacing w:after="0"/>
        <w:tabs>
          <w:tab w:leader="none" w:pos="27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shareholders.</w:t>
      </w:r>
    </w:p>
    <w:p>
      <w:pPr>
        <w:spacing w:after="0" w:line="210" w:lineRule="exact"/>
        <w:rPr>
          <w:rFonts w:ascii="Courier New" w:cs="Courier New" w:eastAsia="Courier New" w:hAnsi="Courier New"/>
          <w:sz w:val="17"/>
          <w:szCs w:val="17"/>
          <w:color w:val="auto"/>
        </w:rPr>
      </w:pPr>
    </w:p>
    <w:p>
      <w:pPr>
        <w:ind w:right="1939" w:firstLine="950"/>
        <w:spacing w:after="0" w:line="251" w:lineRule="auto"/>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incurred by an officer or director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incurred by other employees and agents may be so paid upon such terms and conditions, if any, as the board of directors deems appropriate.</w:t>
      </w:r>
    </w:p>
    <w:p>
      <w:pPr>
        <w:spacing w:after="0" w:line="201" w:lineRule="exact"/>
        <w:rPr>
          <w:rFonts w:ascii="Courier New" w:cs="Courier New" w:eastAsia="Courier New" w:hAnsi="Courier New"/>
          <w:sz w:val="17"/>
          <w:szCs w:val="17"/>
          <w:color w:val="auto"/>
        </w:rPr>
      </w:pPr>
    </w:p>
    <w:p>
      <w:pPr>
        <w:ind w:right="2039" w:firstLine="950"/>
        <w:spacing w:after="0" w:line="252" w:lineRule="auto"/>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shareholders or disinterested directors or otherwise, both as to action in his official capacity and as to action in another capacity while holding such office.</w:t>
      </w:r>
    </w:p>
    <w:p>
      <w:pPr>
        <w:spacing w:after="0" w:line="195" w:lineRule="exact"/>
        <w:rPr>
          <w:rFonts w:ascii="Courier New" w:cs="Courier New" w:eastAsia="Courier New" w:hAnsi="Courier New"/>
          <w:sz w:val="17"/>
          <w:szCs w:val="17"/>
          <w:color w:val="auto"/>
        </w:rPr>
      </w:pPr>
    </w:p>
    <w:p>
      <w:pPr>
        <w:ind w:right="2139" w:firstLine="950"/>
        <w:spacing w:after="0" w:line="251" w:lineRule="auto"/>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"the corporation" shall include, in addition to the resulting corporation, any constituent corporation, including any constituent of a constituent, absorbed</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6"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200" w:lineRule="exact"/>
        <w:rPr>
          <w:sz w:val="20"/>
          <w:szCs w:val="20"/>
          <w:color w:val="auto"/>
        </w:rPr>
      </w:pPr>
    </w:p>
    <w:p>
      <w:pPr>
        <w:spacing w:after="0" w:line="203" w:lineRule="exact"/>
        <w:rPr>
          <w:sz w:val="20"/>
          <w:szCs w:val="20"/>
          <w:color w:val="auto"/>
        </w:rPr>
      </w:pPr>
    </w:p>
    <w:p>
      <w:pPr>
        <w:ind w:right="1939" w:firstLine="950"/>
        <w:spacing w:after="0" w:line="251" w:lineRule="auto"/>
        <w:tabs>
          <w:tab w:leader="none" w:pos="178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950"/>
        <w:spacing w:after="0" w:line="252" w:lineRule="auto"/>
        <w:tabs>
          <w:tab w:leader="none" w:pos="178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7" w:lineRule="exact"/>
        <w:rPr>
          <w:sz w:val="20"/>
          <w:szCs w:val="20"/>
          <w:color w:val="auto"/>
        </w:rPr>
      </w:pPr>
    </w:p>
    <w:p>
      <w:pPr>
        <w:ind w:right="2679" w:firstLine="943"/>
        <w:spacing w:after="0" w:line="257"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provisions:</w:t>
      </w:r>
    </w:p>
    <w:p>
      <w:pPr>
        <w:spacing w:after="0" w:line="192"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SEVENTH. The Corporation shall indemnify, and advance litigation expenses to, its officers, directors, employees and agents to the fullest extent permitted by the Oklahoma General Corporation Act and all other laws of the State of Oklahoma.</w:t>
      </w:r>
    </w:p>
    <w:p>
      <w:pPr>
        <w:spacing w:after="0" w:line="195"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EIGHTH. To the fullest extent that the Oklahoma General Corporation Act as it exists on November 1, 1987 (the effective date of amendments to the Oklahoma General Corporation Act authorizing provisions limiting liability of directors) ("Effective Date"), permits the limitation of elimination of the liability of directors, no director of this Corporation shall be liable to this Corporation or its shareholders for monetary damages for breach of fiduciary duty as a director. No amendment to or repeal of this Article [EIGHTH] shall apply to or have any effect on the liability or alleged liability of any director of this Corporation for or with respect to any acts or omission of such director occurring prior to the time of such amendment or repeal.</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7.</w:t>
        <w:tab/>
        <w:t>EXEMPTION FROM REGISTRATION CLAIMED.</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8.</w:t>
        <w:tab/>
        <w:t>EXHIBITS.</w:t>
      </w:r>
    </w:p>
    <w:p>
      <w:pPr>
        <w:spacing w:after="0" w:line="210" w:lineRule="exact"/>
        <w:rPr>
          <w:sz w:val="20"/>
          <w:szCs w:val="20"/>
          <w:color w:val="auto"/>
        </w:rPr>
      </w:pPr>
    </w:p>
    <w:p>
      <w:pPr>
        <w:jc w:val="both"/>
        <w:ind w:left="1780" w:right="2459" w:hanging="732"/>
        <w:spacing w:after="0" w:line="254" w:lineRule="auto"/>
        <w:tabs>
          <w:tab w:leader="none" w:pos="176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Certificate of Incorporation, as amended [Incorporated by reference to Exhibit 3.1 to the Registrant's Registration Statement on Form S-18, file No. 33-20737-FW]</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16"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9" w:lineRule="exact"/>
        <w:rPr>
          <w:sz w:val="20"/>
          <w:szCs w:val="20"/>
          <w:color w:val="auto"/>
        </w:rPr>
      </w:pPr>
    </w:p>
    <w:p>
      <w:pPr>
        <w:ind w:left="1780" w:right="2039" w:hanging="732"/>
        <w:spacing w:after="0" w:line="251" w:lineRule="auto"/>
        <w:tabs>
          <w:tab w:leader="none" w:pos="176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Bylaws, as amended [Incorporated by reference to Exhibit 3.2 of the Registrant's Registration Statement on Form S-18, File No. 33-20237-FW]</w:t>
      </w:r>
    </w:p>
    <w:p>
      <w:pPr>
        <w:ind w:left="1780" w:right="1939" w:hanging="732"/>
        <w:spacing w:after="0" w:line="251" w:lineRule="auto"/>
        <w:tabs>
          <w:tab w:leader="none" w:pos="17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Specimen Stock Certificate [Incorporated by reference to Exhibit 4.3 of the Registrant's Registration Statement on Form S-3, File No. 33-76224]</w:t>
      </w:r>
    </w:p>
    <w:p>
      <w:pPr>
        <w:ind w:left="1060" w:hanging="1053"/>
        <w:spacing w:after="0"/>
        <w:tabs>
          <w:tab w:leader="none" w:pos="10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5.1Opinion of Snell &amp; Smith, A Professional Corporation</w:t>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23.1</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Snell &amp;</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Smith, A Professional Corporation [Included</w:t>
            </w:r>
          </w:p>
        </w:tc>
      </w:tr>
      <w:tr>
        <w:trPr>
          <w:trHeight w:val="201"/>
        </w:trPr>
        <w:tc>
          <w:tcPr>
            <w:tcW w:w="620" w:type="dxa"/>
            <w:vAlign w:val="bottom"/>
          </w:tcPr>
          <w:p>
            <w:pPr>
              <w:spacing w:after="0"/>
              <w:rPr>
                <w:sz w:val="17"/>
                <w:szCs w:val="17"/>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in Exhibit</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5.1]</w:t>
            </w:r>
          </w:p>
        </w:tc>
        <w:tc>
          <w:tcPr>
            <w:tcW w:w="4560" w:type="dxa"/>
            <w:vAlign w:val="bottom"/>
          </w:tcPr>
          <w:p>
            <w:pPr>
              <w:spacing w:after="0"/>
              <w:rPr>
                <w:sz w:val="17"/>
                <w:szCs w:val="17"/>
                <w:color w:val="auto"/>
              </w:rPr>
            </w:pP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23.2</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Coopers</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&amp; Lybrand, L.L.P.</w:t>
            </w: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23.3</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5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Arthur Andersen LLP</w:t>
            </w: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23.4</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5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Deloitte &amp; Touche LLP</w:t>
            </w: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24.1</w:t>
            </w:r>
          </w:p>
        </w:tc>
        <w:tc>
          <w:tcPr>
            <w:tcW w:w="21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Powers of Attorney</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(Included on Page II-6)</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259" w:firstLine="7"/>
        <w:spacing w:after="0" w:line="253" w:lineRule="auto"/>
        <w:tabs>
          <w:tab w:leader="none" w:pos="94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undertakes that it will submit the Employee Savings Plan and any amendments thereto to the Internal Revenue Service ("IRS") in a timely manner, and will make all changes required by the IRS in order to qualify the Plan.</w:t>
      </w:r>
    </w:p>
    <w:p>
      <w:pPr>
        <w:spacing w:after="0" w:line="3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9.</w:t>
        <w:tab/>
        <w:t>UNDERTAKINGS.</w:t>
      </w:r>
    </w:p>
    <w:p>
      <w:pPr>
        <w:spacing w:after="0" w:line="210" w:lineRule="exact"/>
        <w:rPr>
          <w:sz w:val="20"/>
          <w:szCs w:val="20"/>
          <w:color w:val="auto"/>
        </w:rPr>
      </w:pPr>
    </w:p>
    <w:p>
      <w:pPr>
        <w:ind w:left="1780" w:hanging="830"/>
        <w:spacing w:after="0"/>
        <w:tabs>
          <w:tab w:leader="none" w:pos="17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10" w:lineRule="exact"/>
        <w:rPr>
          <w:rFonts w:ascii="Courier New" w:cs="Courier New" w:eastAsia="Courier New" w:hAnsi="Courier New"/>
          <w:sz w:val="17"/>
          <w:szCs w:val="17"/>
          <w:color w:val="auto"/>
        </w:rPr>
      </w:pPr>
    </w:p>
    <w:p>
      <w:pPr>
        <w:ind w:left="960" w:right="2139" w:firstLine="828"/>
        <w:spacing w:after="0" w:line="254" w:lineRule="auto"/>
        <w:tabs>
          <w:tab w:leader="none" w:pos="274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4" w:lineRule="exact"/>
        <w:rPr>
          <w:rFonts w:ascii="Courier New" w:cs="Courier New" w:eastAsia="Courier New" w:hAnsi="Courier New"/>
          <w:sz w:val="17"/>
          <w:szCs w:val="17"/>
          <w:color w:val="auto"/>
        </w:rPr>
      </w:pPr>
    </w:p>
    <w:p>
      <w:pPr>
        <w:ind w:left="1780" w:right="1939" w:firstLine="950"/>
        <w:spacing w:after="0" w:line="257" w:lineRule="auto"/>
        <w:tabs>
          <w:tab w:leader="none" w:pos="3561"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1" w:lineRule="exact"/>
        <w:rPr>
          <w:rFonts w:ascii="Courier New" w:cs="Courier New" w:eastAsia="Courier New" w:hAnsi="Courier New"/>
          <w:sz w:val="17"/>
          <w:szCs w:val="17"/>
          <w:color w:val="auto"/>
        </w:rPr>
      </w:pPr>
    </w:p>
    <w:p>
      <w:pPr>
        <w:ind w:left="1780" w:right="2039" w:firstLine="950"/>
        <w:spacing w:after="0" w:line="252" w:lineRule="auto"/>
        <w:tabs>
          <w:tab w:leader="none" w:pos="3561"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6" w:lineRule="exact"/>
        <w:rPr>
          <w:rFonts w:ascii="Courier New" w:cs="Courier New" w:eastAsia="Courier New" w:hAnsi="Courier New"/>
          <w:sz w:val="17"/>
          <w:szCs w:val="17"/>
          <w:color w:val="auto"/>
        </w:rPr>
      </w:pPr>
    </w:p>
    <w:p>
      <w:pPr>
        <w:ind w:left="1780" w:right="2139" w:firstLine="950"/>
        <w:spacing w:after="0" w:line="253" w:lineRule="auto"/>
        <w:tabs>
          <w:tab w:leader="none" w:pos="3456"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5" w:lineRule="exact"/>
        <w:rPr>
          <w:sz w:val="20"/>
          <w:szCs w:val="20"/>
          <w:color w:val="auto"/>
        </w:rPr>
      </w:pPr>
    </w:p>
    <w:p>
      <w:pPr>
        <w:ind w:left="1780" w:right="1939"/>
        <w:spacing w:after="0" w:line="252" w:lineRule="auto"/>
        <w:rPr>
          <w:sz w:val="20"/>
          <w:szCs w:val="20"/>
          <w:color w:val="auto"/>
        </w:rPr>
      </w:pPr>
      <w:r>
        <w:rPr>
          <w:rFonts w:ascii="Courier New" w:cs="Courier New" w:eastAsia="Courier New" w:hAnsi="Courier New"/>
          <w:sz w:val="17"/>
          <w:szCs w:val="17"/>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398" w:lineRule="exact"/>
        <w:rPr>
          <w:sz w:val="20"/>
          <w:szCs w:val="20"/>
          <w:color w:val="auto"/>
        </w:rPr>
      </w:pPr>
    </w:p>
    <w:p>
      <w:pPr>
        <w:ind w:left="960" w:right="2139" w:firstLine="828"/>
        <w:spacing w:after="0" w:line="252" w:lineRule="auto"/>
        <w:tabs>
          <w:tab w:leader="none" w:pos="2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9" w:lineRule="exact"/>
        <w:rPr>
          <w:sz w:val="20"/>
          <w:szCs w:val="20"/>
          <w:color w:val="auto"/>
        </w:rPr>
      </w:pPr>
    </w:p>
    <w:p>
      <w:pPr>
        <w:ind w:left="2420" w:hanging="952"/>
        <w:spacing w:after="0"/>
        <w:tabs>
          <w:tab w:leader="none" w:pos="2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w:t>
      </w:r>
    </w:p>
    <w:p>
      <w:pPr>
        <w:spacing w:after="0" w:line="9" w:lineRule="exact"/>
        <w:rPr>
          <w:sz w:val="20"/>
          <w:szCs w:val="20"/>
          <w:color w:val="auto"/>
        </w:rPr>
      </w:pPr>
    </w:p>
    <w:p>
      <w:pPr>
        <w:ind w:left="640" w:right="2039"/>
        <w:spacing w:after="0" w:line="257" w:lineRule="auto"/>
        <w:rPr>
          <w:sz w:val="20"/>
          <w:szCs w:val="20"/>
          <w:color w:val="auto"/>
        </w:rPr>
      </w:pPr>
      <w:r>
        <w:rPr>
          <w:rFonts w:ascii="Courier New" w:cs="Courier New" w:eastAsia="Courier New" w:hAnsi="Courier New"/>
          <w:sz w:val="17"/>
          <w:szCs w:val="17"/>
          <w:color w:val="auto"/>
        </w:rPr>
        <w:t>post-effective amendment any of the securities being registered which remain unsold at the termination of the offering.</w:t>
      </w:r>
    </w:p>
    <w:p>
      <w:pPr>
        <w:spacing w:after="0" w:line="192" w:lineRule="exact"/>
        <w:rPr>
          <w:sz w:val="20"/>
          <w:szCs w:val="20"/>
          <w:color w:val="auto"/>
        </w:rPr>
      </w:pPr>
    </w:p>
    <w:p>
      <w:pPr>
        <w:ind w:left="-320" w:right="1939" w:firstLine="950"/>
        <w:spacing w:after="0" w:line="251" w:lineRule="auto"/>
        <w:tabs>
          <w:tab w:leader="none" w:pos="14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201" w:lineRule="exact"/>
        <w:rPr>
          <w:sz w:val="20"/>
          <w:szCs w:val="20"/>
          <w:color w:val="auto"/>
        </w:rPr>
      </w:pPr>
    </w:p>
    <w:p>
      <w:pPr>
        <w:ind w:left="-320" w:right="2039" w:firstLine="950"/>
        <w:spacing w:after="0" w:line="251" w:lineRule="auto"/>
        <w:tabs>
          <w:tab w:leader="none" w:pos="14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01" w:lineRule="exact"/>
        <w:rPr>
          <w:sz w:val="20"/>
          <w:szCs w:val="20"/>
          <w:color w:val="auto"/>
        </w:rPr>
      </w:pPr>
    </w:p>
    <w:p>
      <w:pPr>
        <w:ind w:left="-320" w:right="1939" w:firstLine="950"/>
        <w:spacing w:after="0" w:line="251" w:lineRule="auto"/>
        <w:tabs>
          <w:tab w:leader="none" w:pos="14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9899"/>
          </w:cols>
          <w:pgMar w:left="560" w:top="31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9" w:lineRule="exact"/>
        <w:rPr>
          <w:sz w:val="20"/>
          <w:szCs w:val="20"/>
          <w:color w:val="auto"/>
        </w:rPr>
      </w:pPr>
    </w:p>
    <w:p>
      <w:pPr>
        <w:ind w:right="2139" w:firstLine="943"/>
        <w:spacing w:after="0" w:line="252"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May 31,1995.</w:t>
      </w:r>
    </w:p>
    <w:p>
      <w:pPr>
        <w:spacing w:after="0" w:line="19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80"/>
        <w:spacing w:after="0"/>
        <w:tabs>
          <w:tab w:leader="none" w:pos="47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John E. Drury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John E. Drury,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31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David Sutherland-Yoest and Earl E. DeFrates, and each of them singly, our 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210" w:lineRule="exact"/>
        <w:rPr>
          <w:sz w:val="20"/>
          <w:szCs w:val="20"/>
          <w:color w:val="auto"/>
        </w:rPr>
      </w:pPr>
    </w:p>
    <w:p>
      <w:pPr>
        <w:ind w:right="2259" w:firstLine="943"/>
        <w:spacing w:after="0" w:line="254"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May 31, 1995.</w:t>
      </w:r>
    </w:p>
    <w:p>
      <w:pPr>
        <w:spacing w:after="0" w:line="200" w:lineRule="exact"/>
        <w:rPr>
          <w:sz w:val="20"/>
          <w:szCs w:val="20"/>
          <w:color w:val="auto"/>
        </w:rPr>
      </w:pPr>
    </w:p>
    <w:p>
      <w:pPr>
        <w:spacing w:after="0" w:line="397" w:lineRule="exact"/>
        <w:rPr>
          <w:sz w:val="20"/>
          <w:szCs w:val="20"/>
          <w:color w:val="auto"/>
        </w:rPr>
      </w:pPr>
    </w:p>
    <w:p>
      <w:pPr>
        <w:ind w:left="1360"/>
        <w:spacing w:after="0"/>
        <w:tabs>
          <w:tab w:leader="none" w:pos="596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9" w:lineRule="exact"/>
        <w:rPr>
          <w:sz w:val="20"/>
          <w:szCs w:val="20"/>
          <w:color w:val="auto"/>
        </w:rPr>
      </w:pPr>
    </w:p>
    <w:p>
      <w:pPr>
        <w:ind w:left="1360"/>
        <w:spacing w:after="0"/>
        <w:tabs>
          <w:tab w:leader="none" w:pos="59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Donald F. Moorehead, Jr.</w:t>
      </w:r>
      <w:r>
        <w:rPr>
          <w:sz w:val="20"/>
          <w:szCs w:val="20"/>
          <w:color w:val="auto"/>
        </w:rPr>
        <w:tab/>
      </w:r>
      <w:r>
        <w:rPr>
          <w:rFonts w:ascii="Courier New" w:cs="Courier New" w:eastAsia="Courier New" w:hAnsi="Courier New"/>
          <w:sz w:val="17"/>
          <w:szCs w:val="17"/>
          <w:color w:val="auto"/>
        </w:rPr>
        <w:t>Chairman of the Board and Chief</w:t>
      </w:r>
    </w:p>
    <w:p>
      <w:pPr>
        <w:spacing w:after="0" w:line="9"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Development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John E. Drury</w:t>
      </w:r>
      <w:r>
        <w:rPr>
          <w:sz w:val="20"/>
          <w:szCs w:val="20"/>
          <w:color w:val="auto"/>
        </w:rPr>
        <w:tab/>
      </w:r>
      <w:r>
        <w:rPr>
          <w:rFonts w:ascii="Courier New" w:cs="Courier New" w:eastAsia="Courier New" w:hAnsi="Courier New"/>
          <w:sz w:val="17"/>
          <w:szCs w:val="17"/>
          <w:color w:val="auto"/>
        </w:rPr>
        <w:t>Chief Executive Officer and Director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E. Drury</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David Sutherland-Yoest</w:t>
      </w:r>
      <w:r>
        <w:rPr>
          <w:sz w:val="20"/>
          <w:szCs w:val="20"/>
          <w:color w:val="auto"/>
        </w:rPr>
        <w:tab/>
      </w:r>
      <w:r>
        <w:rPr>
          <w:rFonts w:ascii="Courier New" w:cs="Courier New" w:eastAsia="Courier New" w:hAnsi="Courier New"/>
          <w:sz w:val="17"/>
          <w:szCs w:val="17"/>
          <w:color w:val="auto"/>
        </w:rPr>
        <w:t>President, Chief Operating Officer,</w:t>
      </w:r>
    </w:p>
    <w:p>
      <w:pPr>
        <w:spacing w:after="0" w:line="9"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Director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Sutherland-Yoest</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Earl E. DeFrates</w:t>
      </w:r>
      <w:r>
        <w:rPr>
          <w:sz w:val="20"/>
          <w:szCs w:val="20"/>
          <w:color w:val="auto"/>
        </w:rPr>
        <w:tab/>
      </w:r>
      <w:r>
        <w:rPr>
          <w:rFonts w:ascii="Courier New" w:cs="Courier New" w:eastAsia="Courier New" w:hAnsi="Courier New"/>
          <w:sz w:val="17"/>
          <w:szCs w:val="17"/>
          <w:color w:val="auto"/>
        </w:rPr>
        <w:t>Executive Vice President, Treasurer</w:t>
      </w:r>
    </w:p>
    <w:p>
      <w:pPr>
        <w:spacing w:after="0" w:line="9"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Director (Chief Financial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Bruce E. Snyder</w:t>
      </w:r>
      <w:r>
        <w:rPr>
          <w:sz w:val="20"/>
          <w:szCs w:val="20"/>
          <w:color w:val="auto"/>
        </w:rPr>
        <w:tab/>
      </w:r>
      <w:r>
        <w:rPr>
          <w:rFonts w:ascii="Courier New" w:cs="Courier New" w:eastAsia="Courier New" w:hAnsi="Courier New"/>
          <w:sz w:val="17"/>
          <w:szCs w:val="17"/>
          <w:color w:val="auto"/>
        </w:rPr>
        <w:t>Vice President and Corporate</w:t>
      </w:r>
    </w:p>
    <w:p>
      <w:pPr>
        <w:spacing w:after="0" w:line="9"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Controller (Chief Accounting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Robert A. Mosley</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A. Mosley</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George L. Ball</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George L. Ball</w:t>
      </w:r>
    </w:p>
    <w:p>
      <w:pPr>
        <w:spacing w:after="0" w:line="200" w:lineRule="exact"/>
        <w:rPr>
          <w:sz w:val="20"/>
          <w:szCs w:val="20"/>
          <w:color w:val="auto"/>
        </w:rPr>
      </w:pPr>
    </w:p>
    <w:p>
      <w:pPr>
        <w:spacing w:after="0" w:line="212"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John D. Spellman</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D. Spellman</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Gene A. Meredith</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 A. Meredith</w:t>
      </w:r>
    </w:p>
    <w:p>
      <w:pPr>
        <w:spacing w:after="0" w:line="210"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Richard J. Heckmann</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ectPr>
          <w:pgSz w:w="11900" w:h="16838" w:orient="portrait"/>
          <w:cols w:equalWidth="0" w:num="1">
            <w:col w:w="10219"/>
          </w:cols>
          <w:pgMar w:left="240" w:top="316" w:right="1440" w:bottom="10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II-8</w:t>
      </w:r>
    </w:p>
    <w:p>
      <w:pPr>
        <w:sectPr>
          <w:pgSz w:w="11900" w:h="16838" w:orient="portrait"/>
          <w:cols w:equalWidth="0" w:num="1">
            <w:col w:w="10219"/>
          </w:cols>
          <w:pgMar w:left="240" w:top="316" w:right="1440" w:bottom="1062"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9" w:lineRule="exact"/>
        <w:rPr>
          <w:sz w:val="20"/>
          <w:szCs w:val="20"/>
          <w:color w:val="auto"/>
        </w:rPr>
      </w:pPr>
    </w:p>
    <w:p>
      <w:pPr>
        <w:ind w:right="1939" w:firstLine="943"/>
        <w:spacing w:after="0" w:line="253" w:lineRule="auto"/>
        <w:rPr>
          <w:sz w:val="20"/>
          <w:szCs w:val="20"/>
          <w:color w:val="auto"/>
        </w:rPr>
      </w:pPr>
      <w:r>
        <w:rPr>
          <w:rFonts w:ascii="Courier New" w:cs="Courier New" w:eastAsia="Courier New" w:hAnsi="Courier New"/>
          <w:sz w:val="17"/>
          <w:szCs w:val="17"/>
          <w:color w:val="auto"/>
        </w:rPr>
        <w:t>Pursuant to the requirements of the Securities Act of 1933, the trustees (or other persons who administer the employee benefit plan) have duly caused this registration statement to be signed on its behalf by the undersigned thereunto duly authorized, in the City of Dallas, State of Texas on May 31, 1995.</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USA WASTE SERVICES, INC.</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EMPLOYEE SAVINGS PLAN</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 USA Waste Services, Inc.,</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Plan Administrator</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 JOHN E. DRURY</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John E. Drury,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II-9</w:t>
      </w:r>
    </w:p>
    <w:p>
      <w:pPr>
        <w:sectPr>
          <w:pgSz w:w="11900" w:h="16838" w:orient="portrait"/>
          <w:cols w:equalWidth="0" w:num="1">
            <w:col w:w="10219"/>
          </w:cols>
          <w:pgMar w:left="240" w:top="31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INDEX TO EXHIBITS</w:t>
      </w:r>
    </w:p>
    <w:p>
      <w:pPr>
        <w:spacing w:after="0" w:line="210" w:lineRule="exact"/>
        <w:rPr>
          <w:sz w:val="20"/>
          <w:szCs w:val="20"/>
          <w:color w:val="auto"/>
        </w:rPr>
      </w:pPr>
    </w:p>
    <w:p>
      <w:pPr>
        <w:jc w:val="both"/>
        <w:ind w:left="1780" w:right="2459" w:hanging="732"/>
        <w:spacing w:after="0" w:line="251" w:lineRule="auto"/>
        <w:tabs>
          <w:tab w:leader="none" w:pos="176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Certificate of Incorporation, as amended [Incorporated by reference to Exhibit 3.1 to the Registrant's Registration Statement on Form S-18, file No. 33-20737-FW]</w:t>
      </w:r>
    </w:p>
    <w:p>
      <w:pPr>
        <w:ind w:left="1780" w:right="2039" w:hanging="732"/>
        <w:spacing w:after="0" w:line="251" w:lineRule="auto"/>
        <w:tabs>
          <w:tab w:leader="none" w:pos="176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Bylaws, as amended [Incorporated by reference to Exhibit 3.2 of the Registrant's Registration Statement on Form S-18, File No. 33-20237-FW]</w:t>
      </w:r>
    </w:p>
    <w:p>
      <w:pPr>
        <w:ind w:left="1780" w:right="1939" w:hanging="732"/>
        <w:spacing w:after="0" w:line="251" w:lineRule="auto"/>
        <w:tabs>
          <w:tab w:leader="none" w:pos="17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Specimen Stock Certificate [Incorporated by reference to Exhibit 4.3 of the Registrant's Registration Statement on Form S-3, File No. 33-76224]</w:t>
      </w:r>
    </w:p>
    <w:p>
      <w:pPr>
        <w:ind w:left="1060" w:hanging="1053"/>
        <w:spacing w:after="0"/>
        <w:tabs>
          <w:tab w:leader="none" w:pos="10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5.1Opinion of Snell &amp; Smith, A Professional Corporation</w:t>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23.1</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Snell &amp;</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Smith, A Professional Corporation [Included</w:t>
            </w:r>
          </w:p>
        </w:tc>
      </w:tr>
      <w:tr>
        <w:trPr>
          <w:trHeight w:val="201"/>
        </w:trPr>
        <w:tc>
          <w:tcPr>
            <w:tcW w:w="620" w:type="dxa"/>
            <w:vAlign w:val="bottom"/>
          </w:tcPr>
          <w:p>
            <w:pPr>
              <w:spacing w:after="0"/>
              <w:rPr>
                <w:sz w:val="17"/>
                <w:szCs w:val="17"/>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in Exhibit</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5.1]</w:t>
            </w:r>
          </w:p>
        </w:tc>
        <w:tc>
          <w:tcPr>
            <w:tcW w:w="4560" w:type="dxa"/>
            <w:vAlign w:val="bottom"/>
          </w:tcPr>
          <w:p>
            <w:pPr>
              <w:spacing w:after="0"/>
              <w:rPr>
                <w:sz w:val="17"/>
                <w:szCs w:val="17"/>
                <w:color w:val="auto"/>
              </w:rPr>
            </w:pP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23.2</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Coopers</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&amp; Lybrand, L.L.P.</w:t>
            </w: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23.3</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5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Arthur Andersen LLP</w:t>
            </w: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23.4</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Consent of</w:t>
            </w:r>
          </w:p>
        </w:tc>
        <w:tc>
          <w:tcPr>
            <w:tcW w:w="5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Deloitte &amp; Touche LLP</w:t>
            </w:r>
          </w:p>
        </w:tc>
      </w:tr>
      <w:tr>
        <w:trPr>
          <w:trHeight w:val="201"/>
        </w:trPr>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3"/>
              </w:rPr>
              <w:t>24.1</w:t>
            </w:r>
          </w:p>
        </w:tc>
        <w:tc>
          <w:tcPr>
            <w:tcW w:w="21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Powers of Attorney</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(Included on Page II-6)</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259" w:firstLine="7"/>
        <w:spacing w:after="0" w:line="253" w:lineRule="auto"/>
        <w:tabs>
          <w:tab w:leader="none" w:pos="94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undertakes that it will submit the Employee Savings Plan and any amendments thereto to the Internal Revenue Service ("IRS") in a timely manner, and will make all changes required by the IRS in order to qualify the Plan.</w:t>
      </w:r>
    </w:p>
    <w:p>
      <w:pPr>
        <w:sectPr>
          <w:pgSz w:w="11900" w:h="16838" w:orient="portrait"/>
          <w:cols w:equalWidth="0" w:num="1">
            <w:col w:w="10219"/>
          </w:cols>
          <w:pgMar w:left="240" w:top="316"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May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 Quorum, Suite 300</w:t>
      </w:r>
    </w:p>
    <w:p>
      <w:pPr>
        <w:spacing w:after="0" w:line="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Dallas, Texas</w:t>
        <w:tab/>
        <w:t>75240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210"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We have acted as counsel for USA Waste Services, Inc., an Oklahoma corporation (the "Company"), in connection with the filing of the Registration Statement on Form S-8 for the Company's Employee Savings Plan (the "Plan") with respect to the registration of 500,000 shares of the Common Stock, $.01 par value (the "Common Stock"), of the Company, for issuance and sale from time to time by the Company to the Plan.</w:t>
      </w:r>
    </w:p>
    <w:p>
      <w:pPr>
        <w:spacing w:after="0" w:line="197" w:lineRule="exact"/>
        <w:rPr>
          <w:sz w:val="20"/>
          <w:szCs w:val="20"/>
          <w:color w:val="auto"/>
        </w:rPr>
      </w:pPr>
    </w:p>
    <w:p>
      <w:pPr>
        <w:ind w:right="2139" w:firstLine="943"/>
        <w:spacing w:after="0" w:line="252" w:lineRule="auto"/>
        <w:rPr>
          <w:sz w:val="20"/>
          <w:szCs w:val="20"/>
          <w:color w:val="auto"/>
        </w:rPr>
      </w:pPr>
      <w:r>
        <w:rPr>
          <w:rFonts w:ascii="Courier New" w:cs="Courier New" w:eastAsia="Courier New" w:hAnsi="Courier New"/>
          <w:sz w:val="17"/>
          <w:szCs w:val="17"/>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97" w:lineRule="exact"/>
        <w:rPr>
          <w:sz w:val="20"/>
          <w:szCs w:val="20"/>
          <w:color w:val="auto"/>
        </w:rPr>
      </w:pPr>
    </w:p>
    <w:p>
      <w:pPr>
        <w:ind w:right="2039" w:firstLine="950"/>
        <w:spacing w:after="0" w:line="257" w:lineRule="auto"/>
        <w:tabs>
          <w:tab w:leader="none" w:pos="178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of the Company as filed with the Secretary of State of Oklahoma on September 30, 1987, as amended;</w:t>
      </w:r>
    </w:p>
    <w:p>
      <w:pPr>
        <w:spacing w:after="0" w:line="191" w:lineRule="exact"/>
        <w:rPr>
          <w:rFonts w:ascii="Courier New" w:cs="Courier New" w:eastAsia="Courier New" w:hAnsi="Courier New"/>
          <w:sz w:val="17"/>
          <w:szCs w:val="17"/>
          <w:color w:val="auto"/>
        </w:rPr>
      </w:pPr>
    </w:p>
    <w:p>
      <w:pPr>
        <w:ind w:left="1780" w:hanging="830"/>
        <w:spacing w:after="0"/>
        <w:tabs>
          <w:tab w:leader="none" w:pos="178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of the Company;</w:t>
      </w:r>
    </w:p>
    <w:p>
      <w:pPr>
        <w:spacing w:after="0" w:line="210" w:lineRule="exact"/>
        <w:rPr>
          <w:rFonts w:ascii="Courier New" w:cs="Courier New" w:eastAsia="Courier New" w:hAnsi="Courier New"/>
          <w:sz w:val="17"/>
          <w:szCs w:val="17"/>
          <w:color w:val="auto"/>
        </w:rPr>
      </w:pPr>
    </w:p>
    <w:p>
      <w:pPr>
        <w:ind w:left="1780" w:hanging="830"/>
        <w:spacing w:after="0"/>
        <w:tabs>
          <w:tab w:leader="none" w:pos="178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and</w:t>
      </w:r>
    </w:p>
    <w:p>
      <w:pPr>
        <w:spacing w:after="0" w:line="210" w:lineRule="exact"/>
        <w:rPr>
          <w:rFonts w:ascii="Courier New" w:cs="Courier New" w:eastAsia="Courier New" w:hAnsi="Courier New"/>
          <w:sz w:val="17"/>
          <w:szCs w:val="17"/>
          <w:color w:val="auto"/>
        </w:rPr>
      </w:pPr>
    </w:p>
    <w:p>
      <w:pPr>
        <w:ind w:right="2259" w:firstLine="950"/>
        <w:spacing w:after="0" w:line="254" w:lineRule="auto"/>
        <w:tabs>
          <w:tab w:leader="none" w:pos="178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on Form S-8 of the Company filed with the Securities and Exchange Commission with respect to the Plan (the "Registration Statement").</w:t>
      </w:r>
    </w:p>
    <w:p>
      <w:pPr>
        <w:spacing w:after="0" w:line="194"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or prerequisites to the effectiveness thereof.</w:t>
      </w:r>
    </w:p>
    <w:p>
      <w:pPr>
        <w:sectPr>
          <w:pgSz w:w="11900" w:h="16838" w:orient="portrait"/>
          <w:cols w:equalWidth="0" w:num="1">
            <w:col w:w="10219"/>
          </w:cols>
          <w:pgMar w:left="240" w:top="1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May</w:t>
      </w:r>
      <w:r>
        <w:rPr>
          <w:sz w:val="20"/>
          <w:szCs w:val="20"/>
          <w:color w:val="auto"/>
        </w:rPr>
        <w:tab/>
      </w:r>
      <w:r>
        <w:rPr>
          <w:rFonts w:ascii="Courier New" w:cs="Courier New" w:eastAsia="Courier New" w:hAnsi="Courier New"/>
          <w:sz w:val="17"/>
          <w:szCs w:val="17"/>
          <w:color w:val="auto"/>
        </w:rPr>
        <w:t>, 1995</w:t>
      </w:r>
    </w:p>
    <w:p>
      <w:pPr>
        <w:spacing w:after="0" w:line="210" w:lineRule="exact"/>
        <w:rPr>
          <w:sz w:val="20"/>
          <w:szCs w:val="20"/>
          <w:color w:val="auto"/>
        </w:rPr>
      </w:pPr>
    </w:p>
    <w:p>
      <w:pPr>
        <w:ind w:right="3199" w:firstLine="943"/>
        <w:spacing w:after="0" w:line="257" w:lineRule="auto"/>
        <w:rPr>
          <w:sz w:val="20"/>
          <w:szCs w:val="20"/>
          <w:color w:val="auto"/>
        </w:rPr>
      </w:pPr>
      <w:r>
        <w:rPr>
          <w:rFonts w:ascii="Courier New" w:cs="Courier New" w:eastAsia="Courier New" w:hAnsi="Courier New"/>
          <w:sz w:val="17"/>
          <w:szCs w:val="17"/>
          <w:color w:val="auto"/>
        </w:rPr>
        <w:t>Based upon the foregoing, and having regard for such legal considerations as we deem relevant, we are of the opinion that:</w:t>
      </w:r>
    </w:p>
    <w:p>
      <w:pPr>
        <w:spacing w:after="0" w:line="192" w:lineRule="exact"/>
        <w:rPr>
          <w:sz w:val="20"/>
          <w:szCs w:val="20"/>
          <w:color w:val="auto"/>
        </w:rPr>
      </w:pPr>
    </w:p>
    <w:p>
      <w:pPr>
        <w:ind w:right="2039" w:firstLine="950"/>
        <w:spacing w:after="0" w:line="257" w:lineRule="auto"/>
        <w:tabs>
          <w:tab w:leader="none" w:pos="178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a corporation duly organized, validly existing and in good standing under the laws of the States of Oklahoma;</w:t>
      </w:r>
    </w:p>
    <w:p>
      <w:pPr>
        <w:spacing w:after="0" w:line="191" w:lineRule="exact"/>
        <w:rPr>
          <w:rFonts w:ascii="Courier New" w:cs="Courier New" w:eastAsia="Courier New" w:hAnsi="Courier New"/>
          <w:sz w:val="17"/>
          <w:szCs w:val="17"/>
          <w:color w:val="auto"/>
        </w:rPr>
      </w:pPr>
    </w:p>
    <w:p>
      <w:pPr>
        <w:ind w:right="2039" w:firstLine="950"/>
        <w:spacing w:after="0" w:line="253" w:lineRule="auto"/>
        <w:tabs>
          <w:tab w:leader="none" w:pos="178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capital of the Company consists of 50,000,000 shares of Common Stock, of which, as of March 31, 1994, 22,678,874 were issued and outstanding, and 10,000,000 shares of Preferred Stock, $.01 par value, of which, as of the date hereof, no shares are issued and outstanding; and</w:t>
      </w:r>
    </w:p>
    <w:p>
      <w:pPr>
        <w:spacing w:after="0" w:line="195" w:lineRule="exact"/>
        <w:rPr>
          <w:rFonts w:ascii="Courier New" w:cs="Courier New" w:eastAsia="Courier New" w:hAnsi="Courier New"/>
          <w:sz w:val="17"/>
          <w:szCs w:val="17"/>
          <w:color w:val="auto"/>
        </w:rPr>
      </w:pPr>
    </w:p>
    <w:p>
      <w:pPr>
        <w:ind w:right="2039" w:firstLine="950"/>
        <w:spacing w:after="0" w:line="254" w:lineRule="auto"/>
        <w:tabs>
          <w:tab w:leader="none" w:pos="178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500,000 shares of Common Stock registered under the Registration Statement are duly authorized and when issued by the Company will be legally issued, fully paid and non-assessable.</w:t>
      </w:r>
    </w:p>
    <w:p>
      <w:pPr>
        <w:spacing w:after="0" w:line="194"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197"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SNELL &amp; SMITH, A Professional</w:t>
      </w:r>
    </w:p>
    <w:p>
      <w:pPr>
        <w:spacing w:after="0" w:line="9"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Corporation</w:t>
      </w:r>
    </w:p>
    <w:p>
      <w:pPr>
        <w:sectPr>
          <w:pgSz w:w="11900" w:h="16838" w:orient="portrait"/>
          <w:cols w:equalWidth="0" w:num="1">
            <w:col w:w="10219"/>
          </w:cols>
          <w:pgMar w:left="240" w:top="31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23.2</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USA Waste Services, Inc.:</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of USA Waste Services, Inc. on Form S-8 of our report dated March 10, 1995, on our audits of the consolidated financial statements of USA Waste Services, Inc. as of December 31, 1993 and 1994, and for each of the three years in the period ended December 31, 1994, included in and incorporated by reference into the USA Waste Services, Inc.'s Amendment No. 2 to Form S-4 (File No. 33-59259), dated May 18, 1995.</w:t>
      </w:r>
    </w:p>
    <w:p>
      <w:pPr>
        <w:spacing w:after="0" w:line="196"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COOPERS &amp; LYBRAND L.L.P.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31,1995</w:t>
      </w:r>
    </w:p>
    <w:p>
      <w:pPr>
        <w:sectPr>
          <w:pgSz w:w="11900" w:h="16838" w:orient="portrait"/>
          <w:cols w:equalWidth="0" w:num="1">
            <w:col w:w="10219"/>
          </w:cols>
          <w:pgMar w:left="240" w:top="14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USA Waste Services, Inc.:</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Registration Statement on Form S-8 related to the USA Waste Services, Inc. Employee Savings Plan of our report dated September 22, 1993 on Envirofil, Inc. included in the USA Waste Services, Inc.'s previously filed Amendment No. 2 to the Registration Statement on Form S-4 (File No. 33-59259) and our report dated March 25, 1994 on the Acquired New Jersey Solid Waste Companies incorporated by reference in the USA Waste Services, Inc.'s previously filed Amendment No. 2 to the Registration Statement on Form S-4 (File No.</w:t>
      </w:r>
    </w:p>
    <w:p>
      <w:pPr>
        <w:spacing w:after="0"/>
        <w:rPr>
          <w:sz w:val="20"/>
          <w:szCs w:val="20"/>
          <w:color w:val="auto"/>
        </w:rPr>
      </w:pPr>
      <w:r>
        <w:rPr>
          <w:rFonts w:ascii="Courier New" w:cs="Courier New" w:eastAsia="Courier New" w:hAnsi="Courier New"/>
          <w:sz w:val="17"/>
          <w:szCs w:val="17"/>
          <w:color w:val="auto"/>
        </w:rPr>
        <w:t>33-59259).</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ARTHUR ANDERSEN L.L.P.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 1995</w:t>
      </w:r>
    </w:p>
    <w:p>
      <w:pPr>
        <w:sectPr>
          <w:pgSz w:w="11900" w:h="16838" w:orient="portrait"/>
          <w:cols w:equalWidth="0" w:num="1">
            <w:col w:w="10219"/>
          </w:cols>
          <w:pgMar w:left="240" w:top="14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23.4</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212" w:lineRule="exact"/>
        <w:rPr>
          <w:sz w:val="20"/>
          <w:szCs w:val="20"/>
          <w:color w:val="auto"/>
        </w:rPr>
      </w:pPr>
    </w:p>
    <w:p>
      <w:pPr>
        <w:ind w:right="1839" w:firstLine="733"/>
        <w:spacing w:after="0" w:line="252"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of USA Waste Services, Inc. on Form S-8 of our report dated March 30, 1995 on the consolidated financial statements of Chambers Development Company, Inc. and subsidiaries as of December 31, 1994 and 1993 and for each of the three years in the period ended December 31, 1994, appearing in Amendment No. 2 to Registration Statement No. 33-59259 on Form S-4 of USA Waste Services,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31, 1995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decimal"/>
      <w:start w:val="7"/>
    </w:lvl>
    <w:lvl w:ilvl="1">
      <w:lvlJc w:val="left"/>
      <w:lvlText w:val="%2."/>
      <w:numFmt w:val="lowerLetter"/>
      <w:start w:val="1"/>
    </w:lvl>
  </w:abstractNum>
  <w:abstractNum w:abstractNumId="3">
    <w:nsid w:val="3352255A"/>
    <w:multiLevelType w:val="hybridMultilevel"/>
    <w:lvl w:ilvl="0">
      <w:lvlJc w:val="left"/>
      <w:lvlText w:val="%1."/>
      <w:numFmt w:val="upperLetter"/>
      <w:start w:val="2"/>
    </w:lvl>
  </w:abstractNum>
  <w:abstractNum w:abstractNumId="4">
    <w:nsid w:val="109CF92E"/>
    <w:multiLevelType w:val="hybridMultilevel"/>
    <w:lvl w:ilvl="0">
      <w:lvlJc w:val="left"/>
      <w:lvlText w:val="%1."/>
      <w:numFmt w:val="upperLetter"/>
      <w:start w:val="3"/>
    </w:lvl>
    <w:lvl w:ilvl="1">
      <w:lvlJc w:val="left"/>
      <w:lvlText w:val="%2."/>
      <w:numFmt w:val="decimal"/>
      <w:start w:val="1"/>
    </w:lvl>
  </w:abstractNum>
  <w:abstractNum w:abstractNumId="5">
    <w:nsid w:val="DED7263"/>
    <w:multiLevelType w:val="hybridMultilevel"/>
    <w:lvl w:ilvl="0">
      <w:lvlJc w:val="left"/>
      <w:lvlText w:val="%1."/>
      <w:numFmt w:val="upperLetter"/>
      <w:start w:val="9"/>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lowerLetter"/>
      <w:start w:val="2"/>
    </w:lvl>
  </w:abstractNum>
  <w:abstractNum w:abstractNumId="12">
    <w:nsid w:val="519B500D"/>
    <w:multiLevelType w:val="hybridMultilevel"/>
    <w:lvl w:ilvl="0">
      <w:lvlJc w:val="left"/>
      <w:lvlText w:val="(%1)"/>
      <w:numFmt w:val="lowerLetter"/>
      <w:start w:val="5"/>
    </w:lvl>
  </w:abstractNum>
  <w:abstractNum w:abstractNumId="13">
    <w:nsid w:val="431BD7B7"/>
    <w:multiLevelType w:val="hybridMultilevel"/>
    <w:lvl w:ilvl="0">
      <w:lvlJc w:val="left"/>
      <w:lvlText w:val="(%1)"/>
      <w:numFmt w:val="lowerLetter"/>
      <w:start w:val="8"/>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2019-12-20T04:03:08Z</dcterms:created>
  <dcterms:modified xsi:type="dcterms:W3CDTF">2019-12-20T04:03:08Z</dcterms:modified>
</cp:coreProperties>
</file>