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NOVEMBER 1, 2002.</w:t>
      </w:r>
    </w:p>
    <w:p>
      <w:pPr>
        <w:spacing w:after="0" w:line="200" w:lineRule="exact"/>
        <w:rPr>
          <w:sz w:val="24"/>
          <w:szCs w:val="24"/>
          <w:color w:val="auto"/>
        </w:rPr>
      </w:pPr>
    </w:p>
    <w:p>
      <w:pPr>
        <w:spacing w:after="0" w:line="204"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333-97697</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PRE-EFFECTIVE AMENDMENT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452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DELAWARE</w:t>
            </w: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45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326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5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32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HOUSTON, TEXAS 77002</w:t>
      </w:r>
    </w:p>
    <w:p>
      <w:pPr>
        <w:jc w:val="center"/>
        <w:ind w:right="1779"/>
        <w:spacing w:after="0"/>
        <w:rPr>
          <w:sz w:val="20"/>
          <w:szCs w:val="20"/>
          <w:color w:val="auto"/>
        </w:rPr>
      </w:pPr>
      <w:r>
        <w:rPr>
          <w:rFonts w:ascii="Courier New" w:cs="Courier New" w:eastAsia="Courier New" w:hAnsi="Courier New"/>
          <w:sz w:val="18"/>
          <w:szCs w:val="18"/>
          <w:color w:val="auto"/>
        </w:rPr>
        <w:t>(713) 512-6200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including area code, of registrant's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DAVID P. STEINER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SENIOR VICE PRESIDENT, GENERAL COUNSEL &amp; SECRETARY</w:t>
      </w:r>
    </w:p>
    <w:p>
      <w:pPr>
        <w:jc w:val="center"/>
        <w:ind w:right="177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line="237" w:lineRule="auto"/>
        <w:rPr>
          <w:sz w:val="20"/>
          <w:szCs w:val="20"/>
          <w:color w:val="auto"/>
        </w:rPr>
      </w:pPr>
      <w:r>
        <w:rPr>
          <w:rFonts w:ascii="Courier New" w:cs="Courier New" w:eastAsia="Courier New" w:hAnsi="Courier New"/>
          <w:sz w:val="18"/>
          <w:szCs w:val="18"/>
          <w:color w:val="auto"/>
        </w:rPr>
        <w:t>HOUSTON, TEXAS 77002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4"/>
          <w:szCs w:val="24"/>
          <w:color w:val="auto"/>
        </w:rPr>
      </w:pPr>
    </w:p>
    <w:p>
      <w:pPr>
        <w:ind w:left="2000" w:right="3039" w:hanging="842"/>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70"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740" w:right="2419" w:hanging="205"/>
        <w:spacing w:after="0" w:line="23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inside facing page for information on the additional registrant guarantor.</w:t>
      </w:r>
    </w:p>
    <w:p>
      <w:pPr>
        <w:spacing w:after="0" w:line="208" w:lineRule="exact"/>
        <w:rPr>
          <w:sz w:val="24"/>
          <w:szCs w:val="24"/>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w:t>
      </w:r>
    </w:p>
    <w:p>
      <w:pPr>
        <w:sectPr>
          <w:pgSz w:w="11900" w:h="16880" w:orient="portrait"/>
          <w:cols w:equalWidth="0" w:num="1">
            <w:col w:w="10219"/>
          </w:cols>
          <w:pgMar w:left="240" w:top="852" w:right="1440" w:bottom="0" w:gutter="0" w:footer="0" w:header="0"/>
        </w:sectPr>
      </w:pPr>
    </w:p>
    <w:bookmarkStart w:id="1" w:name="page2"/>
    <w:bookmarkEnd w:id="1"/>
    <w:p>
      <w:pPr>
        <w:ind w:right="2319"/>
        <w:spacing w:after="0" w:line="236" w:lineRule="auto"/>
        <w:rPr>
          <w:sz w:val="20"/>
          <w:szCs w:val="20"/>
          <w:color w:val="auto"/>
        </w:rPr>
      </w:pPr>
      <w:r>
        <w:rPr>
          <w:rFonts w:ascii="Courier New" w:cs="Courier New" w:eastAsia="Courier New" w:hAnsi="Courier New"/>
          <w:sz w:val="18"/>
          <w:szCs w:val="18"/>
          <w:color w:val="auto"/>
        </w:rPr>
        <w:t>THE SECURITIES ACT OF 1933 OR UNTIL THE REGISTRATION STATEMENT SHALL BECOME EFFECTIVE ON SUCH DATE AS THE SECURITIES AND EXCHANGE COMMISSION, ACTING PURSUANT TO SAID SECTION 8(a) MAY DETERMINE.</w:t>
      </w: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jc w:val="right"/>
        <w:ind w:right="3899"/>
        <w:spacing w:after="0"/>
        <w:rPr>
          <w:sz w:val="20"/>
          <w:szCs w:val="20"/>
          <w:color w:val="auto"/>
        </w:rPr>
      </w:pPr>
      <w:r>
        <w:rPr>
          <w:rFonts w:ascii="Courier New" w:cs="Courier New" w:eastAsia="Courier New" w:hAnsi="Courier New"/>
          <w:sz w:val="18"/>
          <w:szCs w:val="18"/>
          <w:color w:val="auto"/>
        </w:rPr>
        <w:t>TABLE OF ADDITIONAL REGISTRANT GUARANTORS</w:t>
      </w:r>
    </w:p>
    <w:p>
      <w:pPr>
        <w:spacing w:after="0" w:line="201"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STATE OR OTHER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IRS ADDRESS</w:t>
      </w:r>
    </w:p>
    <w:p>
      <w:pPr>
        <w:jc w:val="center"/>
        <w:ind w:right="8419"/>
        <w:spacing w:after="0"/>
        <w:rPr>
          <w:sz w:val="20"/>
          <w:szCs w:val="20"/>
          <w:color w:val="auto"/>
        </w:rPr>
      </w:pPr>
      <w:r>
        <w:rPr>
          <w:rFonts w:ascii="Courier New" w:cs="Courier New" w:eastAsia="Courier New" w:hAnsi="Courier New"/>
          <w:sz w:val="18"/>
          <w:szCs w:val="18"/>
          <w:color w:val="auto"/>
        </w:rPr>
        <w:t>INCLUDING ZIP</w:t>
      </w:r>
    </w:p>
    <w:p>
      <w:pPr>
        <w:jc w:val="center"/>
        <w:ind w:right="8419"/>
        <w:spacing w:after="0" w:line="237" w:lineRule="auto"/>
        <w:rPr>
          <w:sz w:val="20"/>
          <w:szCs w:val="20"/>
          <w:color w:val="auto"/>
        </w:rPr>
      </w:pPr>
      <w:r>
        <w:rPr>
          <w:rFonts w:ascii="Courier New" w:cs="Courier New" w:eastAsia="Courier New" w:hAnsi="Courier New"/>
          <w:sz w:val="18"/>
          <w:szCs w:val="18"/>
          <w:color w:val="auto"/>
        </w:rPr>
        <w:t>JURISDICTION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EMPLOYER CODE</w:t>
      </w:r>
    </w:p>
    <w:p>
      <w:pPr>
        <w:jc w:val="center"/>
        <w:ind w:right="8419"/>
        <w:spacing w:after="0"/>
        <w:rPr>
          <w:sz w:val="20"/>
          <w:szCs w:val="20"/>
          <w:color w:val="auto"/>
        </w:rPr>
      </w:pPr>
      <w:r>
        <w:rPr>
          <w:rFonts w:ascii="Courier New" w:cs="Courier New" w:eastAsia="Courier New" w:hAnsi="Courier New"/>
          <w:sz w:val="18"/>
          <w:szCs w:val="18"/>
          <w:color w:val="auto"/>
        </w:rPr>
        <w:t>AND TELEPHONE</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INCORPORATION OF</w:t>
      </w:r>
    </w:p>
    <w:p>
      <w:pPr>
        <w:jc w:val="center"/>
        <w:ind w:right="8419"/>
        <w:spacing w:after="0"/>
        <w:rPr>
          <w:sz w:val="20"/>
          <w:szCs w:val="20"/>
          <w:color w:val="auto"/>
        </w:rPr>
      </w:pPr>
      <w:r>
        <w:rPr>
          <w:rFonts w:ascii="Courier New" w:cs="Courier New" w:eastAsia="Courier New" w:hAnsi="Courier New"/>
          <w:sz w:val="18"/>
          <w:szCs w:val="18"/>
          <w:color w:val="auto"/>
        </w:rPr>
        <w:t>IDENTIFICATION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419"/>
        <w:spacing w:after="0"/>
        <w:rPr>
          <w:sz w:val="20"/>
          <w:szCs w:val="20"/>
          <w:color w:val="auto"/>
        </w:rPr>
      </w:pPr>
      <w:r>
        <w:rPr>
          <w:rFonts w:ascii="Courier New" w:cs="Courier New" w:eastAsia="Courier New" w:hAnsi="Courier New"/>
          <w:sz w:val="18"/>
          <w:szCs w:val="18"/>
          <w:color w:val="auto"/>
        </w:rPr>
        <w:t>PRINCIPAL EXACT</w:t>
      </w:r>
    </w:p>
    <w:p>
      <w:pPr>
        <w:jc w:val="center"/>
        <w:ind w:right="8419"/>
        <w:spacing w:after="0" w:line="237" w:lineRule="auto"/>
        <w:rPr>
          <w:sz w:val="20"/>
          <w:szCs w:val="20"/>
          <w:color w:val="auto"/>
        </w:rPr>
      </w:pPr>
      <w:r>
        <w:rPr>
          <w:rFonts w:ascii="Courier New" w:cs="Courier New" w:eastAsia="Courier New" w:hAnsi="Courier New"/>
          <w:sz w:val="18"/>
          <w:szCs w:val="18"/>
          <w:color w:val="auto"/>
        </w:rPr>
        <w:t>NAME AS</w:t>
      </w:r>
    </w:p>
    <w:p>
      <w:pPr>
        <w:jc w:val="center"/>
        <w:ind w:right="8419"/>
        <w:spacing w:after="0" w:line="238" w:lineRule="auto"/>
        <w:rPr>
          <w:sz w:val="20"/>
          <w:szCs w:val="20"/>
          <w:color w:val="auto"/>
        </w:rPr>
      </w:pPr>
      <w:r>
        <w:rPr>
          <w:rFonts w:ascii="Courier New" w:cs="Courier New" w:eastAsia="Courier New" w:hAnsi="Courier New"/>
          <w:sz w:val="18"/>
          <w:szCs w:val="18"/>
          <w:color w:val="auto"/>
        </w:rPr>
        <w:t>SPECIFIED IN ITS</w:t>
      </w:r>
    </w:p>
    <w:p>
      <w:pPr>
        <w:jc w:val="center"/>
        <w:ind w:right="8419"/>
        <w:spacing w:after="0"/>
        <w:rPr>
          <w:sz w:val="20"/>
          <w:szCs w:val="20"/>
          <w:color w:val="auto"/>
        </w:rPr>
      </w:pPr>
      <w:r>
        <w:rPr>
          <w:rFonts w:ascii="Courier New" w:cs="Courier New" w:eastAsia="Courier New" w:hAnsi="Courier New"/>
          <w:sz w:val="18"/>
          <w:szCs w:val="18"/>
          <w:color w:val="auto"/>
        </w:rPr>
        <w:t>CHARTER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ORGANIZATION</w:t>
      </w:r>
    </w:p>
    <w:p>
      <w:pPr>
        <w:jc w:val="center"/>
        <w:ind w:right="8419"/>
        <w:spacing w:after="0"/>
        <w:rPr>
          <w:sz w:val="20"/>
          <w:szCs w:val="20"/>
          <w:color w:val="auto"/>
        </w:rPr>
      </w:pPr>
      <w:r>
        <w:rPr>
          <w:rFonts w:ascii="Courier New" w:cs="Courier New" w:eastAsia="Courier New" w:hAnsi="Courier New"/>
          <w:sz w:val="18"/>
          <w:szCs w:val="18"/>
          <w:color w:val="auto"/>
        </w:rPr>
        <w:t>NUMBER EXECUTIVE</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OFFICE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380" w:right="8799" w:firstLine="45"/>
        <w:spacing w:after="0" w:line="268" w:lineRule="auto"/>
        <w:tabs>
          <w:tab w:leader="none" w:pos="85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Holdings,</w:t>
      </w:r>
    </w:p>
    <w:p>
      <w:pPr>
        <w:spacing w:after="0" w:line="233" w:lineRule="auto"/>
        <w:rPr>
          <w:sz w:val="20"/>
          <w:szCs w:val="20"/>
          <w:color w:val="auto"/>
        </w:rPr>
      </w:pPr>
      <w:r>
        <w:rPr>
          <w:rFonts w:ascii="Courier New" w:cs="Courier New" w:eastAsia="Courier New" w:hAnsi="Courier New"/>
          <w:sz w:val="18"/>
          <w:szCs w:val="18"/>
          <w:color w:val="auto"/>
        </w:rPr>
        <w:t>Inc..............</w:t>
      </w:r>
    </w:p>
    <w:p>
      <w:pPr>
        <w:jc w:val="center"/>
        <w:ind w:right="8419"/>
        <w:spacing w:after="0"/>
        <w:rPr>
          <w:sz w:val="20"/>
          <w:szCs w:val="20"/>
          <w:color w:val="auto"/>
        </w:rPr>
      </w:pPr>
      <w:r>
        <w:rPr>
          <w:rFonts w:ascii="Courier New" w:cs="Courier New" w:eastAsia="Courier New" w:hAnsi="Courier New"/>
          <w:sz w:val="18"/>
          <w:szCs w:val="18"/>
          <w:color w:val="auto"/>
        </w:rPr>
        <w:t>Delaware 36-</w:t>
      </w:r>
    </w:p>
    <w:p>
      <w:pPr>
        <w:jc w:val="center"/>
        <w:ind w:right="8419"/>
        <w:spacing w:after="0" w:line="237" w:lineRule="auto"/>
        <w:rPr>
          <w:sz w:val="20"/>
          <w:szCs w:val="20"/>
          <w:color w:val="auto"/>
        </w:rPr>
      </w:pPr>
      <w:r>
        <w:rPr>
          <w:rFonts w:ascii="Courier New" w:cs="Courier New" w:eastAsia="Courier New" w:hAnsi="Courier New"/>
          <w:sz w:val="18"/>
          <w:szCs w:val="18"/>
          <w:color w:val="auto"/>
        </w:rPr>
        <w:t>2660763 1001</w:t>
      </w:r>
    </w:p>
    <w:p>
      <w:pPr>
        <w:jc w:val="center"/>
        <w:ind w:right="8419"/>
        <w:spacing w:after="0"/>
        <w:rPr>
          <w:sz w:val="20"/>
          <w:szCs w:val="20"/>
          <w:color w:val="auto"/>
        </w:rPr>
      </w:pPr>
      <w:r>
        <w:rPr>
          <w:rFonts w:ascii="Courier New" w:cs="Courier New" w:eastAsia="Courier New" w:hAnsi="Courier New"/>
          <w:sz w:val="18"/>
          <w:szCs w:val="18"/>
          <w:color w:val="auto"/>
        </w:rPr>
        <w:t>Fannin Street</w:t>
      </w:r>
    </w:p>
    <w:p>
      <w:pPr>
        <w:jc w:val="center"/>
        <w:ind w:right="8419"/>
        <w:spacing w:after="0" w:line="237" w:lineRule="auto"/>
        <w:rPr>
          <w:sz w:val="20"/>
          <w:szCs w:val="20"/>
          <w:color w:val="auto"/>
        </w:rPr>
      </w:pPr>
      <w:r>
        <w:rPr>
          <w:rFonts w:ascii="Courier New" w:cs="Courier New" w:eastAsia="Courier New" w:hAnsi="Courier New"/>
          <w:sz w:val="18"/>
          <w:szCs w:val="18"/>
          <w:color w:val="auto"/>
        </w:rPr>
        <w:t>Suite 4000</w:t>
      </w:r>
    </w:p>
    <w:p>
      <w:pPr>
        <w:jc w:val="center"/>
        <w:ind w:right="8419"/>
        <w:spacing w:after="0"/>
        <w:rPr>
          <w:sz w:val="20"/>
          <w:szCs w:val="20"/>
          <w:color w:val="auto"/>
        </w:rPr>
      </w:pPr>
      <w:r>
        <w:rPr>
          <w:rFonts w:ascii="Courier New" w:cs="Courier New" w:eastAsia="Courier New" w:hAnsi="Courier New"/>
          <w:sz w:val="18"/>
          <w:szCs w:val="18"/>
          <w:color w:val="auto"/>
        </w:rPr>
        <w:t>Houston, Texas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77002 (713) 512-</w:t>
      </w:r>
    </w:p>
    <w:p>
      <w:pPr>
        <w:jc w:val="center"/>
        <w:ind w:right="8419"/>
        <w:spacing w:after="0"/>
        <w:rPr>
          <w:sz w:val="20"/>
          <w:szCs w:val="20"/>
          <w:color w:val="auto"/>
        </w:rPr>
      </w:pPr>
      <w:r>
        <w:rPr>
          <w:rFonts w:ascii="Courier New" w:cs="Courier New" w:eastAsia="Courier New" w:hAnsi="Courier New"/>
          <w:sz w:val="18"/>
          <w:szCs w:val="18"/>
          <w:color w:val="auto"/>
        </w:rPr>
        <w:t>6200</w:t>
      </w:r>
    </w:p>
    <w:p>
      <w:pPr>
        <w:sectPr>
          <w:pgSz w:w="11900" w:h="16838" w:orient="portrait"/>
          <w:cols w:equalWidth="0" w:num="1">
            <w:col w:w="10219"/>
          </w:cols>
          <w:pgMar w:left="240" w:top="717" w:right="1440" w:bottom="144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SUBJECT TO COMPLETION, DATED NOVEMBER 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$1,868,070,886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MAY BE FULLY AND UNCONDITIONALLY GUARANTEED,</w:t>
      </w:r>
    </w:p>
    <w:p>
      <w:pPr>
        <w:jc w:val="center"/>
        <w:ind w:right="1779"/>
        <w:spacing w:after="0"/>
        <w:rPr>
          <w:sz w:val="20"/>
          <w:szCs w:val="20"/>
          <w:color w:val="auto"/>
        </w:rPr>
      </w:pPr>
      <w:r>
        <w:rPr>
          <w:rFonts w:ascii="Courier New" w:cs="Courier New" w:eastAsia="Courier New" w:hAnsi="Courier New"/>
          <w:sz w:val="18"/>
          <w:szCs w:val="18"/>
          <w:color w:val="auto"/>
        </w:rPr>
        <w:t>AS DESCRIBED HEREIN, BY WASTE MANAGEMENT HOLDINGS, INC.)</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may offer from time to time:</w:t>
      </w:r>
    </w:p>
    <w:p>
      <w:pPr>
        <w:spacing w:after="0" w:line="207" w:lineRule="exact"/>
        <w:rPr>
          <w:sz w:val="20"/>
          <w:szCs w:val="20"/>
          <w:color w:val="auto"/>
        </w:rPr>
      </w:pPr>
    </w:p>
    <w:p>
      <w:pPr>
        <w:ind w:left="740" w:right="18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whether or not guaranteed by Waste Management Holdings, Inc.</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CONSIDER CAREFULLY THE RISK FACTORS BEGINNING ON PAGE 3.</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ectPr>
          <w:pgSz w:w="11900" w:h="16838" w:orient="portrait"/>
          <w:cols w:equalWidth="0" w:num="1">
            <w:col w:w="10219"/>
          </w:cols>
          <w:pgMar w:left="240" w:top="919"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filed with the Securities and Exchange Commission a registration statement on Form S-3 (Reg. No. 333-97697)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Commission and may be inspected without charge. We file annual, quarterly and current reports, proxy statements and other information with the Commission. Our Commission filings, including the registration statement, are available to the public over the Internet at the Commission's web site at http://www.sec.gov. You can also read and copy any document we file at:</w:t>
      </w:r>
    </w:p>
    <w:p>
      <w:pPr>
        <w:spacing w:after="0" w:line="209" w:lineRule="exact"/>
        <w:rPr>
          <w:sz w:val="20"/>
          <w:szCs w:val="20"/>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233 Broadway, New York, New York 10279.</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Please call the Commission at 1-800-SEC-0330 for more information about the public reference facilities.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This means that we are disclosing important information to you by referring you to those documents. Specifically, we incorporate by reference the documents set forth below that we have previously filed with the Commission:</w:t>
      </w:r>
    </w:p>
    <w:p>
      <w:pPr>
        <w:spacing w:after="0" w:line="200" w:lineRule="exact"/>
        <w:rPr>
          <w:sz w:val="20"/>
          <w:szCs w:val="20"/>
          <w:color w:val="auto"/>
        </w:rPr>
      </w:pPr>
    </w:p>
    <w:p>
      <w:pPr>
        <w:spacing w:after="0" w:line="20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COMMISSION</w:t>
      </w:r>
    </w:p>
    <w:p>
      <w:pPr>
        <w:ind w:left="60"/>
        <w:spacing w:after="0" w:line="238" w:lineRule="auto"/>
        <w:rPr>
          <w:sz w:val="20"/>
          <w:szCs w:val="20"/>
          <w:color w:val="auto"/>
        </w:rPr>
      </w:pPr>
      <w:r>
        <w:rPr>
          <w:rFonts w:ascii="Courier New" w:cs="Courier New" w:eastAsia="Courier New" w:hAnsi="Courier New"/>
          <w:sz w:val="18"/>
          <w:szCs w:val="18"/>
          <w:color w:val="auto"/>
        </w:rPr>
        <w:t>FILINGS (FILE</w:t>
      </w:r>
    </w:p>
    <w:p>
      <w:pPr>
        <w:ind w:left="120"/>
        <w:spacing w:after="0"/>
        <w:rPr>
          <w:sz w:val="20"/>
          <w:szCs w:val="20"/>
          <w:color w:val="auto"/>
        </w:rPr>
      </w:pPr>
      <w:r>
        <w:rPr>
          <w:rFonts w:ascii="Courier New" w:cs="Courier New" w:eastAsia="Courier New" w:hAnsi="Courier New"/>
          <w:sz w:val="18"/>
          <w:szCs w:val="18"/>
          <w:color w:val="auto"/>
        </w:rPr>
        <w:t>NO. 1-12154)</w:t>
      </w:r>
    </w:p>
    <w:p>
      <w:pPr>
        <w:ind w:left="60"/>
        <w:spacing w:after="0" w:line="237" w:lineRule="auto"/>
        <w:rPr>
          <w:sz w:val="20"/>
          <w:szCs w:val="20"/>
          <w:color w:val="auto"/>
        </w:rPr>
      </w:pPr>
      <w:r>
        <w:rPr>
          <w:rFonts w:ascii="Courier New" w:cs="Courier New" w:eastAsia="Courier New" w:hAnsi="Courier New"/>
          <w:sz w:val="18"/>
          <w:szCs w:val="18"/>
          <w:color w:val="auto"/>
        </w:rPr>
        <w:t>PERIOD/DATE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 Report</w:t>
      </w:r>
    </w:p>
    <w:p>
      <w:pPr>
        <w:jc w:val="center"/>
        <w:ind w:right="8739"/>
        <w:spacing w:after="0"/>
        <w:rPr>
          <w:sz w:val="20"/>
          <w:szCs w:val="20"/>
          <w:color w:val="auto"/>
        </w:rPr>
      </w:pPr>
      <w:r>
        <w:rPr>
          <w:rFonts w:ascii="Courier New" w:cs="Courier New" w:eastAsia="Courier New" w:hAnsi="Courier New"/>
          <w:sz w:val="18"/>
          <w:szCs w:val="18"/>
          <w:color w:val="auto"/>
        </w:rPr>
        <w:t>on Form 10-</w:t>
      </w:r>
    </w:p>
    <w:p>
      <w:pPr>
        <w:spacing w:after="0" w:line="237" w:lineRule="auto"/>
        <w:rPr>
          <w:sz w:val="20"/>
          <w:szCs w:val="20"/>
          <w:color w:val="auto"/>
        </w:rPr>
      </w:pPr>
      <w:r>
        <w:rPr>
          <w:rFonts w:ascii="Courier New" w:cs="Courier New" w:eastAsia="Courier New" w:hAnsi="Courier New"/>
          <w:sz w:val="18"/>
          <w:szCs w:val="18"/>
          <w:color w:val="auto"/>
        </w:rPr>
        <w:t>K.............</w:t>
      </w:r>
    </w:p>
    <w:p>
      <w:pPr>
        <w:jc w:val="center"/>
        <w:ind w:right="873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 -</w:t>
      </w:r>
    </w:p>
    <w:p>
      <w:pPr>
        <w:jc w:val="center"/>
        <w:ind w:right="8739"/>
        <w:spacing w:after="0"/>
        <w:rPr>
          <w:sz w:val="20"/>
          <w:szCs w:val="20"/>
          <w:color w:val="auto"/>
        </w:rPr>
      </w:pPr>
      <w:r>
        <w:rPr>
          <w:rFonts w:ascii="Courier New" w:cs="Courier New" w:eastAsia="Courier New" w:hAnsi="Courier New"/>
          <w:sz w:val="18"/>
          <w:szCs w:val="18"/>
          <w:color w:val="auto"/>
        </w:rPr>
        <w:t>Quarterly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Reports on</w:t>
      </w:r>
    </w:p>
    <w:p>
      <w:pPr>
        <w:jc w:val="center"/>
        <w:ind w:right="8739"/>
        <w:spacing w:after="0"/>
        <w:rPr>
          <w:sz w:val="20"/>
          <w:szCs w:val="20"/>
          <w:color w:val="auto"/>
        </w:rPr>
      </w:pPr>
      <w:r>
        <w:rPr>
          <w:rFonts w:ascii="Courier New" w:cs="Courier New" w:eastAsia="Courier New" w:hAnsi="Courier New"/>
          <w:sz w:val="18"/>
          <w:szCs w:val="18"/>
          <w:color w:val="auto"/>
        </w:rPr>
        <w:t>Form 10-</w:t>
      </w:r>
    </w:p>
    <w:p>
      <w:pPr>
        <w:ind w:left="220"/>
        <w:spacing w:after="0" w:line="237" w:lineRule="auto"/>
        <w:rPr>
          <w:sz w:val="20"/>
          <w:szCs w:val="20"/>
          <w:color w:val="auto"/>
        </w:rPr>
      </w:pPr>
      <w:r>
        <w:rPr>
          <w:rFonts w:ascii="Courier New" w:cs="Courier New" w:eastAsia="Courier New" w:hAnsi="Courier New"/>
          <w:sz w:val="18"/>
          <w:szCs w:val="18"/>
          <w:color w:val="auto"/>
        </w:rPr>
        <w:t>Q.........</w:t>
      </w:r>
    </w:p>
    <w:p>
      <w:pPr>
        <w:jc w:val="center"/>
        <w:ind w:right="8739"/>
        <w:spacing w:after="0" w:line="238" w:lineRule="auto"/>
        <w:rPr>
          <w:sz w:val="20"/>
          <w:szCs w:val="20"/>
          <w:color w:val="auto"/>
        </w:rPr>
      </w:pPr>
      <w:r>
        <w:rPr>
          <w:rFonts w:ascii="Courier New" w:cs="Courier New" w:eastAsia="Courier New" w:hAnsi="Courier New"/>
          <w:sz w:val="18"/>
          <w:szCs w:val="18"/>
          <w:color w:val="auto"/>
        </w:rPr>
        <w:t>Quarters</w:t>
      </w:r>
    </w:p>
    <w:p>
      <w:pPr>
        <w:jc w:val="center"/>
        <w:ind w:right="8739"/>
        <w:spacing w:after="0"/>
        <w:rPr>
          <w:sz w:val="20"/>
          <w:szCs w:val="20"/>
          <w:color w:val="auto"/>
        </w:rPr>
      </w:pPr>
      <w:r>
        <w:rPr>
          <w:rFonts w:ascii="Courier New" w:cs="Courier New" w:eastAsia="Courier New" w:hAnsi="Courier New"/>
          <w:sz w:val="18"/>
          <w:szCs w:val="18"/>
          <w:color w:val="auto"/>
        </w:rPr>
        <w:t>ended March</w:t>
      </w:r>
    </w:p>
    <w:p>
      <w:pPr>
        <w:jc w:val="center"/>
        <w:ind w:right="8739"/>
        <w:spacing w:after="0" w:line="237" w:lineRule="auto"/>
        <w:rPr>
          <w:sz w:val="20"/>
          <w:szCs w:val="20"/>
          <w:color w:val="auto"/>
        </w:rPr>
      </w:pPr>
      <w:r>
        <w:rPr>
          <w:rFonts w:ascii="Courier New" w:cs="Courier New" w:eastAsia="Courier New" w:hAnsi="Courier New"/>
          <w:sz w:val="18"/>
          <w:szCs w:val="18"/>
          <w:color w:val="auto"/>
        </w:rPr>
        <w:t>31, 2002,</w:t>
      </w:r>
    </w:p>
    <w:p>
      <w:pPr>
        <w:jc w:val="center"/>
        <w:ind w:right="8739"/>
        <w:spacing w:after="0"/>
        <w:rPr>
          <w:sz w:val="20"/>
          <w:szCs w:val="20"/>
          <w:color w:val="auto"/>
        </w:rPr>
      </w:pPr>
      <w:r>
        <w:rPr>
          <w:rFonts w:ascii="Courier New" w:cs="Courier New" w:eastAsia="Courier New" w:hAnsi="Courier New"/>
          <w:sz w:val="18"/>
          <w:szCs w:val="18"/>
          <w:color w:val="auto"/>
        </w:rPr>
        <w:t>June 30, 2002</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September</w:t>
      </w:r>
    </w:p>
    <w:p>
      <w:pPr>
        <w:jc w:val="center"/>
        <w:ind w:right="8739"/>
        <w:spacing w:after="0"/>
        <w:rPr>
          <w:sz w:val="20"/>
          <w:szCs w:val="20"/>
          <w:color w:val="auto"/>
        </w:rPr>
      </w:pPr>
      <w:r>
        <w:rPr>
          <w:rFonts w:ascii="Courier New" w:cs="Courier New" w:eastAsia="Courier New" w:hAnsi="Courier New"/>
          <w:sz w:val="18"/>
          <w:szCs w:val="18"/>
          <w:color w:val="auto"/>
        </w:rPr>
        <w:t>30, 2002 -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739"/>
        <w:spacing w:after="0"/>
        <w:rPr>
          <w:sz w:val="20"/>
          <w:szCs w:val="20"/>
          <w:color w:val="auto"/>
        </w:rPr>
      </w:pPr>
      <w:r>
        <w:rPr>
          <w:rFonts w:ascii="Courier New" w:cs="Courier New" w:eastAsia="Courier New" w:hAnsi="Courier New"/>
          <w:sz w:val="18"/>
          <w:szCs w:val="18"/>
          <w:color w:val="auto"/>
        </w:rPr>
        <w:t>Reports 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 8-</w:t>
      </w:r>
    </w:p>
    <w:p>
      <w:pPr>
        <w:jc w:val="center"/>
        <w:ind w:right="8739"/>
        <w:spacing w:after="0" w:line="238" w:lineRule="auto"/>
        <w:rPr>
          <w:sz w:val="20"/>
          <w:szCs w:val="20"/>
          <w:color w:val="auto"/>
        </w:rPr>
      </w:pPr>
      <w:r>
        <w:rPr>
          <w:rFonts w:ascii="Courier New" w:cs="Courier New" w:eastAsia="Courier New" w:hAnsi="Courier New"/>
          <w:sz w:val="18"/>
          <w:szCs w:val="18"/>
          <w:color w:val="auto"/>
        </w:rPr>
        <w:t>K............</w:t>
      </w:r>
    </w:p>
    <w:p>
      <w:pPr>
        <w:jc w:val="center"/>
        <w:ind w:right="8739"/>
        <w:spacing w:after="0"/>
        <w:rPr>
          <w:sz w:val="20"/>
          <w:szCs w:val="20"/>
          <w:color w:val="auto"/>
        </w:rPr>
      </w:pPr>
      <w:r>
        <w:rPr>
          <w:rFonts w:ascii="Courier New" w:cs="Courier New" w:eastAsia="Courier New" w:hAnsi="Courier New"/>
          <w:sz w:val="18"/>
          <w:szCs w:val="18"/>
          <w:color w:val="auto"/>
        </w:rPr>
        <w:t>March 22,</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 and</w:t>
      </w:r>
    </w:p>
    <w:p>
      <w:pPr>
        <w:jc w:val="center"/>
        <w:ind w:right="8739"/>
        <w:spacing w:after="0"/>
        <w:rPr>
          <w:sz w:val="20"/>
          <w:szCs w:val="20"/>
          <w:color w:val="auto"/>
        </w:rPr>
      </w:pPr>
      <w:r>
        <w:rPr>
          <w:rFonts w:ascii="Courier New" w:cs="Courier New" w:eastAsia="Courier New" w:hAnsi="Courier New"/>
          <w:sz w:val="18"/>
          <w:szCs w:val="18"/>
          <w:color w:val="auto"/>
        </w:rPr>
        <w:t>August 13,</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w:t>
      </w:r>
    </w:p>
    <w:p>
      <w:pPr>
        <w:sectPr>
          <w:pgSz w:w="11900" w:h="16838" w:orient="portrait"/>
          <w:cols w:equalWidth="0" w:num="1">
            <w:col w:w="10219"/>
          </w:cols>
          <w:pgMar w:left="240" w:top="717" w:right="1440" w:bottom="362" w:gutter="0" w:footer="0" w:header="0"/>
        </w:sectPr>
      </w:pPr>
    </w:p>
    <w:bookmarkStart w:id="5" w:name="page6"/>
    <w:bookmarkEnd w:id="5"/>
    <w:p>
      <w:pPr>
        <w:ind w:right="1779" w:firstLine="527"/>
        <w:spacing w:after="0" w:line="237" w:lineRule="auto"/>
        <w:rPr>
          <w:sz w:val="20"/>
          <w:szCs w:val="20"/>
          <w:color w:val="auto"/>
        </w:rPr>
      </w:pPr>
      <w:r>
        <w:rPr>
          <w:rFonts w:ascii="Courier New" w:cs="Courier New" w:eastAsia="Courier New" w:hAnsi="Courier New"/>
          <w:sz w:val="18"/>
          <w:szCs w:val="18"/>
          <w:color w:val="auto"/>
        </w:rPr>
        <w:t>We also incorporate by reference the information contained in any future filings made with the Commission under Sections 13(a), 13(c), 14 or 15(d) of the Securities Exchange Act until we sell all of the securities covered by this prospectus, which information will be deemed to automatically update and supersede this information.</w:t>
      </w: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CORPORATE SECRETARY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additional registrant guarantor, Waste Management Holdings, Inc. The term "you" refers to a holder of securities offered by means of this prospectus.</w:t>
      </w:r>
    </w:p>
    <w:p>
      <w:pPr>
        <w:sectPr>
          <w:pgSz w:w="11900" w:h="16838" w:orient="portrait"/>
          <w:cols w:equalWidth="0" w:num="1">
            <w:col w:w="10219"/>
          </w:cols>
          <w:pgMar w:left="240" w:top="142"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or rail to disposal sites. These disposal sites include landfills, which are the main depository for solid waste in North America, as well as waste-to-energy facilities. As of December 31, 2001, we owned or operated 297 solid waste landfills, five hazardous waste landfills and 16 waste-to-energy facilities. The solid waste landfills are where non-hazardous waste is deposited. We use state-of-the-art liners, leachate collection, ground water monitoring and gas control systems at our landfills designed to protect the environment. All of our landfills are designed and operated under highly regulated and prescribed procedures. Our hazardous waste landfills are secure sites that have been permitted by the federal government. Generally, only hazardous waste in a stable, solid form can be deposited into our landfills. However, hazardous waste can sometimes be treated before disposal. We operate a hazardous waste facility at which it isolates treated hazardous wastes in liquid form by injection into deep wells that have been drilled into rock formation far below the base of fresh water to a point that is separated by other geological confining layers. Our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operate methane gas recovery projects at some of our landfills, where we collect the methane gas that is generated at the landfill by decomposing waste and process it for sale to be used primarily to fuel power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total revenues were $13.1 billion, $12.5 billion and $11.3 billion for the years ended December 31, 1999, 2000 and 2001, respectively. Our net (loss) income for the years ended December 31, 1999, 2000 and 2001 was $(398) million, $(97) million and $503 million, respectively. Our revenues and net income for the nine months ended September 30, 2002 were $8.3 billion and $586 million,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past, our primary growth strategy was to purchase revenue through acquisitions. However, we are now working on becoming a company of operational excellence by focusing on our new business strategy announced earlier this year. This strategy is designed to emphasize internal growth and enable us to meet our continuing objective of operational excellence. We continue to pursue the key points of our strategy, including:</w:t>
      </w: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Service Excellence. We are designing and implementing new procedures to better meet our customers' requirements;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0" w:gutter="0" w:footer="0" w:header="0"/>
        </w:sectPr>
      </w:pPr>
    </w:p>
    <w:bookmarkStart w:id="7" w:name="page8"/>
    <w:bookmarkEnd w:id="7"/>
    <w:p>
      <w:pPr>
        <w:ind w:right="1879" w:firstLine="527"/>
        <w:spacing w:after="0" w:line="236" w:lineRule="auto"/>
        <w:rPr>
          <w:sz w:val="20"/>
          <w:szCs w:val="20"/>
          <w:color w:val="auto"/>
        </w:rPr>
      </w:pPr>
      <w:r>
        <w:rPr>
          <w:rFonts w:ascii="Courier New" w:cs="Courier New" w:eastAsia="Courier New" w:hAnsi="Courier New"/>
          <w:sz w:val="18"/>
          <w:szCs w:val="18"/>
          <w:color w:val="auto"/>
        </w:rPr>
        <w:t>Information Technology. We are continuing to improve system processes and capabilities needed to transition our entire company to our business model of operational excellence;</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People Performance Management. We are aligning our incentive compensation with our strategies and guiding changes in our corporate culture;</w:t>
      </w:r>
    </w:p>
    <w:p>
      <w:pPr>
        <w:spacing w:after="0" w:line="17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17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Price/Revenue Management. We are improving our pricing analysis capabilities and developing and implementing new revenue management systems;</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Sales Force Effectiveness. We are providing tools, leadership and incentives throughout our company that are designed to enable our sales force to improve its effectiveness and increase revenue; and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Financing. We are utilizing a significant portion of our free cash flow to repurchase common stock as a means of enhancing stockholder value.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March 2002, we recorded a $37 million pre-tax charge for costs associated with this new structure, including $34 million for employee severance and benefit costs and $3 million related to abandoned operating lease agreements. As of September 30, 2002, payments of $38 million had been recorded against the liability. We expect an additional $3 million of restructuring expenditures in the fourth quarter of 2002 as the restructuring is completed.</w:t>
      </w:r>
    </w:p>
    <w:p>
      <w:pPr>
        <w:spacing w:after="0" w:line="38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Our executive offices and the executive offices of Waste Management Holdings, Inc., are located at 1001 Fannin Street, Suite 4000, Houston, Texas 77002, and our telephone number is (713) 512-6200.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and in the accompanying prospectus supplement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RELATING TO OUR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07" w:lineRule="exact"/>
        <w:rPr>
          <w:sz w:val="20"/>
          <w:szCs w:val="20"/>
          <w:color w:val="auto"/>
        </w:rPr>
      </w:pPr>
    </w:p>
    <w:p>
      <w:pPr>
        <w:ind w:left="740" w:right="1999" w:hanging="205"/>
        <w:spacing w:after="0" w:line="23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adverse outcome of one or more of these proceedings could result in, among other things, material increases in our liabilities.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We face the risk of incurring liabilities for environmental damage if our insurance coverage is ultimately inadequate to cover those damages.</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9" w:name="page10"/>
    <w:bookmarkEnd w:id="9"/>
    <w:p>
      <w:pPr>
        <w:ind w:right="209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 and possibly our financial covenants, which could negatively affect our liquidity.</w:t>
      </w:r>
    </w:p>
    <w:p>
      <w:pPr>
        <w:spacing w:after="0" w:line="20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operating revenues are usually lower in the winter months, primarily because the volume of waste relating to construction and demolition activities usually increases in the spring and summer months, and</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362"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recycling operations process for sale certain recyclable materials, including fibers, plastics, aluminum and glass, all of which are subject to significant price fluctuations. The majority of the recyclables that we process for sale are fibers, including old corrugated cardboard, or OCC, and old newsprint, or ONP. In the past two years, the year over year changes in the quarterly average market prices for OCC ranged from a decrease of as much as 63% to an increase of as much as 109%. The same comparisons for ONP have ranged from a decrease of as much as 46% to an increase of as much as 47%. These fluctuations can affect future operating income and cash flows; for example, our operating revenues for the year ended December 31, 2001 were approximately $161 million less than the corresponding prior period due to such declines.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However, our independent power production plants' revenues can be effected; in the past two years, the year over year changes in the average quarterly electricity prices have ranged from increases of as much as 50% to decreases of as much as 44%. For the three and nine months ended September 30, 2002, our revenues decreased by $2 million and $35 million, respectively, due to lower electricity prices.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 consent to the certification of a class for the settlement of purchasers or acquirers of our securities from June 11, 1998 through November 9, 1999. Additionally, as part of the settlement agreement, in May 2002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 self in further litigation. If the settlement is subsequently overturned or if the settlement agreement is terminated, depending on the outcome of later settlement negotiations or litigation, we may be obligated to pay more than under the current settlement agreement. Additionally, any further litigation or settlement negotiations could divert management's attention and result in additional expenses.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11" w:name="page12"/>
    <w:bookmarkEnd w:id="11"/>
    <w:p>
      <w:pPr>
        <w:ind w:right="1779" w:firstLine="527"/>
        <w:spacing w:after="0" w:line="237"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September 30, 2002 incorporated by reference herein.</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 and our ability to meet our obligations.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39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currently expect to meet our anticipated cash needs for capital expenditures, acquisitions and other cash expenditures with our cash flows from operations and, to the extent necessary, additional financings. However, we currently have a stock buy back program pursuant to which we anticipate buying back up to $1 billion of our common stock annually, we expect to pay $230 to $240 million (net of a tax benefit, insurance and related settlement costs) in settlement of the class action lawsuit in the first half of 2003 and have approximately $635.7 million of debt maturities in the fourth quarter of 2002. If our cash flows from operations are less than is currently expected, or our capital expenditures increase, we may elect to incur even more indebtedness. However, there can be no assurances that we will be able to obtain additional financings on acceptable terms. In these circumstances, our strategy is to use our revolving credit facilities to meet our cash needs.</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ENCOUNTER DIFFICULTIES WITH OUR ENTERPRISE SOFTWARE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have recently deployed enterprise-wide software systems that replaced our previous financial, human resources and payroll systems and are in the process of deploying new revenue management and accounts receivable systems. These systems may contain errors or cause other problems that could adversely affect, or even temporarily disrupt, all or a portion of our operations until resolved.</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RISKS RELATING TO AN INVESTMENT IN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provisions of our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This provision is designed to permit us to develop our businesses and foster our long-term growth without the disruption caused by the threat of a takeover that our Board of Directors does not think is in our best interests or in the best interests of our stockholders. Also, third parties may be discouraged from making a tender offer or otherwise attempting to gain control of us even though the attempt might be beneficial economically to us and our stockholders.</w:t>
      </w:r>
    </w:p>
    <w:p>
      <w:pPr>
        <w:spacing w:after="0" w:line="38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RISKS RELATING TO AN INVESTMENT IN DEBT SECURITIES</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ANY DEBT SECURITIES WE ISSUE WILL GENERALLY NOT BE GUARANTEED BY OUR OPERATING SUBSIDIARIES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holding company, we conduct our operations through our subsidiaries, and our only significant assets are the capital stock of our subsidiaries. Accordingly, our ability to meet our cash obligations, including our obligations under any of our debt securities, depends in part upon the ability of our subsidiaries to make cash distributions to us. Any of our subsidiaries' declaration of bankruptcy, liquidation or reorganization could adversely affect their ability to make cash distributions to us. The ability of our subsidiaries to make distributions to us is also, and will continue to be, restricted by, among other</w:t>
      </w:r>
    </w:p>
    <w:p>
      <w:pPr>
        <w:sectPr>
          <w:pgSz w:w="11900" w:h="16838" w:orient="portrait"/>
          <w:cols w:equalWidth="0" w:num="1">
            <w:col w:w="10219"/>
          </w:cols>
          <w:pgMar w:left="240" w:top="723" w:right="1440" w:bottom="0" w:gutter="0" w:footer="0" w:header="0"/>
        </w:sectPr>
      </w:pPr>
    </w:p>
    <w:bookmarkStart w:id="13" w:name="page14"/>
    <w:bookmarkEnd w:id="13"/>
    <w:p>
      <w:pPr>
        <w:ind w:left="3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limitations, applicable provisions of the laws of national or state governments and contractual provisions. Any inability to pay amounts to us, whether by reason of financial difficulties or other restrictions, could have a material adverse effect on our ability to service and repay our debt.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SUBSTANTIAL INDEBTEDNESS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substantial indebtedness. At September 30, 2002, our ratio of total debt to total capitalization was approximately 65% and our total consolidated indebtedness as of September 30, 2002 was approximately $8.5 billion. Our annual debt service obligations vary due to differing maturities on all of our debt instruments; however, our total interest payments for the twelve months ended September 30, 2002 was approximately $454 million. A 1% increase in interest rates would increase our forecasted interest expense for 2002 by approximately</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5.5%, or $26 million. Such an increase would cause our coverage ratio, which is one of our debt covenants and is calculated as consolidated net income plus interest and income taxes over interest expense, to decrease from 3.44 to 1 to 3.27 to 1 as of September 30, 2002. Although such an interest rate increase would also affect our other debt covenants, we would still be in compliance with all of these covenants, including the coverage ratio covenant. However, any more substantial increases in interest rates could affect our compliance with our debt covenants, liquidity and ability to service our debt, including making payments on any debt securities issued hereunder.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degree to which we are leveraged could adversely affect our ability to obtain additional financing and could make us more vulnerable to industry downturns or competitive pressures, all of which could adversely affect our ability to meet our debt service obligations. Additionally, our indentures do not limit the amount of future indebtedness that we can create, incur, assume or guarantee. The incurrence of additional debt would exacerbate any risks associated with our liquidity.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FRAUDULENT TRANSFER STATUTES MAY LIMIT YOUR RIGHTS UNDER GUARANTEES OF THE DEBT SECURITIES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obligations under the debt securities may be guaranteed by Waste Management Holdings, our wholly owned subsidiary. The guarantees may be subject to review under various laws for the protection of creditors. It is possible that the creditors of Waste Management Holdings may challenge the guarantees as fraudulent transfers under relevant federal and state laws. Under certain circumstances, including a finding that Waste Management Holdings was insolvent at the time its guarantees were issued, a court could hold that the obligations of Waste Management Holdings under the guarantees may be voided or are subordinate to other obligations of Waste Management Holdings or that the amount for which Waste Management Holdings is liable under its guarantees of the debt securities may be limited. If a court determined that Waste Management Holdings was insolvent on the date any guarantee is issued, or that the guarantees constituted fraudulent transfers on another ground, the claims of creditors of Waste Management Holdings would effectively have priority with respect to Waste Management Holdings' assets and earnings over the claims of our creditors, including the holders of debt securities we may issue.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NOT BE ABLE TO SELL THE DEBT SECURITIES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There will be no active trading market for the debt securities we issue, and a market may never develop. If any of debt securities are traded after their initial issuance, they may trade at a discount from their initial offering price. Factors that could cause debt securities to trade at a discount are:</w:t>
      </w:r>
    </w:p>
    <w:p>
      <w:pPr>
        <w:spacing w:after="0" w:line="177"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then prevailing interest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declines in our credit worthiness;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weakness in the markets for similar securities;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declining general economic conditions.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ectPr>
          <w:pgSz w:w="11900" w:h="16838" w:orient="portrait"/>
          <w:cols w:equalWidth="0" w:num="1">
            <w:col w:w="10219"/>
          </w:cols>
          <w:pgMar w:left="240" w:top="925" w:right="1440" w:bottom="0" w:gutter="0" w:footer="0" w:header="0"/>
        </w:sectPr>
      </w:pPr>
    </w:p>
    <w:bookmarkStart w:id="15" w:name="page16"/>
    <w:bookmarkEnd w:id="15"/>
    <w:p>
      <w:pPr>
        <w:ind w:right="1779" w:firstLine="527"/>
        <w:spacing w:after="0" w:line="275" w:lineRule="auto"/>
        <w:rPr>
          <w:sz w:val="20"/>
          <w:szCs w:val="20"/>
          <w:color w:val="auto"/>
        </w:rPr>
      </w:pPr>
      <w:r>
        <w:rPr>
          <w:rFonts w:ascii="Courier New" w:cs="Courier New" w:eastAsia="Courier New" w:hAnsi="Courier New"/>
          <w:sz w:val="16"/>
          <w:szCs w:val="16"/>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44" w:right="1440" w:bottom="1440" w:gutter="0" w:footer="0" w:header="0"/>
        </w:sectPr>
      </w:pPr>
    </w:p>
    <w:bookmarkStart w:id="16" w:name="page17"/>
    <w:bookmarkEnd w:id="16"/>
    <w:p>
      <w:pPr>
        <w:ind w:right="1779"/>
        <w:spacing w:after="0" w:line="238" w:lineRule="auto"/>
        <w:rPr>
          <w:sz w:val="20"/>
          <w:szCs w:val="20"/>
          <w:color w:val="auto"/>
        </w:rPr>
      </w:pPr>
      <w:r>
        <w:rPr>
          <w:rFonts w:ascii="Courier New" w:cs="Courier New" w:eastAsia="Courier New" w:hAnsi="Courier New"/>
          <w:sz w:val="18"/>
          <w:szCs w:val="18"/>
          <w:color w:val="auto"/>
        </w:rPr>
        <w:t>making forward-looking statements. This prospectus, including the information incorporated by reference, contains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 unless otherwise required by the securities laws.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described in any prospectus supplement, we will use the net proceeds from the sale of our debt securities or common stock for general corporate purposes. These purposes may include funding working capital requirements, capital expenditures, repayment and refinancing of indebtedness and repurchases and redemptions of our securities. We will determine any specific allocation of the net proceeds of an offering to a specific purpose at the time of such offering and will describe the specific allocation in the related prospectus supplement. The net proceeds of any offerings under this prospectus may initially be invested in short-term marketable securities pending their ultimate application.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shown:</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w:t>
      </w:r>
    </w:p>
    <w:p>
      <w:pPr>
        <w:ind w:left="220"/>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NINE</w:t>
      </w:r>
    </w:p>
    <w:p>
      <w:pPr>
        <w:ind w:left="60"/>
        <w:spacing w:after="0" w:line="238" w:lineRule="auto"/>
        <w:rPr>
          <w:sz w:val="20"/>
          <w:szCs w:val="20"/>
          <w:color w:val="auto"/>
        </w:rPr>
      </w:pPr>
      <w:r>
        <w:rPr>
          <w:rFonts w:ascii="Courier New" w:cs="Courier New" w:eastAsia="Courier New" w:hAnsi="Courier New"/>
          <w:sz w:val="18"/>
          <w:szCs w:val="18"/>
          <w:color w:val="auto"/>
        </w:rPr>
        <w:t>MONTHS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8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line="238" w:lineRule="auto"/>
        <w:rPr>
          <w:sz w:val="20"/>
          <w:szCs w:val="20"/>
          <w:color w:val="auto"/>
        </w:rPr>
      </w:pPr>
      <w:r>
        <w:rPr>
          <w:rFonts w:ascii="Courier New" w:cs="Courier New" w:eastAsia="Courier New" w:hAnsi="Courier New"/>
          <w:sz w:val="18"/>
          <w:szCs w:val="18"/>
          <w:color w:val="auto"/>
        </w:rPr>
        <w:t>ENDED</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SEPTEMBER</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30, 1997</w:t>
      </w:r>
    </w:p>
    <w:p>
      <w:pPr>
        <w:jc w:val="center"/>
        <w:ind w:right="9259"/>
        <w:spacing w:after="0" w:line="238" w:lineRule="auto"/>
        <w:rPr>
          <w:sz w:val="20"/>
          <w:szCs w:val="20"/>
          <w:color w:val="auto"/>
        </w:rPr>
      </w:pPr>
      <w:r>
        <w:rPr>
          <w:rFonts w:ascii="Courier New" w:cs="Courier New" w:eastAsia="Courier New" w:hAnsi="Courier New"/>
          <w:sz w:val="18"/>
          <w:szCs w:val="18"/>
          <w:color w:val="auto"/>
        </w:rPr>
        <w:t>1998</w:t>
      </w:r>
    </w:p>
    <w:p>
      <w:pPr>
        <w:jc w:val="center"/>
        <w:ind w:right="9259"/>
        <w:spacing w:after="0"/>
        <w:rPr>
          <w:sz w:val="20"/>
          <w:szCs w:val="20"/>
          <w:color w:val="auto"/>
        </w:rPr>
      </w:pPr>
      <w:r>
        <w:rPr>
          <w:rFonts w:ascii="Courier New" w:cs="Courier New" w:eastAsia="Courier New" w:hAnsi="Courier New"/>
          <w:sz w:val="18"/>
          <w:szCs w:val="18"/>
          <w:color w:val="auto"/>
        </w:rPr>
        <w:t>1999</w:t>
      </w:r>
    </w:p>
    <w:p>
      <w:pPr>
        <w:jc w:val="center"/>
        <w:ind w:right="92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92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9259"/>
        <w:spacing w:after="0"/>
        <w:rPr>
          <w:sz w:val="20"/>
          <w:szCs w:val="20"/>
          <w:color w:val="auto"/>
        </w:rPr>
      </w:pPr>
      <w:r>
        <w:rPr>
          <w:rFonts w:ascii="Courier New" w:cs="Courier New" w:eastAsia="Courier New" w:hAnsi="Courier New"/>
          <w:sz w:val="18"/>
          <w:szCs w:val="18"/>
          <w:color w:val="auto"/>
        </w:rPr>
        <w:t>2002 - -</w:t>
      </w:r>
    </w:p>
    <w:p>
      <w:pPr>
        <w:ind w:left="480" w:hanging="421"/>
        <w:spacing w:after="0" w:line="237" w:lineRule="auto"/>
        <w:tabs>
          <w:tab w:leader="none" w:pos="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3.2x</w:t>
      </w:r>
    </w:p>
    <w:p>
      <w:pPr>
        <w:sectPr>
          <w:pgSz w:w="11900" w:h="16838" w:orient="portrait"/>
          <w:cols w:equalWidth="0" w:num="1">
            <w:col w:w="10219"/>
          </w:cols>
          <w:pgMar w:left="240" w:top="723"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212"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and Waste Management Holdings during July 1998 and asset</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44" w:right="1440" w:bottom="1440" w:gutter="0" w:footer="0" w:header="0"/>
        </w:sectPr>
      </w:pPr>
    </w:p>
    <w:bookmarkStart w:id="18" w:name="page19"/>
    <w:bookmarkEnd w:id="18"/>
    <w:p>
      <w:pPr>
        <w:ind w:left="420" w:right="1879"/>
        <w:spacing w:after="0" w:line="272" w:lineRule="auto"/>
        <w:rPr>
          <w:sz w:val="20"/>
          <w:szCs w:val="20"/>
          <w:color w:val="auto"/>
        </w:rPr>
      </w:pPr>
      <w:r>
        <w:rPr>
          <w:rFonts w:ascii="Courier New" w:cs="Courier New" w:eastAsia="Courier New" w:hAnsi="Courier New"/>
          <w:sz w:val="16"/>
          <w:szCs w:val="16"/>
          <w:color w:val="auto"/>
        </w:rPr>
        <w:t>impairments and unusual items of $738.8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 determining the probability of landfill expansions.</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have previously entered into a Senior Debt Indenture dated as of September 10, 1997 with Texas Commerce Bank National Association, now known as JPMorgan Chase Bank ("JPMorgan Chase"), and a Subordinated Debt Indenture dated as of February 1, 1997 with JPMorgan Chase. Copies of these indentures are filed as exhibits to the Registration Statement of which this prospectus is a part. The Senior Debt Indenture and the Subordinated Debt Indenture, as amended or supplemented from time to time, are sometimes referred to individually as an "Indenture" and collectively as the "Indentures." JPMorgan Chase (and any successors thereto as trustees under the respective Indentures) is referred to as the "Trustee." The Indentures will be subject to and governed by the Trust Indenture Act of 1939. You should read the actual Indentures if you do not fully understand a term or the way we use it in this prospectus. The following summarizes the material provisions of the Indentures, but may not contain all of the information that is important to you. You can access complete information by referring to the Indentures; we have included section references in parentheses to point you to the sections of the Indentures we are describing. Except as otherwise indicated, the terms of the Senior Debt Indenture and the Subordinated Debt Indenture are substantially identical.</w:t>
      </w:r>
    </w:p>
    <w:p>
      <w:pPr>
        <w:spacing w:after="0" w:line="39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summaries describe the general terms and provisions of the debt securities. When we offer to sell a particular series of debt securities, we will describe the specific terms of the securities in a supplement to this prospectus. The prospectus supplement also will indicate whether the general terms and provisions described in this prospectus apply to a particular series of debt securities.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provided in a prospectus supplement, Waste Management Holdings will guarantee our obligations under the debt securities on the terms set forth in the prospectus supplement. See "Description of Guarantees." Our operations are conducted through our subsidiaries, and therefore, we are primarily dependent on the earnings and cash flows of our subsidiaries to meet our debt service obligations.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our debt securities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interests of other creditors of such subsidiary. Therefore, except as described herein or in a prospectus supplement, our debt securities will be subordinated by operation of law to creditors, including trade creditors, of our subsidiaries with respect to the assets of the subsidiaries, against which these creditors have a claim. The following description of the debt securities sets</w:t>
      </w:r>
    </w:p>
    <w:p>
      <w:pPr>
        <w:spacing w:after="0" w:line="18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564" w:gutter="0" w:footer="0" w:header="0"/>
        </w:sectPr>
      </w:pPr>
    </w:p>
    <w:bookmarkStart w:id="19" w:name="page20"/>
    <w:bookmarkEnd w:id="19"/>
    <w:p>
      <w:pPr>
        <w:jc w:val="both"/>
        <w:ind w:right="1779"/>
        <w:spacing w:after="0" w:line="236" w:lineRule="auto"/>
        <w:rPr>
          <w:sz w:val="20"/>
          <w:szCs w:val="20"/>
          <w:color w:val="auto"/>
        </w:rPr>
      </w:pPr>
      <w:r>
        <w:rPr>
          <w:rFonts w:ascii="Courier New" w:cs="Courier New" w:eastAsia="Courier New" w:hAnsi="Courier New"/>
          <w:sz w:val="18"/>
          <w:szCs w:val="18"/>
          <w:color w:val="auto"/>
        </w:rPr>
        <w:t>forth certain general terms and provisions of the debt securities of all series. The particular terms of each series of debt securities offered by any prospectus supplement will be described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(other than any guarantee that may be issued by Waste Management Holdings).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terms of and information relating to the debt securities (to the extent such terms are applicable to such debt securities) will be included in a prospectus supplement:</w:t>
      </w:r>
    </w:p>
    <w:p>
      <w:pPr>
        <w:spacing w:after="0" w:line="203"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guarantee by Waste Management Holdings of the debt securities;</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w:t>
      </w:r>
    </w:p>
    <w:p>
      <w:pPr>
        <w:spacing w:after="0" w:line="206"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182"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per annum (or the method by which such will be determined) at which the debt securities will bear interest, if any, and the date from which any such interest will accrue;</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dates on which any such interest on the debt securities will be payable, the date on which payment of such interest, if any, will commence and the record dates for any interest payable on any debt securities which are registered securities and the extent to which, or the manner in which, any interest payable on a temporary global debt security will be paid;</w:t>
      </w:r>
    </w:p>
    <w:p>
      <w:pPr>
        <w:spacing w:after="0" w:line="20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mandatory or optional sinking fund or analogous provisions;</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office or agency where, subject to the terms of the Indentures as described below under "-- Payment and Paying Agents," the principal of and any premium and interest on the debt securities will be payable and each office or agency where, subject to the terms of the Indentures as described below under "-- Form, Exchange, Registration and Transfer," the debt securities may be presented for registration of transfer or exchange;</w:t>
      </w:r>
    </w:p>
    <w:p>
      <w:pPr>
        <w:spacing w:after="0" w:line="211"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w:t>
      </w:r>
    </w:p>
    <w:p>
      <w:pPr>
        <w:sectPr>
          <w:pgSz w:w="11900" w:h="16838" w:orient="portrait"/>
          <w:cols w:equalWidth="0" w:num="1">
            <w:col w:w="10219"/>
          </w:cols>
          <w:pgMar w:left="240" w:top="723" w:right="1440" w:bottom="0" w:gutter="0" w:footer="0" w:header="0"/>
        </w:sectPr>
      </w:pPr>
    </w:p>
    <w:bookmarkStart w:id="20" w:name="page21"/>
    <w:bookmarkEnd w:id="20"/>
    <w:p>
      <w:pPr>
        <w:ind w:right="1779"/>
        <w:spacing w:after="0" w:line="235" w:lineRule="auto"/>
        <w:rPr>
          <w:sz w:val="20"/>
          <w:szCs w:val="20"/>
          <w:color w:val="auto"/>
        </w:rPr>
      </w:pPr>
      <w:r>
        <w:rPr>
          <w:rFonts w:ascii="Courier New" w:cs="Courier New" w:eastAsia="Courier New" w:hAnsi="Courier New"/>
          <w:sz w:val="18"/>
          <w:szCs w:val="18"/>
          <w:color w:val="auto"/>
        </w:rPr>
        <w:t>the other detailed terms and provisions of any such optional or mandatory redemption;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479"/>
          </w:cols>
          <w:pgMar w:left="980" w:top="142" w:right="1440" w:bottom="1440" w:gutter="0" w:footer="0" w:header="0"/>
        </w:sectPr>
      </w:pPr>
    </w:p>
    <w:bookmarkStart w:id="21" w:name="page22"/>
    <w:bookmarkEnd w:id="21"/>
    <w:p>
      <w:pPr>
        <w:ind w:left="740" w:right="1999" w:hanging="205"/>
        <w:spacing w:after="0" w:line="273"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184" w:lineRule="exact"/>
        <w:rPr>
          <w:rFonts w:ascii="Courier New" w:cs="Courier New" w:eastAsia="Courier New" w:hAnsi="Courier New"/>
          <w:sz w:val="16"/>
          <w:szCs w:val="16"/>
          <w:color w:val="auto"/>
        </w:rPr>
      </w:pPr>
    </w:p>
    <w:p>
      <w:pPr>
        <w:ind w:left="740" w:right="231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or currencies (including composite currencies) in which payment of principal of and any premium and interest on the debt securities is payable if other than United States dollars;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index used to determine the amount of payments of principal of and any premium and interest on the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deletions from, modification of or additions to the circumstances which would constitute an event of default or our covenants with respect to such debt securities; and</w:t>
      </w:r>
    </w:p>
    <w:p>
      <w:pPr>
        <w:spacing w:after="0" w:line="208" w:lineRule="exact"/>
        <w:rPr>
          <w:rFonts w:ascii="Courier New" w:cs="Courier New" w:eastAsia="Courier New" w:hAnsi="Courier New"/>
          <w:sz w:val="18"/>
          <w:szCs w:val="18"/>
          <w:color w:val="auto"/>
        </w:rPr>
      </w:pPr>
    </w:p>
    <w:p>
      <w:pPr>
        <w:ind w:left="740" w:right="273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Any prospectus supplement will also describe any special provisions for the payment of additional amounts with respect to the debt securities.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that is issued at a price lower than the amount payable upon the stated maturity and which provides that upon redemption or acceleration of the maturity of the security, an amount less than the amount payable upon the stated maturity, determined in accordance with the terms of the debt security, shall become due and payable. We will set forth any special United States federal income tax considerations applicable to debt securities issued at an original issue discount,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Debt securities of a series may also be issuable in temporary or permanent global form. (Section 201)</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record date and the relevant date for payment of interest shall be surrendered without the coupon relating to such date for payment of interest.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Debt securities may be presented for exchange, and registered securities may be presented for registration of transfer, at the office of the security registrar or at the office of any transfer agent designated by us for such purpose with respect to any series of debt securities and referred to in an applicable prospectus supplement. Transfer and exchange will be effected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59" w:gutter="0" w:footer="0" w:header="0"/>
        </w:sectPr>
      </w:pPr>
    </w:p>
    <w:bookmarkStart w:id="22" w:name="page23"/>
    <w:bookmarkEnd w:id="22"/>
    <w:p>
      <w:pPr>
        <w:ind w:right="1879"/>
        <w:spacing w:after="0" w:line="270" w:lineRule="auto"/>
        <w:rPr>
          <w:sz w:val="20"/>
          <w:szCs w:val="20"/>
          <w:color w:val="auto"/>
        </w:rPr>
      </w:pPr>
      <w:r>
        <w:rPr>
          <w:rFonts w:ascii="Courier New" w:cs="Courier New" w:eastAsia="Courier New" w:hAnsi="Courier New"/>
          <w:sz w:val="16"/>
          <w:szCs w:val="16"/>
          <w:color w:val="auto"/>
        </w:rPr>
        <w:t>registrar. (Section 305) If a prospectus supplement refers to any transfer agents (in addition to the security registrar) initially designated by us with respect to any series of debt securities, we may at any time rescind the designation of any such transfer agent. We may also approve a change in the location through which any such transfer agent acts, except that, if debt securities of a series are issuable solely as registered securities, we will be required to maintain a transfer agent in each place where payments are made and securities can be surrendered for such series and, if debt securities of a series are also issuable as bearer securities, we will be required to maintain (in addition to the security registrar) a transfer agent in a place where payments are made and securities can be surrendered for such series located outside the United States. We may at any time designate additional transfer agents with respect to any series of debt securities. (Section 1002)</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for the purpose of making payment and for all other purposes. (Section 308)</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 any redemption in part, we shall not be required to:</w:t>
      </w:r>
    </w:p>
    <w:p>
      <w:pPr>
        <w:spacing w:after="0" w:line="207" w:lineRule="exact"/>
        <w:rPr>
          <w:sz w:val="20"/>
          <w:szCs w:val="20"/>
          <w:color w:val="auto"/>
        </w:rPr>
      </w:pPr>
    </w:p>
    <w:p>
      <w:pPr>
        <w:ind w:left="740" w:right="177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207" w:lineRule="exact"/>
        <w:rPr>
          <w:rFonts w:ascii="Courier New" w:cs="Courier New" w:eastAsia="Courier New" w:hAnsi="Courier New"/>
          <w:sz w:val="18"/>
          <w:szCs w:val="18"/>
          <w:color w:val="auto"/>
        </w:rPr>
      </w:pPr>
    </w:p>
    <w:p>
      <w:pPr>
        <w:ind w:left="860" w:right="1779" w:hanging="220"/>
        <w:spacing w:after="0" w:line="290" w:lineRule="auto"/>
        <w:tabs>
          <w:tab w:leader="none" w:pos="8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 securities of the series are issuable only as registered securities, the day of mailing of the relevant notice of redemption; and</w:t>
      </w:r>
    </w:p>
    <w:p>
      <w:pPr>
        <w:spacing w:after="0" w:line="169" w:lineRule="exact"/>
        <w:rPr>
          <w:rFonts w:ascii="Courier New" w:cs="Courier New" w:eastAsia="Courier New" w:hAnsi="Courier New"/>
          <w:sz w:val="16"/>
          <w:szCs w:val="16"/>
          <w:color w:val="auto"/>
        </w:rPr>
      </w:pPr>
    </w:p>
    <w:p>
      <w:pPr>
        <w:ind w:left="860" w:right="1879" w:hanging="220"/>
        <w:spacing w:after="0" w:line="237" w:lineRule="auto"/>
        <w:tabs>
          <w:tab w:leader="none" w:pos="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208" w:lineRule="exact"/>
        <w:rPr>
          <w:rFonts w:ascii="Courier New" w:cs="Courier New" w:eastAsia="Courier New" w:hAnsi="Courier New"/>
          <w:sz w:val="18"/>
          <w:szCs w:val="18"/>
          <w:color w:val="auto"/>
        </w:rPr>
      </w:pPr>
    </w:p>
    <w:p>
      <w:pPr>
        <w:jc w:val="both"/>
        <w:ind w:left="740" w:right="2099" w:hanging="205"/>
        <w:spacing w:after="0" w:line="279"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any bearer security called for redemption, except to exchange such bearer security for a registered security of that series and like tenor which is immediately surrendered for redemption. (Section 305)</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to us may be required at the expense of the holder of such debt security or coupon before a replacement debt security will be issued. (Section 306)</w:t>
      </w:r>
    </w:p>
    <w:p>
      <w:pPr>
        <w:spacing w:after="0" w:line="1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362" w:gutter="0" w:footer="0" w:header="0"/>
        </w:sectPr>
      </w:pPr>
    </w:p>
    <w:bookmarkStart w:id="23" w:name="page24"/>
    <w:bookmarkEnd w:id="23"/>
    <w:p>
      <w:pPr>
        <w:ind w:right="2199"/>
        <w:spacing w:after="0" w:line="290" w:lineRule="auto"/>
        <w:rPr>
          <w:sz w:val="20"/>
          <w:szCs w:val="20"/>
          <w:color w:val="auto"/>
        </w:rPr>
      </w:pPr>
      <w:r>
        <w:rPr>
          <w:rFonts w:ascii="Courier New" w:cs="Courier New" w:eastAsia="Courier New" w:hAnsi="Courier New"/>
          <w:sz w:val="16"/>
          <w:szCs w:val="16"/>
          <w:color w:val="auto"/>
        </w:rPr>
        <w:t>all offices or agencies outside the United States is illegal or effectively precluded by exchange controls or other similar restrictions. (Section 1002)</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payment of principal of and any premium and interest on registered securities will be made at the office of any paying agent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record date for such interest. (Section 307)</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Unless otherwise indicated in an applicable prospectus supplement, the Trustee for the series of debt securities will act as our paying agent for payments with respect to debt securities which are issuable 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where payments are made and securities may be surrendered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where payments are made and securities may be surrendered located outside the United States where debt securities of such series and any coupons appertaining thereto may be presented and surrendered for payment. (Section 1002)</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Guarantees. In order to enable us to obtain more favorable interest rates and terms, payment of principal of, premium, if any, and interest on the debt securities may (if so specified in the prospectus supplement) be guaranteed by Waste Management Holdings. See "Guarantees of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specific terms of the depository arrangement with respect to a series of debt securities in the form of one or more global debt securities will be described in the prospectus supplement relating to that series.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4" w:name="page25"/>
    <w:bookmarkEnd w:id="24"/>
    <w:p>
      <w:pPr>
        <w:jc w:val="both"/>
        <w:ind w:right="1879"/>
        <w:spacing w:after="0" w:line="236" w:lineRule="auto"/>
        <w:rPr>
          <w:sz w:val="20"/>
          <w:szCs w:val="20"/>
          <w:color w:val="auto"/>
        </w:rPr>
      </w:pPr>
      <w:r>
        <w:rPr>
          <w:rFonts w:ascii="Courier New" w:cs="Courier New" w:eastAsia="Courier New" w:hAnsi="Courier New"/>
          <w:sz w:val="18"/>
          <w:szCs w:val="18"/>
          <w:color w:val="auto"/>
        </w:rPr>
        <w:t>one year) by depositing with the Trustee as trust funds an amount sufficient to pay when due the principal of and premium, if any, and interest, if any, on all outstanding debt securities when due. (Section 401)</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In such case, however, we will not be discharged from our obligations under the Indenture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A trust may only be established if, among other things, we have delivered to the Trustee an opinion of counsel to the effect that:</w:t>
      </w:r>
    </w:p>
    <w:p>
      <w:pPr>
        <w:spacing w:after="0" w:line="395" w:lineRule="exact"/>
        <w:rPr>
          <w:sz w:val="20"/>
          <w:szCs w:val="20"/>
          <w:color w:val="auto"/>
        </w:rPr>
      </w:pPr>
    </w:p>
    <w:p>
      <w:pPr>
        <w:ind w:left="740" w:right="241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received from, or there has been published by, the Internal Revenue Service a ruling, or</w:t>
      </w:r>
    </w:p>
    <w:p>
      <w:pPr>
        <w:spacing w:after="0" w:line="208"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such Indenture there has been a change in applicable federal income tax law, in either case to the effect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392"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 Provisions Applicable Solely to Senior Debt Securities -- Limitation on Liens" and "-- Limitations on Sale and Leaseback Transactions," but excluding (in the case of the Subordinated Debt Indenture) any of our applicable obligations respecting the conversion of debt securities of such series into common stock, and any such omission shall not constitute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there has been an event of default, such amount may not be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564" w:gutter="0" w:footer="0" w:header="0"/>
        </w:sectPr>
      </w:pPr>
    </w:p>
    <w:bookmarkStart w:id="25" w:name="page26"/>
    <w:bookmarkEnd w:id="25"/>
    <w:p>
      <w:pPr>
        <w:ind w:right="1879"/>
        <w:spacing w:after="0" w:line="279" w:lineRule="auto"/>
        <w:rPr>
          <w:sz w:val="20"/>
          <w:szCs w:val="20"/>
          <w:color w:val="auto"/>
        </w:rPr>
      </w:pPr>
      <w:r>
        <w:rPr>
          <w:rFonts w:ascii="Courier New" w:cs="Courier New" w:eastAsia="Courier New" w:hAnsi="Courier New"/>
          <w:sz w:val="16"/>
          <w:szCs w:val="16"/>
          <w:color w:val="auto"/>
        </w:rPr>
        <w:t>sufficient to pay amounts due on the debt securities of such series at the time of the acceleration resulting from the event of default. We shall in any event remain liable for such payments as provided in the applicable Indenture.</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215"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Meetings, Modification and Waiver. We and the Trustee may modify and amend either Indenture with the consent of the holders of a majority in aggregate principal amount of the outstanding securities of each series affected by such modification or amendment. However, no such modification or amendment may, without the consent of the holder of each outstanding security affected thereby:</w:t>
      </w:r>
    </w:p>
    <w:p>
      <w:pPr>
        <w:spacing w:after="0" w:line="185" w:lineRule="exact"/>
        <w:rPr>
          <w:sz w:val="20"/>
          <w:szCs w:val="20"/>
          <w:color w:val="auto"/>
        </w:rPr>
      </w:pPr>
    </w:p>
    <w:p>
      <w:pPr>
        <w:ind w:left="740" w:right="219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debt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date for redemption of any debt security;</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of principal of an original issue discount security payable upon acceleration of the maturity thereof;</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208"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18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requirements contained in such Indenture for quorum or voting;</w:t>
      </w:r>
    </w:p>
    <w:p>
      <w:pPr>
        <w:spacing w:after="0" w:line="223" w:lineRule="exact"/>
        <w:rPr>
          <w:rFonts w:ascii="Courier New" w:cs="Courier New" w:eastAsia="Courier New" w:hAnsi="Courier New"/>
          <w:sz w:val="16"/>
          <w:szCs w:val="16"/>
          <w:color w:val="auto"/>
        </w:rPr>
      </w:pPr>
    </w:p>
    <w:p>
      <w:pPr>
        <w:ind w:left="740" w:right="219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maintain an office or agency in the places and for the purposes required by such Indenture;</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 (Section 902)</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described below under "-- Provisions Applicable Solely to Subordinated Debt Securities") then outstanding that would be adversely affected thereby. (Section 907 of the Subordinated Debt Indenture)</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564" w:gutter="0" w:footer="0" w:header="0"/>
        </w:sectPr>
      </w:pPr>
    </w:p>
    <w:bookmarkStart w:id="26" w:name="page27"/>
    <w:bookmarkEnd w:id="26"/>
    <w:p>
      <w:pPr>
        <w:ind w:right="1879"/>
        <w:spacing w:after="0" w:line="235" w:lineRule="auto"/>
        <w:rPr>
          <w:sz w:val="20"/>
          <w:szCs w:val="20"/>
          <w:color w:val="auto"/>
        </w:rPr>
      </w:pPr>
      <w:r>
        <w:rPr>
          <w:rFonts w:ascii="Courier New" w:cs="Courier New" w:eastAsia="Courier New" w:hAnsi="Courier New"/>
          <w:sz w:val="18"/>
          <w:szCs w:val="18"/>
          <w:color w:val="auto"/>
        </w:rPr>
        <w:t>that series, waive any past default under the applicable Indenture with respect to any debt securities of that series, except a default:</w:t>
      </w:r>
    </w:p>
    <w:p>
      <w:pPr>
        <w:spacing w:after="0" w:line="208" w:lineRule="exact"/>
        <w:rPr>
          <w:sz w:val="20"/>
          <w:szCs w:val="20"/>
          <w:color w:val="auto"/>
        </w:rPr>
      </w:pPr>
    </w:p>
    <w:p>
      <w:pPr>
        <w:ind w:left="740" w:right="209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principal of, or premium, if any, or any interest on any debt security of such series; or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of such Indenture which cannot be modified or amended without the consent of the holder of each outstanding security of such series affected. (Section 513)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w:t>
      </w:r>
    </w:p>
    <w:p>
      <w:pPr>
        <w:spacing w:after="0" w:line="207" w:lineRule="exact"/>
        <w:rPr>
          <w:sz w:val="20"/>
          <w:szCs w:val="20"/>
          <w:color w:val="auto"/>
        </w:rPr>
      </w:pPr>
    </w:p>
    <w:p>
      <w:pPr>
        <w:ind w:left="740" w:right="1779" w:hanging="205"/>
        <w:spacing w:after="0" w:line="23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original issue discount security that is deemed to be outstanding will be the amount of the principal that would be due and payable as of the date of such determination upon acceleration of the maturity thereof, and</w:t>
      </w:r>
    </w:p>
    <w:p>
      <w:pPr>
        <w:spacing w:after="0" w:line="207"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the preceding bullet point. (Section 101)</w:t>
      </w:r>
    </w:p>
    <w:p>
      <w:pPr>
        <w:spacing w:after="0" w:line="3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8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both the senior debt indenture and the subordinated debt indenture is JPMorgan Chase.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7" w:name="page28"/>
    <w:bookmarkEnd w:id="27"/>
    <w:p>
      <w:pPr>
        <w:ind w:right="2319"/>
        <w:spacing w:after="0" w:line="236" w:lineRule="auto"/>
        <w:rPr>
          <w:sz w:val="20"/>
          <w:szCs w:val="20"/>
          <w:color w:val="auto"/>
        </w:rPr>
      </w:pPr>
      <w:r>
        <w:rPr>
          <w:rFonts w:ascii="Courier New" w:cs="Courier New" w:eastAsia="Courier New" w:hAnsi="Courier New"/>
          <w:sz w:val="18"/>
          <w:szCs w:val="18"/>
          <w:color w:val="auto"/>
        </w:rPr>
        <w:t>certain other transactions but, if it acquires any conflicting interest (as described in the Indentures), it must eliminate such conflict or resign. (Section 608)</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case an event occurs that constitutes an event of default, and the default is not cured under the Indenture and is known to the Trustee,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Trust Indenture Act, a trustee under an indenture may be deemed to have a conflicting interest, and may, under certain circumstances, be required to resign as trustee if the securities under such indenture are in default and the trustee is the trustee under another indenture under which any other securities of the same obligor are outstanding. In such event, the obligor must take prompt steps to have a successor trustee appointed in the manner provided in the indenture from which the trustee has resigned. Accordingly, JPMorgan Chase, as trustee under the Senior Debt Indenture and the Subordinated Debt Indenture, could be required to resign as trustee under one of such Indentures should a default occur under one of such Indentures.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JPMorgan Chase,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General. Senior debt securities will be issued under the Senior Debt Indenture, and each series:</w:t>
      </w:r>
    </w:p>
    <w:p>
      <w:pPr>
        <w:spacing w:after="0" w:line="208" w:lineRule="exact"/>
        <w:rPr>
          <w:sz w:val="20"/>
          <w:szCs w:val="20"/>
          <w:color w:val="auto"/>
        </w:rPr>
      </w:pPr>
    </w:p>
    <w:p>
      <w:pPr>
        <w:ind w:left="740" w:right="2319" w:hanging="205"/>
        <w:spacing w:after="0" w:line="290"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pari passu as to the right of payment of principal and any premium and interest with each other series issued thereunder;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senior to all series of subordinated debt securities issued and outstanding and that may be issued from time to time.</w:t>
      </w:r>
    </w:p>
    <w:p>
      <w:pPr>
        <w:spacing w:after="0" w:line="208"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Any series not guaranteed by Waste Management Holdings will be structurally subordinated to any senior debt securities that are guaranteed.</w:t>
      </w:r>
    </w:p>
    <w:p>
      <w:pPr>
        <w:spacing w:after="0" w:line="1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209"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or</w:t>
      </w:r>
    </w:p>
    <w:p>
      <w:pPr>
        <w:ind w:right="1779" w:firstLine="8"/>
        <w:spacing w:after="0" w:line="270" w:lineRule="auto"/>
        <w:tabs>
          <w:tab w:leader="none" w:pos="52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then the weighted average interest rate of all senior debt securities outstanding at the time under the Senior Debt Indenture compounded semi-annually,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8" w:name="page29"/>
    <w:bookmarkEnd w:id="28"/>
    <w:p>
      <w:pPr>
        <w:ind w:right="1779" w:firstLine="527"/>
        <w:spacing w:after="0" w:line="238" w:lineRule="auto"/>
        <w:rPr>
          <w:sz w:val="20"/>
          <w:szCs w:val="20"/>
          <w:color w:val="auto"/>
        </w:rPr>
      </w:pPr>
      <w:r>
        <w:rPr>
          <w:rFonts w:ascii="Courier New" w:cs="Courier New" w:eastAsia="Courier New" w:hAnsi="Courier New"/>
          <w:sz w:val="18"/>
          <w:szCs w:val="18"/>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860" w:right="1779" w:firstLine="517"/>
        <w:spacing w:after="0" w:line="273" w:lineRule="auto"/>
        <w:tabs>
          <w:tab w:leader="none" w:pos="1808"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8" w:lineRule="exact"/>
        <w:rPr>
          <w:rFonts w:ascii="Courier New" w:cs="Courier New" w:eastAsia="Courier New" w:hAnsi="Courier New"/>
          <w:sz w:val="16"/>
          <w:szCs w:val="16"/>
          <w:color w:val="auto"/>
        </w:rPr>
      </w:pPr>
    </w:p>
    <w:p>
      <w:pPr>
        <w:ind w:left="1900" w:hanging="523"/>
        <w:spacing w:after="0"/>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 (i) owned or leased jointly or in common with one or more persons other than us and any Restricted Subsidiaries in which our and our Restricted Subsidiaries' 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970" w:gutter="0" w:footer="0" w:header="0"/>
        </w:sectPr>
      </w:pPr>
    </w:p>
    <w:bookmarkStart w:id="29" w:name="page30"/>
    <w:bookmarkEnd w:id="29"/>
    <w:p>
      <w:pPr>
        <w:ind w:right="1879" w:firstLine="527"/>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Merger and Sale of Assets. The Senior Debt Indenture provides that we may not consolidate with or merge into any other person or convey, transfer or lease our properties and assets substantially as an entirety to any person, unless we deliver to the trustee an officers' certificate and an opinion of counsel to the effect that:</w:t>
      </w:r>
    </w:p>
    <w:p>
      <w:pPr>
        <w:spacing w:after="0" w:line="209" w:lineRule="exact"/>
        <w:rPr>
          <w:sz w:val="20"/>
          <w:szCs w:val="20"/>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on the senior debt securities and the performance or observance of every other covenant of the Senior Debt Indenture to be performed or observed on our part; and</w:t>
      </w: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therein, and thereafter, except in the case of a lease, the predecessor person shall be relieved of all obligations and covenants under the Senior Debt Indenture and the senior debt securities and may liquidate and dissolve. (Sections 801, 802 of the Senior Debt Indenture).</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Limitation on Liens. Unless otherwise provided in the applicable prospectus supplement, for each series of senior debt securities we issue under the Senior Debt Indenture, we will not, and we will not permit any of our Restricted Subsidiaries to, create, incur, assume or suffer to exist, directly or indirectly, any Indebtedness secured by a Security Interest upon any Principal Property, whether owned as of the date of the Senior Debt Indenture or thereafter acquired, without making effective provision (and we hereby covenant that in any such case we shall make or cause to be made effective provision) whereby the senior debt securities then outstanding and any of our other Indebtedness or Restricted Subsidiaries' Indebtedness then entitled thereto shall also be secured, equally and ratably, by such Security Interest (or, in the case of the senior debt securities, prior to, and if we so determine) for as long as any such Indebtedness is secured by the Security Interest; provided, that nothing in the Senior Debt Indenture shall prevent, restrict or apply to Indebtedness secured by:</w:t>
      </w:r>
    </w:p>
    <w:p>
      <w:pPr>
        <w:spacing w:after="0" w:line="208" w:lineRule="exact"/>
        <w:rPr>
          <w:sz w:val="20"/>
          <w:szCs w:val="20"/>
          <w:color w:val="auto"/>
        </w:rPr>
      </w:pPr>
    </w:p>
    <w:p>
      <w:pPr>
        <w:ind w:left="740" w:right="187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any Security Interest upon property or assets which is created prior to or contemporaneously with, or within 360 days after, (1) in the case of the acquisition of such property or assets, the completion of such acquisition; and (2)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767" w:gutter="0" w:footer="0" w:header="0"/>
        </w:sectPr>
      </w:pPr>
    </w:p>
    <w:bookmarkStart w:id="30" w:name="page31"/>
    <w:bookmarkEnd w:id="30"/>
    <w:p>
      <w:pPr>
        <w:ind w:left="205" w:right="1779"/>
        <w:spacing w:after="0" w:line="269" w:lineRule="auto"/>
        <w:rPr>
          <w:sz w:val="20"/>
          <w:szCs w:val="20"/>
          <w:color w:val="auto"/>
        </w:rPr>
      </w:pPr>
      <w:r>
        <w:rPr>
          <w:rFonts w:ascii="Courier New" w:cs="Courier New" w:eastAsia="Courier New" w:hAnsi="Courier New"/>
          <w:sz w:val="16"/>
          <w:szCs w:val="16"/>
          <w:color w:val="auto"/>
        </w:rPr>
        <w:t>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described above in "-- 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395" w:lineRule="exact"/>
        <w:rPr>
          <w:sz w:val="20"/>
          <w:szCs w:val="20"/>
          <w:color w:val="auto"/>
        </w:rPr>
      </w:pPr>
    </w:p>
    <w:p>
      <w:pPr>
        <w:ind w:left="205" w:right="1999" w:hanging="205"/>
        <w:spacing w:after="0" w:line="237" w:lineRule="auto"/>
        <w:tabs>
          <w:tab w:leader="none" w:pos="20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that are not due or which are being contested in good faith; or</w:t>
      </w:r>
    </w:p>
    <w:p>
      <w:pPr>
        <w:spacing w:after="0" w:line="207" w:lineRule="exact"/>
        <w:rPr>
          <w:rFonts w:ascii="Courier New" w:cs="Courier New" w:eastAsia="Courier New" w:hAnsi="Courier New"/>
          <w:sz w:val="18"/>
          <w:szCs w:val="18"/>
          <w:color w:val="auto"/>
        </w:rPr>
      </w:pPr>
    </w:p>
    <w:p>
      <w:pPr>
        <w:ind w:left="205" w:right="1999" w:hanging="205"/>
        <w:spacing w:after="0" w:line="271" w:lineRule="auto"/>
        <w:tabs>
          <w:tab w:leader="none" w:pos="20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any of our subsidiaries or our or their respective affiliates); or</w:t>
      </w:r>
    </w:p>
    <w:p>
      <w:pPr>
        <w:spacing w:after="0" w:line="183" w:lineRule="exact"/>
        <w:rPr>
          <w:rFonts w:ascii="Courier New" w:cs="Courier New" w:eastAsia="Courier New" w:hAnsi="Courier New"/>
          <w:sz w:val="16"/>
          <w:szCs w:val="16"/>
          <w:color w:val="auto"/>
        </w:rPr>
      </w:pPr>
    </w:p>
    <w:p>
      <w:pPr>
        <w:ind w:left="205" w:right="1779" w:hanging="205"/>
        <w:spacing w:after="0" w:line="237" w:lineRule="auto"/>
        <w:tabs>
          <w:tab w:leader="none" w:pos="20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7" w:lineRule="exact"/>
        <w:rPr>
          <w:rFonts w:ascii="Courier New" w:cs="Courier New" w:eastAsia="Courier New" w:hAnsi="Courier New"/>
          <w:sz w:val="18"/>
          <w:szCs w:val="18"/>
          <w:color w:val="auto"/>
        </w:rPr>
      </w:pPr>
    </w:p>
    <w:p>
      <w:pPr>
        <w:ind w:left="205" w:right="1779" w:hanging="205"/>
        <w:spacing w:after="0" w:line="279" w:lineRule="auto"/>
        <w:tabs>
          <w:tab w:leader="none" w:pos="20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8" w:lineRule="exact"/>
        <w:rPr>
          <w:rFonts w:ascii="Courier New" w:cs="Courier New" w:eastAsia="Courier New" w:hAnsi="Courier New"/>
          <w:sz w:val="16"/>
          <w:szCs w:val="16"/>
          <w:color w:val="auto"/>
        </w:rPr>
      </w:pPr>
    </w:p>
    <w:p>
      <w:pPr>
        <w:ind w:left="205" w:right="2319" w:hanging="205"/>
        <w:spacing w:after="0" w:line="235" w:lineRule="auto"/>
        <w:tabs>
          <w:tab w:leader="none" w:pos="20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any Restricted Subsidiary in the ordinary course of business; or</w:t>
      </w:r>
    </w:p>
    <w:p>
      <w:pPr>
        <w:spacing w:after="0" w:line="208" w:lineRule="exact"/>
        <w:rPr>
          <w:rFonts w:ascii="Courier New" w:cs="Courier New" w:eastAsia="Courier New" w:hAnsi="Courier New"/>
          <w:sz w:val="18"/>
          <w:szCs w:val="18"/>
          <w:color w:val="auto"/>
        </w:rPr>
      </w:pPr>
    </w:p>
    <w:p>
      <w:pPr>
        <w:ind w:left="205" w:right="1879" w:hanging="205"/>
        <w:spacing w:after="0" w:line="236" w:lineRule="auto"/>
        <w:tabs>
          <w:tab w:leader="none" w:pos="20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left="205" w:right="1779" w:hanging="205"/>
        <w:spacing w:after="0" w:line="236" w:lineRule="auto"/>
        <w:tabs>
          <w:tab w:leader="none" w:pos="20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to qualify us or any Restricted Subsidiary to conduct business, to maintain self-insurance, or to obtain the benefit of, or comply with, laws; or</w:t>
      </w:r>
    </w:p>
    <w:p>
      <w:pPr>
        <w:spacing w:after="0" w:line="208" w:lineRule="exact"/>
        <w:rPr>
          <w:rFonts w:ascii="Courier New" w:cs="Courier New" w:eastAsia="Courier New" w:hAnsi="Courier New"/>
          <w:sz w:val="18"/>
          <w:szCs w:val="18"/>
          <w:color w:val="auto"/>
        </w:rPr>
      </w:pPr>
    </w:p>
    <w:p>
      <w:pPr>
        <w:ind w:left="205" w:right="2199" w:hanging="205"/>
        <w:spacing w:after="0" w:line="236" w:lineRule="auto"/>
        <w:tabs>
          <w:tab w:leader="none" w:pos="20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208" w:lineRule="exact"/>
        <w:rPr>
          <w:rFonts w:ascii="Courier New" w:cs="Courier New" w:eastAsia="Courier New" w:hAnsi="Courier New"/>
          <w:sz w:val="18"/>
          <w:szCs w:val="18"/>
          <w:color w:val="auto"/>
        </w:rPr>
      </w:pPr>
    </w:p>
    <w:p>
      <w:pPr>
        <w:ind w:left="205" w:right="1879" w:hanging="205"/>
        <w:spacing w:after="0" w:line="236" w:lineRule="auto"/>
        <w:tabs>
          <w:tab w:leader="none" w:pos="20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208"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684"/>
          </w:cols>
          <w:pgMar w:left="775" w:top="723" w:right="1440" w:bottom="564" w:gutter="0" w:footer="0" w:header="0"/>
        </w:sectPr>
      </w:pPr>
    </w:p>
    <w:bookmarkStart w:id="31" w:name="page32"/>
    <w:bookmarkEnd w:id="31"/>
    <w:p>
      <w:pPr>
        <w:ind w:left="740" w:right="18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 clauses, inclusive, provided that the Security Interest securing such Indebtedness shall be limited to the property or assets that, immediately prior to such extension, renewal or refunding, secured such Indebtedness and additions to such property or assets.</w:t>
      </w:r>
    </w:p>
    <w:p>
      <w:pPr>
        <w:spacing w:after="0" w:line="21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Notwithstanding the foregoing provisions, we or any of our Restricted Subsidiaries may create, incur, assume or suffer to exist any Indebtedness secured by a Security Interest without so securing the senior debt securities if, at the time such Security Interest becomes a Security Interest upon any of our or our Restricted Subsidiaries' Principal Property and after giving effect thereto, the aggregate outstanding principal amount of all Indebtedness of us and our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the first bullet point above, other Sale and Leaseback Transactions the proceeds of which have been applied or committed to be applied in accordance with the covenant described in "-- Limitations on Sale and Leaseback Transactions" and other than Sale and Leaseback Transactions between us and any Restricted Subsidiary) does not exceed 15% of Consolidated Net Tangible Assets. (Section 1008 of the Senior Debt Indenture)</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the Senior Debt Indenture provides that we, prior to such consolidation, merger, sale or conveyance, or acquisition, will, or will cause such Restricted Subsidiary to, secure payment of the principal of and interest, if any, on the senior debt securities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Limitations on Sale and Leaseback Transactions. Unless otherwise provided in the applicable prospectus supplement, for each series of senior debt securities issued under the Senior Debt Indenture,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207" w:lineRule="exact"/>
        <w:rPr>
          <w:sz w:val="20"/>
          <w:szCs w:val="20"/>
          <w:color w:val="auto"/>
        </w:rPr>
      </w:pPr>
    </w:p>
    <w:p>
      <w:pPr>
        <w:ind w:left="740" w:right="2199" w:hanging="205"/>
        <w:spacing w:after="0" w:line="275"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such Restricted Subsidiary would be entitled, pursuant to the covenant described in "-- Limitation on Liens," to incur Indebtedness secured by a Security Interest on the property to be leased without equally and ratably securing the senior debt securities; or</w:t>
      </w:r>
    </w:p>
    <w:p>
      <w:pPr>
        <w:spacing w:after="0" w:line="182"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and in any such case we covenant that we will, within 180 days after the effective date of any such arrangement, apply an amount equal to the fair value (as determined by our Board of Directors) of such property to the redemption of the senior debt securities that, by their terms, are subject to redemption, or to the purchase and retirement of the senior debt securities, or to the payment or other retirement of funded debt for money borrowed, incurred or assumed by us which ranks senior to or equally with the senior debt securities or of funded debt for money borrowed,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564" w:gutter="0" w:footer="0" w:header="0"/>
        </w:sectPr>
      </w:pPr>
    </w:p>
    <w:bookmarkStart w:id="32" w:name="page33"/>
    <w:bookmarkEnd w:id="32"/>
    <w:p>
      <w:pPr>
        <w:ind w:left="740" w:right="1999"/>
        <w:spacing w:after="0" w:line="235" w:lineRule="auto"/>
        <w:rPr>
          <w:sz w:val="20"/>
          <w:szCs w:val="20"/>
          <w:color w:val="auto"/>
        </w:rPr>
      </w:pPr>
      <w:r>
        <w:rPr>
          <w:rFonts w:ascii="Courier New" w:cs="Courier New" w:eastAsia="Courier New" w:hAnsi="Courier New"/>
          <w:sz w:val="18"/>
          <w:szCs w:val="18"/>
          <w:color w:val="auto"/>
        </w:rPr>
        <w:t>incurred or assumed by any Restricted Subsidiary (other than, in either case, funded debt owed by us or any Restricted Subsidiary); or</w:t>
      </w:r>
    </w:p>
    <w:p>
      <w:pPr>
        <w:spacing w:after="0" w:line="208" w:lineRule="exact"/>
        <w:rPr>
          <w:sz w:val="20"/>
          <w:szCs w:val="20"/>
          <w:color w:val="auto"/>
        </w:rPr>
      </w:pPr>
    </w:p>
    <w:p>
      <w:pPr>
        <w:ind w:left="740" w:right="1879" w:hanging="205"/>
        <w:spacing w:after="0" w:line="273"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 (Section 1009 of the Senior Debt Indenture)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allowable pursuant to the above clauses, inclusive, of the foregoing covenant, provided that the Attributable Debt associated with such Sale and Leaseback Transaction, together with the aggregate principal amount of outstanding debt secured by Security Interests upon Principal Property not acceptable pursuant to the list of bullet points for the covenant described in "-- Limitation on Liens," inclusive, do not exceed 15% of Consolidated Net Tangible Assets. (Section 1009 of the Senior Debt Indenture).</w:t>
      </w:r>
    </w:p>
    <w:p>
      <w:pPr>
        <w:spacing w:after="0" w:line="214"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for any series of senior debt securities issued under the Senior Debt Indenture, an "Event of Default" means one or more of the following events:</w:t>
      </w:r>
    </w:p>
    <w:p>
      <w:pPr>
        <w:spacing w:after="0" w:line="178" w:lineRule="exact"/>
        <w:rPr>
          <w:sz w:val="20"/>
          <w:szCs w:val="20"/>
          <w:color w:val="auto"/>
        </w:rPr>
      </w:pPr>
    </w:p>
    <w:p>
      <w:pPr>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senior debt security of that series; or</w:t>
      </w:r>
    </w:p>
    <w:p>
      <w:pPr>
        <w:spacing w:after="0" w:line="208"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07"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use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continuation of any such decree or order for relief or any such other decree or order unstayed and in effect for a period of 90 consecutive days; or</w:t>
      </w:r>
    </w:p>
    <w:p>
      <w:pPr>
        <w:spacing w:after="0" w:line="207"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against it, or the filing by it of a petition or answer or consent seeking reorganization or relief under any applicable Federal of State law, or the consent by it to the filing of such petition or to the appointment of or taking possession by a custodian, receiver, liquidator, assignee, trustee, sequestrator or similar official of us or of any</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362" w:gutter="0" w:footer="0" w:header="0"/>
        </w:sectPr>
      </w:pPr>
    </w:p>
    <w:bookmarkStart w:id="33" w:name="page34"/>
    <w:bookmarkEnd w:id="33"/>
    <w:p>
      <w:pPr>
        <w:ind w:left="740" w:right="1779"/>
        <w:spacing w:after="0" w:line="237" w:lineRule="auto"/>
        <w:rPr>
          <w:sz w:val="20"/>
          <w:szCs w:val="20"/>
          <w:color w:val="auto"/>
        </w:rPr>
      </w:pPr>
      <w:r>
        <w:rPr>
          <w:rFonts w:ascii="Courier New" w:cs="Courier New" w:eastAsia="Courier New" w:hAnsi="Courier New"/>
          <w:sz w:val="18"/>
          <w:szCs w:val="18"/>
          <w:color w:val="auto"/>
        </w:rPr>
        <w:t>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07" w:lineRule="exact"/>
        <w:rPr>
          <w:sz w:val="20"/>
          <w:szCs w:val="20"/>
          <w:color w:val="auto"/>
        </w:rPr>
      </w:pPr>
    </w:p>
    <w:p>
      <w:pPr>
        <w:ind w:left="740" w:right="17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that will be an Event of Default pursuant to and provided for under that series of senior debt securities. (Section 501 of Senior Debt Indenture)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with respect to senior debt securities of any series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of those securities)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us and the Trustee, may rescind and annul such declaration and its consequences if:</w:t>
      </w:r>
    </w:p>
    <w:p>
      <w:pPr>
        <w:spacing w:after="0" w:line="203" w:lineRule="exact"/>
        <w:rPr>
          <w:sz w:val="20"/>
          <w:szCs w:val="20"/>
          <w:color w:val="auto"/>
        </w:rPr>
      </w:pPr>
    </w:p>
    <w:p>
      <w:pPr>
        <w:ind w:left="960" w:hanging="425"/>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senior debt securities of that series;</w:t>
      </w:r>
    </w:p>
    <w:p>
      <w:pPr>
        <w:spacing w:after="0" w:line="206"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senior debt securities of that series which has become due otherwise than by such declaration of acceleration and any interest thereon at the rate or rates prescribed in the senior debt securities;</w:t>
      </w:r>
    </w:p>
    <w:p>
      <w:pPr>
        <w:spacing w:after="0" w:line="207"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in the senior debt securities of that series; and</w:t>
      </w:r>
    </w:p>
    <w:p>
      <w:pPr>
        <w:spacing w:after="0" w:line="208" w:lineRule="exact"/>
        <w:rPr>
          <w:rFonts w:ascii="Courier New" w:cs="Courier New" w:eastAsia="Courier New" w:hAnsi="Courier New"/>
          <w:sz w:val="18"/>
          <w:szCs w:val="18"/>
          <w:color w:val="auto"/>
        </w:rPr>
      </w:pPr>
    </w:p>
    <w:p>
      <w:pPr>
        <w:ind w:left="1060" w:right="1779" w:hanging="209"/>
        <w:spacing w:after="0" w:line="236"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the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rescission of a declaration of acceleration of the senior debt securities shall affect any subsequent default or impair any right resulting from a default. (Section 502 of Senior Debt Indenture) If the Trustee or any holder of a senior debt security or coupon has instituted any proceeding to enforce any right or remedy under the Senior Debt Indenture and the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our former positions under the Senior Debt Indenture and the senior debt securities and thereafter all rights and remedies of the Trustee and the holders shall continue as though no such proceeding had been instituted. (Section 509 of Senior Debt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the Senior Debt Indenture at the request or direction of any of the holders, unless the holders shall have offered to the Trustee reasonable indemnity. (Section 601, 603 of Senior Debt Indenture) No holder of any senior debt security shall have any right to institute any proceeding, judicial or otherwise, with</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97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respect to the Senior Debt Indenture, or for the appointment of a receiver or</w:t>
      </w:r>
    </w:p>
    <w:p>
      <w:pPr>
        <w:spacing w:after="0" w:line="238" w:lineRule="auto"/>
        <w:rPr>
          <w:sz w:val="20"/>
          <w:szCs w:val="20"/>
          <w:color w:val="auto"/>
        </w:rPr>
      </w:pPr>
      <w:r>
        <w:rPr>
          <w:rFonts w:ascii="Courier New" w:cs="Courier New" w:eastAsia="Courier New" w:hAnsi="Courier New"/>
          <w:sz w:val="18"/>
          <w:szCs w:val="18"/>
          <w:color w:val="auto"/>
        </w:rPr>
        <w:t>Trustee, or for any other remedy thereunder, unless:</w:t>
      </w:r>
    </w:p>
    <w:p>
      <w:pPr>
        <w:spacing w:after="0" w:line="207" w:lineRule="exact"/>
        <w:rPr>
          <w:sz w:val="20"/>
          <w:szCs w:val="20"/>
          <w:color w:val="auto"/>
        </w:rPr>
      </w:pPr>
    </w:p>
    <w:p>
      <w:pPr>
        <w:ind w:left="740" w:right="177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208"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senior debt securities of that series shall have made written request to the Trustee to institute proceedings in respect of such Event of Default in its own name as Trustee under the Senior Debt Indenture;</w:t>
      </w:r>
    </w:p>
    <w:p>
      <w:pPr>
        <w:spacing w:after="0" w:line="182"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senior debt securities of that series. (Section 507 of Senior Debt Indenture)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to receive payment of the principal of and any premium and any interest on the senior debt security on the stated maturity for the senior debt security, or to institute suit for the enforcement of any such payment on or after such respective dates shall not be impaired or affected without the consent of such holder. (Section 508, 902 of Senior Debt Indenture)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that series, provided that:</w:t>
      </w:r>
    </w:p>
    <w:p>
      <w:pPr>
        <w:spacing w:after="0" w:line="209" w:lineRule="exact"/>
        <w:rPr>
          <w:sz w:val="20"/>
          <w:szCs w:val="20"/>
          <w:color w:val="auto"/>
        </w:rPr>
      </w:pPr>
    </w:p>
    <w:p>
      <w:pPr>
        <w:ind w:left="740" w:right="199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direction shall not be in conflict with any rule of law or with the Senior Debt Indenture;</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obligated to take any action unduly prejudicial to holders not joining in such direction or involving the Trustee in personal liability.</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may on behalf of the holders of all the senior debt securities of that series waive any past default under the Senior Debt Indenture with respect to the senior debt securities and its consequences, except a default in the payment of the principal of or any premium or interest on any senior debt security of that series or in respect of a covenant or provision of the Senior Debt Indenture which, pursuant to the Senior Debt Indenture, cannot be modified or amended without the consent of the holder of each outstanding senior debt securities affected. Upon any such waiver, the default shall cease to exist, and any Event of Default arising from the waived default shall be deemed to have been cured for every purpose of the Senior Debt Indenture. However, no such waiver shall extend to any subsequent or other default or impair any right resulting from the default. (Sections 513, 902 of Senior Debt Indenture)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default occurs under the Senior Debt Indenture with respect to the senior debt securities of any series, the Trustee shall give the holders of senior debt securities of that series notice of such default as and to the extent provided by the Trust Indenture Act. However, in the case of any default or breach of certain covenants or warranties with respect to senior debt securities, no notice to holders shall be given until at least 30 days after the occurrence of the default. (Section 602 of Senior Debt Indenture).</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59"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Merger, Sale. The Subordinated Debt Indenture provides that we may not consolidate with or merge into any other Person or convey, transfer or lease its properties and assets substantially as an entirety to any person, unless:</w:t>
      </w:r>
    </w:p>
    <w:p>
      <w:pPr>
        <w:spacing w:after="0" w:line="207" w:lineRule="exact"/>
        <w:rPr>
          <w:sz w:val="20"/>
          <w:szCs w:val="20"/>
          <w:color w:val="auto"/>
        </w:rPr>
      </w:pPr>
    </w:p>
    <w:p>
      <w:pPr>
        <w:ind w:left="740" w:right="1779" w:hanging="205"/>
        <w:spacing w:after="0" w:line="238"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209" w:lineRule="exact"/>
        <w:rPr>
          <w:sz w:val="20"/>
          <w:szCs w:val="20"/>
          <w:color w:val="auto"/>
        </w:rPr>
      </w:pPr>
    </w:p>
    <w:p>
      <w:pPr>
        <w:ind w:left="740" w:right="18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subordinated debt security of that series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Subordinated Debt Security of that series; or</w:t>
      </w:r>
    </w:p>
    <w:p>
      <w:pPr>
        <w:spacing w:after="0" w:line="208"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389"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w:t>
      </w:r>
    </w:p>
    <w:p>
      <w:pPr>
        <w:spacing w:after="0" w:line="21" w:lineRule="exact"/>
        <w:rPr>
          <w:sz w:val="20"/>
          <w:szCs w:val="20"/>
          <w:color w:val="auto"/>
        </w:rPr>
      </w:pPr>
    </w:p>
    <w:p>
      <w:pPr>
        <w:ind w:left="740" w:right="1779"/>
        <w:spacing w:after="0" w:line="235" w:lineRule="auto"/>
        <w:rPr>
          <w:sz w:val="20"/>
          <w:szCs w:val="20"/>
          <w:color w:val="auto"/>
        </w:rPr>
      </w:pPr>
      <w:r>
        <w:rPr>
          <w:rFonts w:ascii="Courier New" w:cs="Courier New" w:eastAsia="Courier New" w:hAnsi="Courier New"/>
          <w:sz w:val="18"/>
          <w:szCs w:val="18"/>
          <w:color w:val="auto"/>
        </w:rPr>
        <w:t>or order for relief in respect of us in an involuntary case or proceeding under any applicable Federal or State</w:t>
      </w: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59" w:gutter="0" w:footer="0" w:header="0"/>
        </w:sectPr>
      </w:pPr>
    </w:p>
    <w:bookmarkStart w:id="36" w:name="page37"/>
    <w:bookmarkEnd w:id="36"/>
    <w:p>
      <w:pPr>
        <w:ind w:left="740" w:right="1779"/>
        <w:spacing w:after="0" w:line="237" w:lineRule="auto"/>
        <w:rPr>
          <w:sz w:val="20"/>
          <w:szCs w:val="20"/>
          <w:color w:val="auto"/>
        </w:rPr>
      </w:pPr>
      <w:r>
        <w:rPr>
          <w:rFonts w:ascii="Courier New" w:cs="Courier New" w:eastAsia="Courier New" w:hAnsi="Courier New"/>
          <w:sz w:val="18"/>
          <w:szCs w:val="18"/>
          <w:color w:val="auto"/>
        </w:rPr>
        <w:t>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15" w:lineRule="exact"/>
        <w:rPr>
          <w:sz w:val="20"/>
          <w:szCs w:val="20"/>
          <w:color w:val="auto"/>
        </w:rPr>
      </w:pPr>
    </w:p>
    <w:p>
      <w:pPr>
        <w:ind w:left="740" w:right="1779" w:hanging="205"/>
        <w:spacing w:after="0" w:line="238"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of the subordinated debt securities)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us and the Trustee, may rescind and annul such declaration and its consequences if:</w:t>
      </w:r>
    </w:p>
    <w:p>
      <w:pPr>
        <w:spacing w:after="0" w:line="390" w:lineRule="exact"/>
        <w:rPr>
          <w:sz w:val="20"/>
          <w:szCs w:val="20"/>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207" w:lineRule="exact"/>
        <w:rPr>
          <w:rFonts w:ascii="Courier New" w:cs="Courier New" w:eastAsia="Courier New" w:hAnsi="Courier New"/>
          <w:sz w:val="18"/>
          <w:szCs w:val="18"/>
          <w:color w:val="auto"/>
        </w:rPr>
      </w:pPr>
    </w:p>
    <w:p>
      <w:pPr>
        <w:ind w:left="640" w:right="1879" w:firstLine="316"/>
        <w:spacing w:after="0" w:line="237" w:lineRule="auto"/>
        <w:tabs>
          <w:tab w:leader="none" w:pos="1377"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207" w:lineRule="exact"/>
        <w:rPr>
          <w:rFonts w:ascii="Courier New" w:cs="Courier New" w:eastAsia="Courier New" w:hAnsi="Courier New"/>
          <w:sz w:val="18"/>
          <w:szCs w:val="18"/>
          <w:color w:val="auto"/>
        </w:rPr>
      </w:pPr>
    </w:p>
    <w:p>
      <w:pPr>
        <w:jc w:val="both"/>
        <w:ind w:left="640" w:right="2199" w:firstLine="316"/>
        <w:spacing w:after="0" w:line="236" w:lineRule="auto"/>
        <w:tabs>
          <w:tab w:leader="none" w:pos="1377"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subordinated debt securities, and</w:t>
      </w:r>
    </w:p>
    <w:p>
      <w:pPr>
        <w:spacing w:after="0" w:line="208" w:lineRule="exact"/>
        <w:rPr>
          <w:rFonts w:ascii="Courier New" w:cs="Courier New" w:eastAsia="Courier New" w:hAnsi="Courier New"/>
          <w:sz w:val="18"/>
          <w:szCs w:val="18"/>
          <w:color w:val="auto"/>
        </w:rPr>
      </w:pPr>
    </w:p>
    <w:p>
      <w:pPr>
        <w:ind w:left="640" w:right="2419" w:firstLine="316"/>
        <w:spacing w:after="0" w:line="236" w:lineRule="auto"/>
        <w:tabs>
          <w:tab w:leader="none" w:pos="1377"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59" w:gutter="0" w:footer="0" w:header="0"/>
        </w:sectPr>
      </w:pPr>
    </w:p>
    <w:bookmarkStart w:id="37" w:name="page38"/>
    <w:bookmarkEnd w:id="37"/>
    <w:p>
      <w:pPr>
        <w:ind w:right="1779" w:firstLine="527"/>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unless:</w:t>
      </w:r>
    </w:p>
    <w:p>
      <w:pPr>
        <w:spacing w:after="0" w:line="184" w:lineRule="exact"/>
        <w:rPr>
          <w:sz w:val="20"/>
          <w:szCs w:val="20"/>
          <w:color w:val="auto"/>
        </w:rPr>
      </w:pPr>
    </w:p>
    <w:p>
      <w:pPr>
        <w:ind w:left="740" w:right="241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18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w:t>
      </w:r>
    </w:p>
    <w:p>
      <w:pPr>
        <w:spacing w:after="0" w:line="185" w:lineRule="exact"/>
        <w:rPr>
          <w:sz w:val="20"/>
          <w:szCs w:val="20"/>
          <w:color w:val="auto"/>
        </w:rPr>
      </w:pPr>
    </w:p>
    <w:p>
      <w:pPr>
        <w:ind w:left="740" w:right="18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direction shall not be in conflict with any rule of law or with the Subordinated Debt Indenture;</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obligated to take any action unduly prejudicial to holders not joining in such direction or involving the Trustee in personal liability. (Section 512 of the Subordinated Debt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564" w:gutter="0" w:footer="0" w:header="0"/>
        </w:sectPr>
      </w:pPr>
    </w:p>
    <w:bookmarkStart w:id="38" w:name="page39"/>
    <w:bookmarkEnd w:id="38"/>
    <w:p>
      <w:pPr>
        <w:ind w:left="740" w:right="1779"/>
        <w:spacing w:after="0" w:line="270" w:lineRule="auto"/>
        <w:rPr>
          <w:sz w:val="20"/>
          <w:szCs w:val="20"/>
          <w:color w:val="auto"/>
        </w:rPr>
      </w:pPr>
      <w:r>
        <w:rPr>
          <w:rFonts w:ascii="Courier New" w:cs="Courier New" w:eastAsia="Courier New" w:hAnsi="Courier New"/>
          <w:sz w:val="16"/>
          <w:szCs w:val="16"/>
          <w:color w:val="auto"/>
        </w:rPr>
        <w:t>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210" w:lineRule="exact"/>
        <w:rPr>
          <w:sz w:val="20"/>
          <w:szCs w:val="20"/>
          <w:color w:val="auto"/>
        </w:rPr>
      </w:pPr>
    </w:p>
    <w:p>
      <w:pPr>
        <w:ind w:left="740" w:right="1779" w:hanging="205"/>
        <w:spacing w:after="0" w:line="237"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U.S. dollars that would be obtained for the amount owing such Holder, using the rate of exchange at which in accordance with normal banking procedures the Trustee could purchase in the City of New York U.S. dollars with such amount owing;</w:t>
      </w:r>
    </w:p>
    <w:p>
      <w:pPr>
        <w:spacing w:after="0" w:line="212"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U.S. dollar amounts determined under (i) and add thereto any amounts due and payable in U.S. dollars; and</w:t>
      </w:r>
    </w:p>
    <w:p>
      <w:pPr>
        <w:spacing w:after="0" w:line="208" w:lineRule="exact"/>
        <w:rPr>
          <w:rFonts w:ascii="Courier New" w:cs="Courier New" w:eastAsia="Courier New" w:hAnsi="Courier New"/>
          <w:sz w:val="18"/>
          <w:szCs w:val="18"/>
          <w:color w:val="auto"/>
        </w:rPr>
      </w:pPr>
    </w:p>
    <w:p>
      <w:pPr>
        <w:ind w:left="740" w:right="1879" w:hanging="205"/>
        <w:spacing w:after="0" w:line="272" w:lineRule="auto"/>
        <w:tabs>
          <w:tab w:leader="none" w:pos="7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individual amounts determined in (i) or any individual amounts due and payable in U.S.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w:t>
      </w:r>
    </w:p>
    <w:p>
      <w:pPr>
        <w:spacing w:after="0" w:line="186"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18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Subordinated Debt Indenture. (Section 1007 of the Subordinated Debt Indenture)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Subordination. The subordinated debt securities will be subordinate and junior in right of payment, to the extent set forth in the Subordinated Debt Indenture, to all our Senior Indebtedness (as defined below). If we should default in the payment of any principal of or premium or interest on any senior indebtedness when the same become due and payable, whether at maturity or a date fixed for prepayment</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767" w:gutter="0" w:footer="0" w:header="0"/>
        </w:sectPr>
      </w:pPr>
    </w:p>
    <w:bookmarkStart w:id="39" w:name="page40"/>
    <w:bookmarkEnd w:id="39"/>
    <w:p>
      <w:pPr>
        <w:ind w:right="1779"/>
        <w:spacing w:after="0" w:line="270" w:lineRule="auto"/>
        <w:rPr>
          <w:sz w:val="20"/>
          <w:szCs w:val="20"/>
          <w:color w:val="auto"/>
        </w:rPr>
      </w:pPr>
      <w:r>
        <w:rPr>
          <w:rFonts w:ascii="Courier New" w:cs="Courier New" w:eastAsia="Courier New" w:hAnsi="Courier New"/>
          <w:sz w:val="16"/>
          <w:szCs w:val="16"/>
          <w:color w:val="auto"/>
        </w:rPr>
        <w:t>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18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"Senior Indebtedness" is defined in Section 101 of the Subordinated Debt Indenture as our Indebtedness (as defined below) outstanding at any time except:</w:t>
      </w:r>
    </w:p>
    <w:p>
      <w:pPr>
        <w:spacing w:after="0" w:line="170" w:lineRule="exact"/>
        <w:rPr>
          <w:sz w:val="20"/>
          <w:szCs w:val="20"/>
          <w:color w:val="auto"/>
        </w:rPr>
      </w:pPr>
    </w:p>
    <w:p>
      <w:pPr>
        <w:jc w:val="both"/>
        <w:ind w:left="740" w:right="1879" w:hanging="205"/>
        <w:spacing w:after="0" w:line="236"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pacing w:after="0" w:line="207"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208" w:lineRule="exact"/>
        <w:rPr>
          <w:sz w:val="20"/>
          <w:szCs w:val="20"/>
          <w:color w:val="auto"/>
        </w:rPr>
      </w:pPr>
    </w:p>
    <w:p>
      <w:pPr>
        <w:ind w:left="540" w:right="1779" w:firstLine="527"/>
        <w:spacing w:after="0" w:line="272" w:lineRule="auto"/>
        <w:rPr>
          <w:sz w:val="20"/>
          <w:szCs w:val="20"/>
          <w:color w:val="auto"/>
        </w:rPr>
      </w:pPr>
      <w:r>
        <w:rPr>
          <w:rFonts w:ascii="Courier New" w:cs="Courier New" w:eastAsia="Courier New" w:hAnsi="Courier New"/>
          <w:sz w:val="16"/>
          <w:szCs w:val="16"/>
          <w:color w:val="auto"/>
        </w:rPr>
        <w:t>(a)(i)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186" w:lineRule="exact"/>
        <w:rPr>
          <w:sz w:val="20"/>
          <w:szCs w:val="20"/>
          <w:color w:val="auto"/>
        </w:rPr>
      </w:pPr>
    </w:p>
    <w:p>
      <w:pPr>
        <w:ind w:left="540" w:right="1879" w:firstLine="521"/>
        <w:spacing w:after="0" w:line="237"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207" w:lineRule="exact"/>
        <w:rPr>
          <w:sz w:val="20"/>
          <w:szCs w:val="20"/>
          <w:color w:val="auto"/>
        </w:rPr>
      </w:pPr>
    </w:p>
    <w:p>
      <w:pPr>
        <w:ind w:left="540" w:right="1779" w:firstLine="521"/>
        <w:spacing w:after="0" w:line="271" w:lineRule="auto"/>
        <w:tabs>
          <w:tab w:leader="none" w:pos="148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indebtedness of such person, including any indebtedness representing the balance deferred and unpaid of the purchase price of any property or interest in any property,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187" w:lineRule="exact"/>
        <w:rPr>
          <w:rFonts w:ascii="Courier New" w:cs="Courier New" w:eastAsia="Courier New" w:hAnsi="Courier New"/>
          <w:sz w:val="16"/>
          <w:szCs w:val="16"/>
          <w:color w:val="auto"/>
        </w:rPr>
      </w:pPr>
    </w:p>
    <w:p>
      <w:pPr>
        <w:ind w:left="540" w:right="1879" w:firstLine="521"/>
        <w:spacing w:after="0" w:line="236"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modifications, refundings, renewals or extensions of any indebtedness or obligation described as Indebtedness in clause (a) or (b) above.</w:t>
      </w:r>
    </w:p>
    <w:p>
      <w:pPr>
        <w:spacing w:after="0" w:line="209"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If (i) without our consent a court having jurisdiction shall enter (A) an order for relief with respect to us under the United States federal bankruptcy laws, (B) a judgment, order or decree adjudging us a bankrupt or insolvent, or</w:t>
      </w:r>
    </w:p>
    <w:p>
      <w:pPr>
        <w:spacing w:after="0" w:line="1" w:lineRule="exact"/>
        <w:rPr>
          <w:sz w:val="20"/>
          <w:szCs w:val="20"/>
          <w:color w:val="auto"/>
        </w:rPr>
      </w:pPr>
    </w:p>
    <w:p>
      <w:pPr>
        <w:ind w:left="4220" w:right="2839" w:hanging="4212"/>
        <w:spacing w:after="0" w:line="235" w:lineRule="auto"/>
        <w:tabs>
          <w:tab w:leader="none" w:pos="42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order for relief for reorganization, arrangement, adjustment or 30</w:t>
      </w:r>
    </w:p>
    <w:p>
      <w:pPr>
        <w:sectPr>
          <w:pgSz w:w="11900" w:h="16838" w:orient="portrait"/>
          <w:cols w:equalWidth="0" w:num="1">
            <w:col w:w="10219"/>
          </w:cols>
          <w:pgMar w:left="240" w:top="723" w:right="1440" w:bottom="971" w:gutter="0" w:footer="0" w:header="0"/>
        </w:sectPr>
      </w:pPr>
    </w:p>
    <w:bookmarkStart w:id="40" w:name="page41"/>
    <w:bookmarkEnd w:id="40"/>
    <w:p>
      <w:pPr>
        <w:ind w:right="1779"/>
        <w:spacing w:after="0" w:line="269" w:lineRule="auto"/>
        <w:rPr>
          <w:sz w:val="20"/>
          <w:szCs w:val="20"/>
          <w:color w:val="auto"/>
        </w:rPr>
      </w:pPr>
      <w:r>
        <w:rPr>
          <w:rFonts w:ascii="Courier New" w:cs="Courier New" w:eastAsia="Courier New" w:hAnsi="Courier New"/>
          <w:sz w:val="16"/>
          <w:szCs w:val="16"/>
          <w:color w:val="auto"/>
        </w:rPr>
        <w:t>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any payment or distribution of any character,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767" w:gutter="0" w:footer="0" w:header="0"/>
        </w:sectPr>
      </w:pPr>
    </w:p>
    <w:bookmarkStart w:id="41" w:name="page42"/>
    <w:bookmarkEnd w:id="41"/>
    <w:p>
      <w:pPr>
        <w:ind w:right="1999"/>
        <w:spacing w:after="0" w:line="236" w:lineRule="auto"/>
        <w:rPr>
          <w:sz w:val="20"/>
          <w:szCs w:val="20"/>
          <w:color w:val="auto"/>
        </w:rPr>
      </w:pPr>
      <w:r>
        <w:rPr>
          <w:rFonts w:ascii="Courier New" w:cs="Courier New" w:eastAsia="Courier New" w:hAnsi="Courier New"/>
          <w:sz w:val="18"/>
          <w:szCs w:val="18"/>
          <w:color w:val="auto"/>
        </w:rPr>
        <w:t>by us on account of such Senior Indebtedness, and not on account of the subordinated debt securities of such series. (Section 1601 of the Subordinated Debt Indenture)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 See also "Description of Guaranties" for more information with respect to subordination if debt securities are guaranteed by Waste Management Holdings.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Fractional shares of common stock will not be issued upon conversion, but, in lieu of fractional shares, we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564" w:gutter="0" w:footer="0" w:header="0"/>
        </w:sectPr>
      </w:pPr>
    </w:p>
    <w:bookmarkStart w:id="42" w:name="page43"/>
    <w:bookmarkEnd w:id="42"/>
    <w:p>
      <w:pPr>
        <w:ind w:right="1779"/>
        <w:spacing w:after="0" w:line="271" w:lineRule="auto"/>
        <w:rPr>
          <w:sz w:val="20"/>
          <w:szCs w:val="20"/>
          <w:color w:val="auto"/>
        </w:rPr>
      </w:pPr>
      <w:r>
        <w:rPr>
          <w:rFonts w:ascii="Courier New" w:cs="Courier New" w:eastAsia="Courier New" w:hAnsi="Courier New"/>
          <w:sz w:val="16"/>
          <w:szCs w:val="16"/>
          <w:color w:val="auto"/>
        </w:rPr>
        <w:t>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provisions set forth in this "Book-Entry System" section of this prospectus will apply to the debt securities of any series if the prospectus supplement relating to such series so indicates.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indicated in the applicable prospectus supplement, the debt securities of such series will be represented by one or more global securities registered with The Depository Trust Company, or DTC, or a depositary named in the prospectus supplement relating to such series. Except as set forth below, a global security may be transferred, in whole but not in part, only to the depositary or another nominee of the depositary.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general terms of the depositary arrangement with DTC, with respect to a series of debt securities are described below in the "Description of the Depository" section of this prospectus, unless otherwise indicated in the prospectus supplement relating to the series. We anticipate that the following provisions will generally apply to depositary arrangements.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Unless otherwise provided in the applicable prospectus supplement, debt securities represented by a global security will be exchangeable for debt securities in definitive form of like tenor as such global security in denominations of $1,000 and in any greater amount that is an integral multiple thereof if:</w:t>
      </w:r>
    </w:p>
    <w:p>
      <w:pPr>
        <w:spacing w:after="0" w:line="209" w:lineRule="exact"/>
        <w:rPr>
          <w:sz w:val="20"/>
          <w:szCs w:val="20"/>
          <w:color w:val="auto"/>
        </w:rPr>
      </w:pPr>
    </w:p>
    <w:p>
      <w:pPr>
        <w:ind w:left="740" w:right="1779" w:hanging="205"/>
        <w:spacing w:after="0" w:line="275"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notifies us and the Trustee that it is unwilling or unable to continue as depositary for such global security or if at any time the depositary ceases to be a clearing agency registered under the Exchange Act and a successor depositary is not appointed by us within 90 days;</w:t>
      </w:r>
    </w:p>
    <w:p>
      <w:pPr>
        <w:spacing w:after="0" w:line="182" w:lineRule="exact"/>
        <w:rPr>
          <w:rFonts w:ascii="Courier New" w:cs="Courier New" w:eastAsia="Courier New" w:hAnsi="Courier New"/>
          <w:sz w:val="16"/>
          <w:szCs w:val="16"/>
          <w:color w:val="auto"/>
        </w:rPr>
      </w:pPr>
    </w:p>
    <w:p>
      <w:pPr>
        <w:ind w:left="740" w:right="2099" w:hanging="205"/>
        <w:spacing w:after="0" w:line="290"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in our sole discretion, determine not to have all of the debt securities represented by a global security and notify the Trustee; or</w:t>
      </w:r>
    </w:p>
    <w:p>
      <w:pPr>
        <w:spacing w:after="0" w:line="169" w:lineRule="exact"/>
        <w:rPr>
          <w:rFonts w:ascii="Courier New" w:cs="Courier New" w:eastAsia="Courier New" w:hAnsi="Courier New"/>
          <w:sz w:val="16"/>
          <w:szCs w:val="16"/>
          <w:color w:val="auto"/>
        </w:rPr>
      </w:pPr>
    </w:p>
    <w:p>
      <w:pPr>
        <w:ind w:left="740" w:right="1999" w:hanging="205"/>
        <w:spacing w:after="0" w:line="279"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an event of default or an event which, with the giving of notice or lapse of time, or both, would constitute an event of default with respect to the debt securities.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debt security that is exchangeable pursuant to the preceding sentence is exchangeable for debt securities registered in such names as the depositary shall instruct the Trustee. It is expected that such instructions may be based upon directions received by the depositary from its participants with respect to ownership of beneficial interests in such global security. Subject to the foregoing, a global security is not exchangeable except for a global security or global securities of the same aggregate denominations to be registered in the name of the depositary or its nominee.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DESCRIPTION OF THE DEPOSITARY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provided in the applicable prospectus supplement, DTC (New York, NY), will act as securities depositary for the debt securities. The debt securities will be issued as fully registered securities registered in the name of Cede &amp; Co. (DTC's partnership nominee) or such other name as may be requested by an authorized representative of DTC.</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securities that its participants (the "Direct Participants") deposit with DTC. DTC also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Direct Participants include securities brokers and dealers, banks, trust companies, clearing corporations and certain other organizations. DTC is owned by a number of its Direct Participants and by the New York Stock Exchange, Inc., the American Stock Exchange LLC and the National Association of Securities Dealers, Inc. Access to the DTC system is also available to others such as securities brokers and dealers, banks and trust companies that clear through or maintain a custodial relationship with a Direct Participant, either directly or indirectly (the "Indirect Participants"). The rules applicable to DTC and its Direct and Indirect Participants are on file with the Commission.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Purchases of the debt securities under the DTC system must be made by or through Direct Participants, which will receive a credit for the debt securities on DTC's records. The ownership interest of each actual purchaser of each debt security, a "beneficial owner," is in turn to be recorded on the Direct and Indirect Participants' records. Beneficial owners will not receive written confirmation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the debt securities, except in the event that use of the book-entry system for the debt securities is discontinued.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DTC nor Cede &amp; Co. (nor such DTC nominee) will consent or vote with respect to the debt securities. Under its usual procedures, DTC will mail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44" w:name="page45"/>
    <w:bookmarkEnd w:id="44"/>
    <w:p>
      <w:pPr>
        <w:ind w:right="1779" w:firstLine="527"/>
        <w:spacing w:after="0" w:line="238" w:lineRule="auto"/>
        <w:rPr>
          <w:sz w:val="20"/>
          <w:szCs w:val="20"/>
          <w:color w:val="auto"/>
        </w:rPr>
      </w:pPr>
      <w:r>
        <w:rPr>
          <w:rFonts w:ascii="Courier New" w:cs="Courier New" w:eastAsia="Courier New" w:hAnsi="Courier New"/>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DTC's records. Payments by Direct or Indirect Participants to beneficial owners will be governed by standing instructions and customary practices, as is the case with securities held for the accounts of customers in bearer form or registered in "street name," and will be the responsibility of the Direct or Indirect Participant and not of DTC, or the agent, or us, subject to any statutory or regulatory requirements as may be in effect from time to time. Payment of redemption proceeds, distributions and dividends to Cede &amp; Co. (or such other nominee as may be requested by an authorized representative of DTC) is our responsibility, disbursement of such payments to Direct Participants shall be the responsibility of DTC, and disbursements of such payments to the beneficial owners shall be the responsibility of Direct and Indirect Participants.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may discontinue providing its services as securities depositary with respect to the debt securities at any time by giving reasonable notice to us. Under such circumstances, in the event that a successor securities depository is not obtained, debt security certificates will be printed and delivered.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may decide to discontinue use of the system of book-entry transfers through DTC (or a successor securities depository). In that event, debt security certificates will be printed and delivered.</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information in this section concerning DTC and DTC's book-entry system has been obtained from sources that we believe are reliable, but we take no responsibility for the accuracy thereof.</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DESCRIPTION OF GUARANTEES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payment obligations under any series of debt securities may be fully and unconditionally guaranteed by Waste Management Holdings. If a series of debt securities are so guaranteed, Waste Management Holdings will execute a separate guarantee agreement or a supplemental indenture as further evidence of its guarantee. We will provide the specific terms of any guarantee in the prospectus supplement. The guarantees will be governed by, and construed in accordance with, the laws of the State of New York.</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series of subordinated debt securities is guaranteed by Waste Management Holdings, then those guarantees by Waste Management Holdings will be subordinated to the senior indebtedness of Waste Management Holdings to the same extent as that series of subordinated debt securities is subordinated to our senior indebtedness.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authorized to issue 1,500,000,000 shares of common stock, of which 608,679,670 shares were outstanding at October 28, 2002. We are also authorized to issue 10,000,000 shares of preferred stock, none of which were outstanding on that date.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97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Voting Rights. Each share of common stock is entitled to one vote in the election of directors and in each other matter we may ask stockholders to vote on. Common stockholders do not have cumulative voting rights. Accordingly, the holders of a majority of shares voting for the election of directors can elect all of the directors standing for election.</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Fully Paid Status. All outstanding shares of our common stock are validly issued, fully paid and non-assessable. The shares offered hereby will also be, upon issuance and sale, validly issued, fully paid and non-assessable.</w:t>
      </w:r>
    </w:p>
    <w:p>
      <w:pPr>
        <w:spacing w:after="0" w:line="178" w:lineRule="exact"/>
        <w:rPr>
          <w:sz w:val="20"/>
          <w:szCs w:val="20"/>
          <w:color w:val="auto"/>
        </w:rPr>
      </w:pPr>
    </w:p>
    <w:p>
      <w:pPr>
        <w:jc w:val="center"/>
        <w:ind w:right="1879"/>
        <w:spacing w:after="0" w:line="279" w:lineRule="auto"/>
        <w:rPr>
          <w:sz w:val="20"/>
          <w:szCs w:val="20"/>
          <w:color w:val="auto"/>
        </w:rPr>
      </w:pPr>
      <w:r>
        <w:rPr>
          <w:rFonts w:ascii="Courier New" w:cs="Courier New" w:eastAsia="Courier New" w:hAnsi="Courier New"/>
          <w:sz w:val="16"/>
          <w:szCs w:val="16"/>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17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20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Transfer Agent and Registrar. The transfer agent and registrar for the common stock is Mellon Investor Services in South Hackensack, New Jersey.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LAW AND CERTAIN PROVISIONS OF OUR CERTIFICATE OF INCORPORATION</w:t>
      </w:r>
    </w:p>
    <w:p>
      <w:pPr>
        <w:spacing w:after="0" w:line="20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We are a Delaware corporation and are governed by the Delaware General Corporation Law, in addition to our Certificate of Incorporation and Bylaws, which are exhibits to the registration statement of which this prospectus is part. We have summarized certain material provisions of the law and these documents below. You should read the actual provisions of these documents.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209" w:lineRule="exact"/>
        <w:rPr>
          <w:sz w:val="20"/>
          <w:szCs w:val="20"/>
          <w:color w:val="auto"/>
        </w:rPr>
      </w:pPr>
    </w:p>
    <w:p>
      <w:pPr>
        <w:ind w:left="740" w:right="1879" w:hanging="205"/>
        <w:spacing w:after="0" w:line="236"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such date, the corporation's board of directors approved either the business combination or the transaction in which the stockholder became an Interested Stockholder;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6" w:name="page47"/>
    <w:bookmarkEnd w:id="46"/>
    <w:p>
      <w:pPr>
        <w:ind w:left="740" w:right="17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may sell the securities to or through underwriters or dealers, and we also may sell the securities directly to other purchasers, including issuing common stock to holders that exercise currently outstanding warrants to purchase our common stock, or through agents or through a combination of any of these methods. We may also issue shares of our common stock directly to certain persons in order to settle litigation and other claims or to satisfy judgments or arbitration awards. Pursuant to the class action lawsuit settlement we announced in November 2001, certain members of the class will receive, and certain members of the class may elect to receive, shares of our common stock in lieu of cash payments they would otherwise receive under the settlement. However, neither the class action settlement or other matters pursuant to which we may issue common stock are yet final and the number of shares to be issued, if any, cannot be determined at this time. We will update any information with respect to issuances of securities by means of a prospectus supplement. The prospectus supplement will include the following information:</w:t>
      </w:r>
    </w:p>
    <w:p>
      <w:pPr>
        <w:spacing w:after="0" w:line="200" w:lineRule="exact"/>
        <w:rPr>
          <w:sz w:val="20"/>
          <w:szCs w:val="20"/>
          <w:color w:val="auto"/>
        </w:rPr>
      </w:pPr>
    </w:p>
    <w:p>
      <w:pPr>
        <w:spacing w:after="0" w:line="383"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offering;</w:t>
      </w:r>
    </w:p>
    <w:p>
      <w:pPr>
        <w:spacing w:after="0" w:line="206"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names of any underwriters, dealers or agents, and the respective amounts of securities underwritten or purchased by each of them;</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managing underwriter or underwriters;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362" w:gutter="0" w:footer="0" w:header="0"/>
        </w:sectPr>
      </w:pPr>
    </w:p>
    <w:bookmarkStart w:id="47" w:name="page48"/>
    <w:bookmarkEnd w:id="47"/>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proceeds to us from the sale of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delayed delivery requirements;</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underwriting discounts, commissions and other items constituting underwriters' compensation;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public offering price;</w:t>
      </w: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discounts or concessions allowed or reallowed or paid to dealers; and</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commissions paid to agents.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Debt securities, when first issued, will have no established trading market. If we sell debt securities to or through any underwriters or agents for public offering and sale, they may make a market in those debt securities. This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However, the underwriters or agents will not be obligated to make a market in our securities and may discontinue any market making at any time without notice. There can be no assurance as to the liquidity of any market that may develop for the debt securities.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 Underwriters, dealers and agents may be customers of, engage in transactions with, or perform services for us in the ordinary course of their businesses.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48" w:name="page49"/>
    <w:bookmarkEnd w:id="48"/>
    <w:p>
      <w:pPr>
        <w:ind w:left="3060"/>
        <w:spacing w:after="0"/>
        <w:rPr>
          <w:sz w:val="20"/>
          <w:szCs w:val="20"/>
          <w:color w:val="auto"/>
        </w:rPr>
      </w:pPr>
      <w:r>
        <w:rPr>
          <w:rFonts w:ascii="Courier New" w:cs="Courier New" w:eastAsia="Courier New" w:hAnsi="Courier New"/>
          <w:sz w:val="18"/>
          <w:szCs w:val="18"/>
          <w:color w:val="auto"/>
        </w:rPr>
        <w:t>VALIDITY OF SECURITIES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validity of the securities has been passed upon for us by Baker Botts L.L.P., and certain legal matters will be passed upon for any agents, dealers or underwriters, by counsel named in the applicable prospectus supplement.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audited consolidated financial statements as of December 31, 1999, 2000 and 2001 and the three year period ended December 31, 2001 appearing in Waste Management's Annual Report on Form 10-K for the year ended December 31, 2001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report in reliance upon Rule 437a of the Securities Act.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49" w:name="page50"/>
    <w:bookmarkEnd w:id="49"/>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spacing w:after="0"/>
              <w:rPr>
                <w:sz w:val="20"/>
                <w:szCs w:val="20"/>
                <w:color w:val="auto"/>
              </w:rPr>
            </w:pPr>
            <w:r>
              <w:rPr>
                <w:rFonts w:ascii="Courier New" w:cs="Courier New" w:eastAsia="Courier New" w:hAnsi="Courier New"/>
                <w:sz w:val="18"/>
                <w:szCs w:val="18"/>
                <w:color w:val="auto"/>
                <w:w w:val="99"/>
              </w:rPr>
              <w:t>Registration Fee............................................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accountants............................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legal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trustee and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Fees of rating agencies.....................................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w:t>
            </w:r>
          </w:p>
        </w:tc>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and engraving expenses.............................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expenses (including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rPr>
                <w:sz w:val="20"/>
                <w:szCs w:val="20"/>
                <w:color w:val="auto"/>
              </w:rPr>
            </w:pPr>
            <w:r>
              <w:rPr>
                <w:rFonts w:ascii="Courier New" w:cs="Courier New" w:eastAsia="Courier New" w:hAnsi="Courier New"/>
                <w:sz w:val="7"/>
                <w:szCs w:val="7"/>
                <w:color w:val="auto"/>
                <w:w w:val="74"/>
              </w:rPr>
              <w:t>Total.......................................................</w:t>
            </w: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$550,000</w:t>
            </w:r>
          </w:p>
        </w:tc>
      </w:tr>
      <w:tr>
        <w:trPr>
          <w:trHeight w:val="203"/>
        </w:trPr>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Both Waste Management and Waste Management Holdings' Certificates of Incorporation provide that their directors are not liable to them or their stockholders for monetary damages for breach of their fiduciary duty, subject to the described exceptions specified by Delaware law.</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145 of the Delaware General Corporation Law grants companies the power to indemnify each of their officers and directors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both Waste Management and Waste Management Holdings provide for indemnification of each of each of its officers and directors to the fullest extent permitted by Delaware law.</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companies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Waste Management has purchased and maintains a directors' and officers' liability policy for such purposes.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50" w:name="page51"/>
    <w:bookmarkEnd w:id="50"/>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documents are filed as exhibits to this Registration Statement, including those exhibits incorporated herein by reference to a prior filing under the Securities Act or the Exchange Act as indicated in parentheses:</w:t>
      </w:r>
    </w:p>
    <w:p>
      <w:pPr>
        <w:spacing w:after="0" w:line="37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EXHIBIT - --</w:t>
      </w:r>
    </w:p>
    <w:p>
      <w:pPr>
        <w:ind w:left="700" w:hanging="642"/>
        <w:spacing w:after="0" w:line="237" w:lineRule="auto"/>
        <w:tabs>
          <w:tab w:leader="none" w:pos="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- 1.1*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hanging="324"/>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3.3+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3.4+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4.1 --</w:t>
      </w:r>
    </w:p>
    <w:p>
      <w:pPr>
        <w:sectPr>
          <w:pgSz w:w="11900" w:h="16838" w:orient="portrait"/>
          <w:cols w:equalWidth="0" w:num="1">
            <w:col w:w="10219"/>
          </w:cols>
          <w:pgMar w:left="240" w:top="717" w:right="1440" w:bottom="0" w:gutter="0" w:footer="0" w:header="0"/>
        </w:sectPr>
      </w:pPr>
    </w:p>
    <w:bookmarkStart w:id="51" w:name="page52"/>
    <w:bookmarkEnd w:id="51"/>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senior</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10, 1997,</w:t>
      </w:r>
    </w:p>
    <w:p>
      <w:pPr>
        <w:jc w:val="center"/>
        <w:ind w:right="8839"/>
        <w:spacing w:after="0"/>
        <w:rPr>
          <w:sz w:val="20"/>
          <w:szCs w:val="20"/>
          <w:color w:val="auto"/>
        </w:rPr>
      </w:pPr>
      <w:r>
        <w:rPr>
          <w:rFonts w:ascii="Courier New" w:cs="Courier New" w:eastAsia="Courier New" w:hAnsi="Courier New"/>
          <w:sz w:val="18"/>
          <w:szCs w:val="18"/>
          <w:color w:val="auto"/>
        </w:rPr>
        <w:t>among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Texas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Commerce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September</w:t>
      </w:r>
    </w:p>
    <w:p>
      <w:pPr>
        <w:jc w:val="center"/>
        <w:ind w:right="8839"/>
        <w:spacing w:after="0"/>
        <w:rPr>
          <w:sz w:val="20"/>
          <w:szCs w:val="20"/>
          <w:color w:val="auto"/>
        </w:rPr>
      </w:pPr>
      <w:r>
        <w:rPr>
          <w:rFonts w:ascii="Courier New" w:cs="Courier New" w:eastAsia="Courier New" w:hAnsi="Courier New"/>
          <w:sz w:val="18"/>
          <w:szCs w:val="18"/>
          <w:color w:val="auto"/>
        </w:rPr>
        <w:t>24,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4.2 --</w:t>
      </w:r>
    </w:p>
    <w:p>
      <w:pPr>
        <w:jc w:val="center"/>
        <w:ind w:right="8839"/>
        <w:spacing w:after="0"/>
        <w:rPr>
          <w:sz w:val="20"/>
          <w:szCs w:val="20"/>
          <w:color w:val="auto"/>
        </w:rPr>
      </w:pPr>
      <w:r>
        <w:rPr>
          <w:rFonts w:ascii="Courier New" w:cs="Courier New" w:eastAsia="Courier New" w:hAnsi="Courier New"/>
          <w:sz w:val="18"/>
          <w:szCs w:val="18"/>
          <w:color w:val="auto"/>
        </w:rPr>
        <w:t>Subordinated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1997,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Texas</w:t>
      </w:r>
    </w:p>
    <w:p>
      <w:pPr>
        <w:jc w:val="center"/>
        <w:ind w:right="8839"/>
        <w:spacing w:after="0"/>
        <w:rPr>
          <w:sz w:val="20"/>
          <w:szCs w:val="20"/>
          <w:color w:val="auto"/>
        </w:rPr>
      </w:pPr>
      <w:r>
        <w:rPr>
          <w:rFonts w:ascii="Courier New" w:cs="Courier New" w:eastAsia="Courier New" w:hAnsi="Courier New"/>
          <w:sz w:val="18"/>
          <w:szCs w:val="18"/>
          <w:color w:val="auto"/>
        </w:rPr>
        <w:t>Commerce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February</w:t>
      </w:r>
    </w:p>
    <w:p>
      <w:pPr>
        <w:jc w:val="center"/>
        <w:ind w:right="8839"/>
        <w:spacing w:after="0"/>
        <w:rPr>
          <w:sz w:val="20"/>
          <w:szCs w:val="20"/>
          <w:color w:val="auto"/>
        </w:rPr>
      </w:pPr>
      <w:r>
        <w:rPr>
          <w:rFonts w:ascii="Courier New" w:cs="Courier New" w:eastAsia="Courier New" w:hAnsi="Courier New"/>
          <w:sz w:val="18"/>
          <w:szCs w:val="18"/>
          <w:color w:val="auto"/>
        </w:rPr>
        <w:t>7,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4.4+ -- Form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Guarantee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sectPr>
          <w:pgSz w:w="11900" w:h="16838" w:orient="portrait"/>
          <w:cols w:equalWidth="0" w:num="1">
            <w:col w:w="10219"/>
          </w:cols>
          <w:pgMar w:left="240" w:top="136" w:right="1440" w:bottom="0" w:gutter="0" w:footer="0" w:header="0"/>
        </w:sectPr>
      </w:pPr>
    </w:p>
    <w:bookmarkStart w:id="52" w:name="page53"/>
    <w:bookmarkEnd w:id="52"/>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 year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8839"/>
        <w:spacing w:after="0"/>
        <w:rPr>
          <w:sz w:val="20"/>
          <w:szCs w:val="20"/>
          <w:color w:val="auto"/>
        </w:rPr>
      </w:pPr>
      <w:r>
        <w:rPr>
          <w:rFonts w:ascii="Courier New" w:cs="Courier New" w:eastAsia="Courier New" w:hAnsi="Courier New"/>
          <w:sz w:val="18"/>
          <w:szCs w:val="18"/>
          <w:color w:val="auto"/>
        </w:rPr>
        <w:t>December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1998). 5.1+</w:t>
      </w:r>
    </w:p>
    <w:p>
      <w:pPr>
        <w:spacing w:after="0" w:line="5" w:lineRule="exact"/>
        <w:rPr>
          <w:sz w:val="20"/>
          <w:szCs w:val="20"/>
          <w:color w:val="auto"/>
        </w:rPr>
      </w:pPr>
    </w:p>
    <w:p>
      <w:pPr>
        <w:ind w:left="260" w:right="8999" w:hanging="97"/>
        <w:spacing w:after="0" w:line="268" w:lineRule="auto"/>
        <w:tabs>
          <w:tab w:leader="none" w:pos="47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Baker</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Botts L.L.P.</w:t>
      </w:r>
    </w:p>
    <w:p>
      <w:pPr>
        <w:jc w:val="center"/>
        <w:ind w:right="8839"/>
        <w:spacing w:after="0"/>
        <w:rPr>
          <w:sz w:val="20"/>
          <w:szCs w:val="20"/>
          <w:color w:val="auto"/>
        </w:rPr>
      </w:pPr>
      <w:r>
        <w:rPr>
          <w:rFonts w:ascii="Courier New" w:cs="Courier New" w:eastAsia="Courier New" w:hAnsi="Courier New"/>
          <w:sz w:val="18"/>
          <w:szCs w:val="18"/>
          <w:color w:val="auto"/>
        </w:rPr>
        <w:t>as to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legality of</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being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registered.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12.1 --</w:t>
      </w:r>
    </w:p>
    <w:p>
      <w:pPr>
        <w:jc w:val="center"/>
        <w:ind w:right="8839"/>
        <w:spacing w:after="0"/>
        <w:rPr>
          <w:sz w:val="20"/>
          <w:szCs w:val="20"/>
          <w:color w:val="auto"/>
        </w:rPr>
      </w:pPr>
      <w:r>
        <w:rPr>
          <w:rFonts w:ascii="Courier New" w:cs="Courier New" w:eastAsia="Courier New" w:hAnsi="Courier New"/>
          <w:sz w:val="18"/>
          <w:szCs w:val="18"/>
          <w:color w:val="auto"/>
        </w:rPr>
        <w:t>Computation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ratios of</w:t>
      </w:r>
    </w:p>
    <w:p>
      <w:pPr>
        <w:jc w:val="center"/>
        <w:ind w:right="8839"/>
        <w:spacing w:after="0"/>
        <w:rPr>
          <w:sz w:val="20"/>
          <w:szCs w:val="20"/>
          <w:color w:val="auto"/>
        </w:rPr>
      </w:pPr>
      <w:r>
        <w:rPr>
          <w:rFonts w:ascii="Courier New" w:cs="Courier New" w:eastAsia="Courier New" w:hAnsi="Courier New"/>
          <w:sz w:val="18"/>
          <w:szCs w:val="18"/>
          <w:color w:val="auto"/>
        </w:rPr>
        <w:t>earnings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fixed</w:t>
      </w:r>
    </w:p>
    <w:p>
      <w:pPr>
        <w:jc w:val="center"/>
        <w:ind w:right="8839"/>
        <w:spacing w:after="0"/>
        <w:rPr>
          <w:sz w:val="20"/>
          <w:szCs w:val="20"/>
          <w:color w:val="auto"/>
        </w:rPr>
      </w:pPr>
      <w:r>
        <w:rPr>
          <w:rFonts w:ascii="Courier New" w:cs="Courier New" w:eastAsia="Courier New" w:hAnsi="Courier New"/>
          <w:sz w:val="18"/>
          <w:szCs w:val="18"/>
          <w:color w:val="auto"/>
        </w:rPr>
        <w:t>charges.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23.1 --</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Baker Botts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L.L.P.</w:t>
      </w:r>
    </w:p>
    <w:p>
      <w:pPr>
        <w:jc w:val="center"/>
        <w:ind w:right="8839"/>
        <w:spacing w:after="0"/>
        <w:rPr>
          <w:sz w:val="20"/>
          <w:szCs w:val="20"/>
          <w:color w:val="auto"/>
        </w:rPr>
      </w:pPr>
      <w:r>
        <w:rPr>
          <w:rFonts w:ascii="Courier New" w:cs="Courier New" w:eastAsia="Courier New" w:hAnsi="Courier New"/>
          <w:sz w:val="18"/>
          <w:szCs w:val="18"/>
          <w:color w:val="auto"/>
        </w:rPr>
        <w:t>(included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Exhibit</w:t>
      </w:r>
    </w:p>
    <w:p>
      <w:pPr>
        <w:ind w:left="120"/>
        <w:spacing w:after="0"/>
        <w:rPr>
          <w:sz w:val="20"/>
          <w:szCs w:val="20"/>
          <w:color w:val="auto"/>
        </w:rPr>
      </w:pPr>
      <w:r>
        <w:rPr>
          <w:rFonts w:ascii="Courier New" w:cs="Courier New" w:eastAsia="Courier New" w:hAnsi="Courier New"/>
          <w:sz w:val="18"/>
          <w:szCs w:val="18"/>
          <w:color w:val="auto"/>
        </w:rPr>
        <w:t>5.1). 24.1+</w:t>
      </w:r>
    </w:p>
    <w:p>
      <w:pPr>
        <w:spacing w:after="0" w:line="3" w:lineRule="exact"/>
        <w:rPr>
          <w:sz w:val="20"/>
          <w:szCs w:val="20"/>
          <w:color w:val="auto"/>
        </w:rPr>
      </w:pPr>
    </w:p>
    <w:p>
      <w:pPr>
        <w:ind w:left="260" w:right="8899" w:hanging="202"/>
        <w:spacing w:after="0" w:line="268" w:lineRule="auto"/>
        <w:tabs>
          <w:tab w:leader="none" w:pos="36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(included on</w:t>
      </w:r>
    </w:p>
    <w:p>
      <w:pPr>
        <w:jc w:val="center"/>
        <w:ind w:right="8839"/>
        <w:spacing w:after="0"/>
        <w:rPr>
          <w:sz w:val="20"/>
          <w:szCs w:val="20"/>
          <w:color w:val="auto"/>
        </w:rPr>
      </w:pPr>
      <w:r>
        <w:rPr>
          <w:rFonts w:ascii="Courier New" w:cs="Courier New" w:eastAsia="Courier New" w:hAnsi="Courier New"/>
          <w:sz w:val="18"/>
          <w:szCs w:val="18"/>
          <w:color w:val="auto"/>
        </w:rPr>
        <w:t>signature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page</w:t>
      </w:r>
    </w:p>
    <w:p>
      <w:pPr>
        <w:jc w:val="center"/>
        <w:ind w:right="8839"/>
        <w:spacing w:after="0"/>
        <w:rPr>
          <w:sz w:val="20"/>
          <w:szCs w:val="20"/>
          <w:color w:val="auto"/>
        </w:rPr>
      </w:pPr>
      <w:r>
        <w:rPr>
          <w:rFonts w:ascii="Courier New" w:cs="Courier New" w:eastAsia="Courier New" w:hAnsi="Courier New"/>
          <w:sz w:val="18"/>
          <w:szCs w:val="18"/>
          <w:color w:val="auto"/>
        </w:rPr>
        <w:t>herewith).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w:t>
      </w:r>
    </w:p>
    <w:p>
      <w:pPr>
        <w:jc w:val="center"/>
        <w:ind w:right="8839"/>
        <w:spacing w:after="0"/>
        <w:rPr>
          <w:sz w:val="20"/>
          <w:szCs w:val="20"/>
          <w:color w:val="auto"/>
        </w:rPr>
      </w:pPr>
      <w:r>
        <w:rPr>
          <w:rFonts w:ascii="Courier New" w:cs="Courier New" w:eastAsia="Courier New" w:hAnsi="Courier New"/>
          <w:sz w:val="18"/>
          <w:szCs w:val="18"/>
          <w:color w:val="auto"/>
        </w:rPr>
        <w:t>Statement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Eligibility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rPr>
          <w:sz w:val="20"/>
          <w:szCs w:val="20"/>
          <w:color w:val="auto"/>
        </w:rPr>
      </w:pPr>
      <w:r>
        <w:rPr>
          <w:rFonts w:ascii="Courier New" w:cs="Courier New" w:eastAsia="Courier New" w:hAnsi="Courier New"/>
          <w:sz w:val="18"/>
          <w:szCs w:val="18"/>
          <w:color w:val="auto"/>
        </w:rPr>
        <w:t>with respect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Senior</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25.2+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Subordinated</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879" w:hanging="212"/>
        <w:spacing w:after="0" w:line="237"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any underwriting agreement relating to debt securities or common stock that we may enter into and any form of debt securities not previously filed by amendment to this Registration Statement or as an exhibit to a Current Report on Form 8-K.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 filed.</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425"/>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w:t>
      </w:r>
    </w:p>
    <w:p>
      <w:pPr>
        <w:spacing w:after="0" w:line="206" w:lineRule="exact"/>
        <w:rPr>
          <w:rFonts w:ascii="Courier New" w:cs="Courier New" w:eastAsia="Courier New" w:hAnsi="Courier New"/>
          <w:sz w:val="18"/>
          <w:szCs w:val="18"/>
          <w:color w:val="auto"/>
        </w:rPr>
      </w:pPr>
    </w:p>
    <w:p>
      <w:pPr>
        <w:ind w:left="540" w:right="2319" w:firstLine="521"/>
        <w:spacing w:after="0" w:line="290" w:lineRule="auto"/>
        <w:tabs>
          <w:tab w:leader="none" w:pos="1488"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913"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0" w:gutter="0" w:footer="0" w:header="0"/>
        </w:sectPr>
      </w:pPr>
    </w:p>
    <w:bookmarkStart w:id="53" w:name="page54"/>
    <w:bookmarkEnd w:id="53"/>
    <w:p>
      <w:pPr>
        <w:ind w:left="860" w:right="1879"/>
        <w:spacing w:after="0" w:line="271" w:lineRule="auto"/>
        <w:rPr>
          <w:sz w:val="20"/>
          <w:szCs w:val="20"/>
          <w:color w:val="auto"/>
        </w:rPr>
      </w:pPr>
      <w:r>
        <w:rPr>
          <w:rFonts w:ascii="Courier New" w:cs="Courier New" w:eastAsia="Courier New" w:hAnsi="Courier New"/>
          <w:sz w:val="16"/>
          <w:szCs w:val="16"/>
          <w:color w:val="auto"/>
        </w:rPr>
        <w:t>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4" w:lineRule="exact"/>
        <w:rPr>
          <w:sz w:val="20"/>
          <w:szCs w:val="20"/>
          <w:color w:val="auto"/>
        </w:rPr>
      </w:pPr>
    </w:p>
    <w:p>
      <w:pPr>
        <w:ind w:left="860" w:right="1879" w:firstLine="517"/>
        <w:spacing w:after="0" w:line="237" w:lineRule="auto"/>
        <w:tabs>
          <w:tab w:leader="none" w:pos="201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 filed with or furnished to the Commission by the registrants pursuant to Section 13 or Section 15(d) of the Exchange Act that are incorporated by reference in the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undertakes that:</w:t>
      </w:r>
    </w:p>
    <w:p>
      <w:pPr>
        <w:spacing w:after="0" w:line="206" w:lineRule="exact"/>
        <w:rPr>
          <w:rFonts w:ascii="Courier New" w:cs="Courier New" w:eastAsia="Courier New" w:hAnsi="Courier New"/>
          <w:sz w:val="18"/>
          <w:szCs w:val="18"/>
          <w:color w:val="auto"/>
        </w:rPr>
      </w:pPr>
    </w:p>
    <w:p>
      <w:pPr>
        <w:ind w:left="540" w:right="1999" w:firstLine="521"/>
        <w:spacing w:after="0" w:line="268" w:lineRule="auto"/>
        <w:tabs>
          <w:tab w:leader="none" w:pos="1488"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or 497(h) under the Securities Act shall be deemed to be part of this registration statement as of the time it was declared effective.</w:t>
      </w:r>
    </w:p>
    <w:p>
      <w:pPr>
        <w:spacing w:after="0" w:line="20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hereby undertake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8"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any charter provision, by-law, contract, arrangement, statute, or otherwise, the 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against the registrants by such director, officer or controlling person in connection with the securities being registered, the registrants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362" w:gutter="0" w:footer="0" w:header="0"/>
        </w:sectPr>
      </w:pPr>
    </w:p>
    <w:bookmarkStart w:id="54" w:name="page55"/>
    <w:bookmarkEnd w:id="5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Pre-Effective Amendment No. 2 to its Registration Statement to be signed on its behalf by the undersigned, thereunto duly authorized, in the City of Houston, State of Texas on the 1st day of November, 2002.</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A. Maurice Myers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 Chief Executive</w:t>
      </w:r>
    </w:p>
    <w:p>
      <w:pPr>
        <w:ind w:left="5700"/>
        <w:spacing w:after="0"/>
        <w:rPr>
          <w:sz w:val="20"/>
          <w:szCs w:val="20"/>
          <w:color w:val="auto"/>
        </w:rPr>
      </w:pPr>
      <w:r>
        <w:rPr>
          <w:rFonts w:ascii="Courier New" w:cs="Courier New" w:eastAsia="Courier New" w:hAnsi="Courier New"/>
          <w:sz w:val="18"/>
          <w:szCs w:val="18"/>
          <w:color w:val="auto"/>
        </w:rPr>
        <w:t>Officer and Chairman of</w:t>
      </w:r>
    </w:p>
    <w:p>
      <w:pPr>
        <w:ind w:left="5700"/>
        <w:spacing w:after="0" w:line="237" w:lineRule="auto"/>
        <w:rPr>
          <w:sz w:val="20"/>
          <w:szCs w:val="20"/>
          <w:color w:val="auto"/>
        </w:rPr>
      </w:pPr>
      <w:r>
        <w:rPr>
          <w:rFonts w:ascii="Courier New" w:cs="Courier New" w:eastAsia="Courier New" w:hAnsi="Courier New"/>
          <w:sz w:val="18"/>
          <w:szCs w:val="18"/>
          <w:color w:val="auto"/>
        </w:rPr>
        <w:t>the Board</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Pre-Effective Amendment No. 2 to the Registrant's Registration Statement has been signed by the following persons in the capacities indicated on the 1st day of November, 2002.</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420" w:hanging="308"/>
        <w:spacing w:after="0"/>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MAURICE</w:t>
      </w:r>
    </w:p>
    <w:p>
      <w:pPr>
        <w:jc w:val="center"/>
        <w:ind w:right="8739"/>
        <w:spacing w:after="0"/>
        <w:rPr>
          <w:sz w:val="20"/>
          <w:szCs w:val="20"/>
          <w:color w:val="auto"/>
        </w:rPr>
      </w:pPr>
      <w:r>
        <w:rPr>
          <w:rFonts w:ascii="Courier New" w:cs="Courier New" w:eastAsia="Courier New" w:hAnsi="Courier New"/>
          <w:sz w:val="18"/>
          <w:szCs w:val="18"/>
          <w:color w:val="auto"/>
        </w:rPr>
        <w:t>MYERS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Chief</w:t>
      </w:r>
    </w:p>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8739"/>
        <w:spacing w:after="0"/>
        <w:rPr>
          <w:sz w:val="20"/>
          <w:szCs w:val="20"/>
          <w:color w:val="auto"/>
        </w:rPr>
      </w:pPr>
      <w:r>
        <w:rPr>
          <w:rFonts w:ascii="Courier New" w:cs="Courier New" w:eastAsia="Courier New" w:hAnsi="Courier New"/>
          <w:sz w:val="18"/>
          <w:szCs w:val="18"/>
          <w:color w:val="auto"/>
        </w:rPr>
        <w:t>Chairman of</w:t>
      </w:r>
    </w:p>
    <w:p>
      <w:pPr>
        <w:ind w:left="60"/>
        <w:spacing w:after="0" w:line="237" w:lineRule="auto"/>
        <w:rPr>
          <w:sz w:val="20"/>
          <w:szCs w:val="20"/>
          <w:color w:val="auto"/>
        </w:rPr>
      </w:pPr>
      <w:r>
        <w:rPr>
          <w:rFonts w:ascii="Courier New" w:cs="Courier New" w:eastAsia="Courier New" w:hAnsi="Courier New"/>
          <w:sz w:val="18"/>
          <w:szCs w:val="18"/>
          <w:color w:val="auto"/>
        </w:rPr>
        <w:t>the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8839" w:hanging="208"/>
        <w:spacing w:after="0" w:line="268" w:lineRule="auto"/>
        <w:tabs>
          <w:tab w:leader="none" w:pos="42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and Director</w:t>
      </w:r>
    </w:p>
    <w:p>
      <w:pPr>
        <w:jc w:val="center"/>
        <w:ind w:right="8739"/>
        <w:spacing w:after="0" w:line="233"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 A.</w:t>
      </w:r>
    </w:p>
    <w:p>
      <w:pPr>
        <w:jc w:val="center"/>
        <w:ind w:right="8739"/>
        <w:spacing w:after="0"/>
        <w:rPr>
          <w:sz w:val="20"/>
          <w:szCs w:val="20"/>
          <w:color w:val="auto"/>
        </w:rPr>
      </w:pPr>
      <w:r>
        <w:rPr>
          <w:rFonts w:ascii="Courier New" w:cs="Courier New" w:eastAsia="Courier New" w:hAnsi="Courier New"/>
          <w:sz w:val="18"/>
          <w:szCs w:val="18"/>
          <w:color w:val="auto"/>
        </w:rPr>
        <w:t>Maurice Myers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 WILLIAM</w:t>
      </w:r>
    </w:p>
    <w:p>
      <w:pPr>
        <w:spacing w:after="0" w:line="5" w:lineRule="exact"/>
        <w:rPr>
          <w:sz w:val="20"/>
          <w:szCs w:val="20"/>
          <w:color w:val="auto"/>
        </w:rPr>
      </w:pPr>
    </w:p>
    <w:p>
      <w:pPr>
        <w:jc w:val="both"/>
        <w:ind w:left="280" w:right="8939" w:hanging="63"/>
        <w:spacing w:after="0" w:line="268" w:lineRule="auto"/>
        <w:tabs>
          <w:tab w:leader="none" w:pos="54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TRUBECK Executive</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hanging="221"/>
        <w:spacing w:after="0"/>
        <w:tabs>
          <w:tab w:leader="none" w:pos="2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spacing w:after="0" w:line="4" w:lineRule="exact"/>
        <w:rPr>
          <w:rFonts w:ascii="Courier New" w:cs="Courier New" w:eastAsia="Courier New" w:hAnsi="Courier New"/>
          <w:sz w:val="18"/>
          <w:szCs w:val="18"/>
          <w:color w:val="auto"/>
        </w:rPr>
      </w:pPr>
    </w:p>
    <w:p>
      <w:pPr>
        <w:jc w:val="both"/>
        <w:ind w:left="1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William L. Trubeck /s/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SIMPSON Vice President and Chief Accounting Officer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220" w:right="8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Accounting Officer)</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w:t>
      </w:r>
    </w:p>
    <w:p>
      <w:pPr>
        <w:sectPr>
          <w:pgSz w:w="11900" w:h="16838" w:orient="portrait"/>
          <w:cols w:equalWidth="0" w:num="1">
            <w:col w:w="10219"/>
          </w:cols>
          <w:pgMar w:left="240" w:top="717" w:right="1440" w:bottom="0" w:gutter="0" w:footer="0" w:header="0"/>
        </w:sectPr>
      </w:pPr>
    </w:p>
    <w:bookmarkStart w:id="55" w:name="page56"/>
    <w:bookmarkEnd w:id="55"/>
    <w:p>
      <w:pPr>
        <w:jc w:val="center"/>
        <w:ind w:right="8799"/>
        <w:spacing w:after="0"/>
        <w:rPr>
          <w:sz w:val="20"/>
          <w:szCs w:val="20"/>
          <w:color w:val="auto"/>
        </w:rPr>
      </w:pPr>
      <w:r>
        <w:rPr>
          <w:rFonts w:ascii="Courier New" w:cs="Courier New" w:eastAsia="Courier New" w:hAnsi="Courier New"/>
          <w:sz w:val="18"/>
          <w:szCs w:val="18"/>
          <w:color w:val="auto"/>
        </w:rPr>
        <w:t>Simpson *</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Director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 H.</w:t>
      </w:r>
    </w:p>
    <w:p>
      <w:pPr>
        <w:spacing w:after="0" w:line="238" w:lineRule="auto"/>
        <w:rPr>
          <w:sz w:val="20"/>
          <w:szCs w:val="20"/>
          <w:color w:val="auto"/>
        </w:rPr>
      </w:pPr>
      <w:r>
        <w:rPr>
          <w:rFonts w:ascii="Courier New" w:cs="Courier New" w:eastAsia="Courier New" w:hAnsi="Courier New"/>
          <w:sz w:val="18"/>
          <w:szCs w:val="18"/>
          <w:color w:val="auto"/>
        </w:rPr>
        <w:t>Jesse Arnelle</w:t>
      </w:r>
    </w:p>
    <w:p>
      <w:pPr>
        <w:ind w:left="260" w:hanging="208"/>
        <w:spacing w:after="0"/>
        <w:tabs>
          <w:tab w:leader="none" w:pos="2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Pastora San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Juan Cafferty</w:t>
      </w:r>
    </w:p>
    <w:p>
      <w:pPr>
        <w:ind w:left="260" w:hanging="208"/>
        <w:spacing w:after="0" w:line="238" w:lineRule="auto"/>
        <w:tabs>
          <w:tab w:leader="none" w:pos="2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Miller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John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Pope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Rothmeier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Carl</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 Vogt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Ralph V. Whitworth *By: /s/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STEINER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P.</w:t>
      </w:r>
    </w:p>
    <w:p>
      <w:pPr>
        <w:spacing w:after="0" w:line="4" w:lineRule="exact"/>
        <w:rPr>
          <w:rFonts w:ascii="Courier New" w:cs="Courier New" w:eastAsia="Courier New" w:hAnsi="Courier New"/>
          <w:sz w:val="18"/>
          <w:szCs w:val="18"/>
          <w:color w:val="auto"/>
        </w:rPr>
      </w:pPr>
    </w:p>
    <w:p>
      <w:pPr>
        <w:jc w:val="center"/>
        <w:ind w:left="60" w:right="8839" w:firstLine="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Steiner As: Attorney-in-Fact</w:t>
      </w: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159"/>
          </w:cols>
          <w:pgMar w:left="300" w:top="136" w:right="1440" w:bottom="1440" w:gutter="0" w:footer="0" w:header="0"/>
        </w:sectPr>
      </w:pPr>
    </w:p>
    <w:bookmarkStart w:id="56" w:name="page57"/>
    <w:bookmarkEnd w:id="56"/>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Pre-Effective Amendment No. 2 to its Registration Statement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HOLDINGS,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P. STEINER</w:t>
      </w:r>
    </w:p>
    <w:p>
      <w:pPr>
        <w:spacing w:after="0" w:line="200" w:lineRule="exact"/>
        <w:rPr>
          <w:sz w:val="20"/>
          <w:szCs w:val="20"/>
          <w:color w:val="auto"/>
        </w:rPr>
      </w:pPr>
    </w:p>
    <w:p>
      <w:pPr>
        <w:sectPr>
          <w:pgSz w:w="11900" w:h="16838" w:orient="portrait"/>
          <w:cols w:equalWidth="0" w:num="3">
            <w:col w:w="3720" w:space="720"/>
            <w:col w:w="300" w:space="540"/>
            <w:col w:w="4939"/>
          </w:cols>
          <w:pgMar w:left="240" w:top="717"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David P. Steiner</w:t>
      </w:r>
    </w:p>
    <w:p>
      <w:pPr>
        <w:ind w:left="4740"/>
        <w:spacing w:after="0" w:line="238" w:lineRule="auto"/>
        <w:rPr>
          <w:sz w:val="20"/>
          <w:szCs w:val="20"/>
          <w:color w:val="auto"/>
        </w:rPr>
      </w:pPr>
      <w:r>
        <w:rPr>
          <w:rFonts w:ascii="Courier New" w:cs="Courier New" w:eastAsia="Courier New" w:hAnsi="Courier New"/>
          <w:sz w:val="18"/>
          <w:szCs w:val="18"/>
          <w:color w:val="auto"/>
        </w:rPr>
        <w:t>Vice President, Secretary and Sole</w:t>
      </w:r>
    </w:p>
    <w:p>
      <w:pPr>
        <w:ind w:left="6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17" w:right="1440" w:bottom="1440" w:gutter="0" w:footer="0" w:header="0"/>
          <w:type w:val="continuous"/>
        </w:sectPr>
      </w:pPr>
    </w:p>
    <w:bookmarkStart w:id="57" w:name="page58"/>
    <w:bookmarkEnd w:id="57"/>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ratios)</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Nine Months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Years</w:t>
      </w:r>
    </w:p>
    <w:p>
      <w:pPr>
        <w:jc w:val="center"/>
        <w:ind w:right="8839"/>
        <w:spacing w:after="0"/>
        <w:rPr>
          <w:sz w:val="20"/>
          <w:szCs w:val="20"/>
          <w:color w:val="auto"/>
        </w:rPr>
      </w:pPr>
      <w:r>
        <w:rPr>
          <w:rFonts w:ascii="Courier New" w:cs="Courier New" w:eastAsia="Courier New" w:hAnsi="Courier New"/>
          <w:sz w:val="18"/>
          <w:szCs w:val="18"/>
          <w:color w:val="auto"/>
        </w:rPr>
        <w:t>Ended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------- 1997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1998 1999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38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(loss) before income taxes,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extraordinary</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items,</w:t>
      </w:r>
    </w:p>
    <w:p>
      <w:pPr>
        <w:spacing w:after="0" w:line="4" w:lineRule="exact"/>
        <w:rPr>
          <w:rFonts w:ascii="Courier New" w:cs="Courier New" w:eastAsia="Courier New" w:hAnsi="Courier New"/>
          <w:sz w:val="18"/>
          <w:szCs w:val="18"/>
          <w:color w:val="auto"/>
        </w:rPr>
      </w:pPr>
    </w:p>
    <w:p>
      <w:pPr>
        <w:jc w:val="both"/>
        <w:ind w:left="1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cumulative effect of changes in accounting principle,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undistributed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spacing w:after="0" w:line="4" w:lineRule="exact"/>
        <w:rPr>
          <w:rFonts w:ascii="Courier New" w:cs="Courier New" w:eastAsia="Courier New" w:hAnsi="Courier New"/>
          <w:sz w:val="18"/>
          <w:szCs w:val="18"/>
          <w:color w:val="auto"/>
        </w:rPr>
      </w:pPr>
    </w:p>
    <w:p>
      <w:pPr>
        <w:jc w:val="center"/>
        <w:ind w:left="60" w:right="88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affiliated companies and minority interests $</w:t>
      </w:r>
    </w:p>
    <w:p>
      <w:pPr>
        <w:ind w:left="960" w:hanging="639"/>
        <w:spacing w:after="0" w:line="238" w:lineRule="auto"/>
        <w:tabs>
          <w:tab w:leader="none" w:pos="960"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639"/>
        <w:spacing w:after="0" w:line="238" w:lineRule="auto"/>
        <w:tabs>
          <w:tab w:leader="none" w:pos="960"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right"/>
        <w:ind w:left="120" w:right="8959" w:hanging="9"/>
        <w:spacing w:after="0" w:line="268" w:lineRule="auto"/>
        <w:tabs>
          <w:tab w:leader="none" w:pos="752"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$ 344 $ 792 $ 929</w:t>
      </w:r>
    </w:p>
    <w:p>
      <w:pPr>
        <w:ind w:left="60"/>
        <w:spacing w:after="0" w:line="233" w:lineRule="auto"/>
        <w:rPr>
          <w:sz w:val="20"/>
          <w:szCs w:val="20"/>
          <w:color w:val="auto"/>
        </w:rPr>
      </w:pPr>
      <w:r>
        <w:rPr>
          <w:rFonts w:ascii="Courier New" w:cs="Courier New" w:eastAsia="Courier New" w:hAnsi="Courier New"/>
          <w:sz w:val="18"/>
          <w:szCs w:val="18"/>
          <w:color w:val="auto"/>
        </w:rPr>
        <w:t>------ -----</w:t>
      </w:r>
    </w:p>
    <w:p>
      <w:pPr>
        <w:ind w:left="260" w:hanging="202"/>
        <w:spacing w:after="0"/>
        <w:tabs>
          <w:tab w:leader="none" w:pos="2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740" w:hanging="629"/>
        <w:spacing w:after="0" w:line="238" w:lineRule="auto"/>
        <w:tabs>
          <w:tab w:leader="none" w:pos="7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jc w:val="center"/>
        <w:ind w:right="8839"/>
        <w:spacing w:after="0"/>
        <w:rPr>
          <w:sz w:val="20"/>
          <w:szCs w:val="20"/>
          <w:color w:val="auto"/>
        </w:rPr>
      </w:pPr>
      <w:r>
        <w:rPr>
          <w:rFonts w:ascii="Courier New" w:cs="Courier New" w:eastAsia="Courier New" w:hAnsi="Courier New"/>
          <w:sz w:val="18"/>
          <w:szCs w:val="18"/>
          <w:color w:val="auto"/>
        </w:rPr>
        <w:t>charges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deducted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income:</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ind w:left="120"/>
        <w:spacing w:after="0" w:line="237" w:lineRule="auto"/>
        <w:rPr>
          <w:sz w:val="20"/>
          <w:szCs w:val="20"/>
          <w:color w:val="auto"/>
        </w:rPr>
      </w:pPr>
      <w:r>
        <w:rPr>
          <w:rFonts w:ascii="Courier New" w:cs="Courier New" w:eastAsia="Courier New" w:hAnsi="Courier New"/>
          <w:sz w:val="18"/>
          <w:szCs w:val="18"/>
          <w:color w:val="auto"/>
        </w:rPr>
        <w:t>expense 556</w:t>
      </w:r>
    </w:p>
    <w:p>
      <w:pPr>
        <w:ind w:left="120"/>
        <w:spacing w:after="0"/>
        <w:rPr>
          <w:sz w:val="20"/>
          <w:szCs w:val="20"/>
          <w:color w:val="auto"/>
        </w:rPr>
      </w:pPr>
      <w:r>
        <w:rPr>
          <w:rFonts w:ascii="Courier New" w:cs="Courier New" w:eastAsia="Courier New" w:hAnsi="Courier New"/>
          <w:sz w:val="18"/>
          <w:szCs w:val="18"/>
          <w:color w:val="auto"/>
        </w:rPr>
        <w:t>682 770 748</w:t>
      </w:r>
    </w:p>
    <w:p>
      <w:pPr>
        <w:spacing w:after="0" w:line="4" w:lineRule="exact"/>
        <w:rPr>
          <w:sz w:val="20"/>
          <w:szCs w:val="20"/>
          <w:color w:val="auto"/>
        </w:rPr>
      </w:pPr>
    </w:p>
    <w:p>
      <w:pPr>
        <w:jc w:val="right"/>
        <w:ind w:left="260" w:right="9099" w:firstLine="61"/>
        <w:spacing w:after="0" w:line="268" w:lineRule="auto"/>
        <w:tabs>
          <w:tab w:leader="none" w:pos="73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350 Implicit</w:t>
      </w:r>
    </w:p>
    <w:p>
      <w:pPr>
        <w:ind w:left="120"/>
        <w:spacing w:after="0" w:line="233" w:lineRule="auto"/>
        <w:rPr>
          <w:sz w:val="20"/>
          <w:szCs w:val="20"/>
          <w:color w:val="auto"/>
        </w:rPr>
      </w:pPr>
      <w:r>
        <w:rPr>
          <w:rFonts w:ascii="Courier New" w:cs="Courier New" w:eastAsia="Courier New" w:hAnsi="Courier New"/>
          <w:sz w:val="18"/>
          <w:szCs w:val="18"/>
          <w:color w:val="auto"/>
        </w:rPr>
        <w:t>interest in</w:t>
      </w:r>
    </w:p>
    <w:tbl>
      <w:tblPr>
        <w:tblLayout w:type="fixed"/>
        <w:tblInd w:w="60" w:type="dxa"/>
        <w:tblCellMar>
          <w:top w:w="0" w:type="dxa"/>
          <w:left w:w="0" w:type="dxa"/>
          <w:bottom w:w="0" w:type="dxa"/>
          <w:right w:w="0" w:type="dxa"/>
        </w:tblCellMar>
      </w:tblPr>
      <w:tr>
        <w:trPr>
          <w:trHeight w:val="203"/>
        </w:trPr>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rents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r>
        <w:trPr>
          <w:trHeight w:val="203"/>
        </w:trPr>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74</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260" w:hanging="202"/>
        <w:spacing w:after="0" w:line="238" w:lineRule="auto"/>
        <w:tabs>
          <w:tab w:leader="none" w:pos="2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hanging="624"/>
        <w:spacing w:after="0" w:line="238" w:lineRule="auto"/>
        <w:tabs>
          <w:tab w:leader="none" w:pos="8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615</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761 845 822</w:t>
      </w:r>
    </w:p>
    <w:p>
      <w:pPr>
        <w:ind w:left="60"/>
        <w:spacing w:after="0"/>
        <w:rPr>
          <w:sz w:val="20"/>
          <w:szCs w:val="20"/>
          <w:color w:val="auto"/>
        </w:rPr>
      </w:pPr>
      <w:r>
        <w:rPr>
          <w:rFonts w:ascii="Courier New" w:cs="Courier New" w:eastAsia="Courier New" w:hAnsi="Courier New"/>
          <w:sz w:val="18"/>
          <w:szCs w:val="18"/>
          <w:color w:val="auto"/>
        </w:rPr>
        <w:t>606 395 ----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40" w:hanging="529"/>
        <w:spacing w:after="0" w:line="238" w:lineRule="auto"/>
        <w:tabs>
          <w:tab w:leader="none" w:pos="6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20" w:right="895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Earnings available for fixed charges $ 6 $ 82 $ 706 $1,166 $1,398 $1,324</w:t>
      </w:r>
    </w:p>
    <w:p>
      <w:pPr>
        <w:spacing w:after="0" w:line="5" w:lineRule="exact"/>
        <w:rPr>
          <w:rFonts w:ascii="Courier New" w:cs="Courier New" w:eastAsia="Courier New" w:hAnsi="Courier New"/>
          <w:sz w:val="18"/>
          <w:szCs w:val="18"/>
          <w:color w:val="auto"/>
        </w:rPr>
      </w:pP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58" w:name="page59"/>
    <w:bookmarkEnd w:id="58"/>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expense $</w:t>
      </w:r>
    </w:p>
    <w:p>
      <w:pPr>
        <w:jc w:val="center"/>
        <w:ind w:right="8839"/>
        <w:spacing w:after="0"/>
        <w:rPr>
          <w:sz w:val="20"/>
          <w:szCs w:val="20"/>
          <w:color w:val="auto"/>
        </w:rPr>
      </w:pPr>
      <w:r>
        <w:rPr>
          <w:rFonts w:ascii="Courier New" w:cs="Courier New" w:eastAsia="Courier New" w:hAnsi="Courier New"/>
          <w:sz w:val="18"/>
          <w:szCs w:val="18"/>
          <w:color w:val="auto"/>
        </w:rPr>
        <w:t>556 $ 682 $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770 $ 748 $</w:t>
      </w:r>
    </w:p>
    <w:p>
      <w:pPr>
        <w:jc w:val="center"/>
        <w:ind w:right="8839"/>
        <w:spacing w:after="0"/>
        <w:rPr>
          <w:sz w:val="20"/>
          <w:szCs w:val="20"/>
          <w:color w:val="auto"/>
        </w:rPr>
      </w:pPr>
      <w:r>
        <w:rPr>
          <w:rFonts w:ascii="Courier New" w:cs="Courier New" w:eastAsia="Courier New" w:hAnsi="Courier New"/>
          <w:sz w:val="18"/>
          <w:szCs w:val="18"/>
          <w:color w:val="auto"/>
        </w:rPr>
        <w:t>541 $ 350</w:t>
      </w:r>
    </w:p>
    <w:p>
      <w:pPr>
        <w:ind w:left="120"/>
        <w:spacing w:after="0" w:line="237" w:lineRule="auto"/>
        <w:rPr>
          <w:sz w:val="20"/>
          <w:szCs w:val="20"/>
          <w:color w:val="auto"/>
        </w:rPr>
      </w:pPr>
      <w:r>
        <w:rPr>
          <w:rFonts w:ascii="Courier New" w:cs="Courier New" w:eastAsia="Courier New" w:hAnsi="Courier New"/>
          <w:sz w:val="18"/>
          <w:szCs w:val="18"/>
          <w:color w:val="auto"/>
        </w:rPr>
        <w:t>Capitalized</w:t>
      </w:r>
    </w:p>
    <w:p>
      <w:pPr>
        <w:ind w:left="120"/>
        <w:spacing w:after="0" w:line="238" w:lineRule="auto"/>
        <w:rPr>
          <w:sz w:val="20"/>
          <w:szCs w:val="20"/>
          <w:color w:val="auto"/>
        </w:rPr>
      </w:pPr>
      <w:r>
        <w:rPr>
          <w:rFonts w:ascii="Courier New" w:cs="Courier New" w:eastAsia="Courier New" w:hAnsi="Courier New"/>
          <w:sz w:val="18"/>
          <w:szCs w:val="18"/>
          <w:color w:val="auto"/>
        </w:rPr>
        <w:t>interest 51</w:t>
      </w:r>
    </w:p>
    <w:p>
      <w:pPr>
        <w:ind w:left="120"/>
        <w:spacing w:after="0"/>
        <w:rPr>
          <w:sz w:val="20"/>
          <w:szCs w:val="20"/>
          <w:color w:val="auto"/>
        </w:rPr>
      </w:pPr>
      <w:r>
        <w:rPr>
          <w:rFonts w:ascii="Courier New" w:cs="Courier New" w:eastAsia="Courier New" w:hAnsi="Courier New"/>
          <w:sz w:val="18"/>
          <w:szCs w:val="18"/>
          <w:color w:val="auto"/>
        </w:rPr>
        <w:t>42 34 22 16</w:t>
      </w:r>
    </w:p>
    <w:p>
      <w:pPr>
        <w:spacing w:after="0" w:line="4" w:lineRule="exact"/>
        <w:rPr>
          <w:sz w:val="20"/>
          <w:szCs w:val="20"/>
          <w:color w:val="auto"/>
        </w:rPr>
      </w:pPr>
    </w:p>
    <w:p>
      <w:pPr>
        <w:jc w:val="both"/>
        <w:ind w:left="120" w:right="8959" w:hanging="9"/>
        <w:spacing w:after="0" w:line="268" w:lineRule="auto"/>
        <w:tabs>
          <w:tab w:leader="none" w:pos="436"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Implicit interest in rents 59 79</w:t>
      </w:r>
    </w:p>
    <w:p>
      <w:pPr>
        <w:ind w:left="420" w:hanging="309"/>
        <w:spacing w:after="0" w:line="238" w:lineRule="auto"/>
        <w:tabs>
          <w:tab w:leader="none" w:pos="42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74 65 45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hanging="202"/>
        <w:spacing w:after="0" w:line="238" w:lineRule="auto"/>
        <w:tabs>
          <w:tab w:leader="none" w:pos="2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 $</w:t>
      </w:r>
    </w:p>
    <w:p>
      <w:pPr>
        <w:ind w:left="540" w:hanging="429"/>
        <w:spacing w:after="0" w:line="238" w:lineRule="auto"/>
        <w:tabs>
          <w:tab w:leader="none" w:pos="54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$ 803 $</w:t>
      </w:r>
    </w:p>
    <w:p>
      <w:pPr>
        <w:spacing w:after="0" w:line="4" w:lineRule="exact"/>
        <w:rPr>
          <w:rFonts w:ascii="Courier New" w:cs="Courier New" w:eastAsia="Courier New" w:hAnsi="Courier New"/>
          <w:sz w:val="18"/>
          <w:szCs w:val="18"/>
          <w:color w:val="auto"/>
        </w:rPr>
      </w:pPr>
    </w:p>
    <w:p>
      <w:pPr>
        <w:ind w:left="220" w:right="8959" w:hanging="109"/>
        <w:spacing w:after="0" w:line="268" w:lineRule="auto"/>
        <w:tabs>
          <w:tab w:leader="none" w:pos="536"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$ 844 $ 622 $ 409</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120" w:right="889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Ratio of earnings to fixed charges N/A(1) N/A(2) N/A(3) 1.4 2.2 3.2</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Inc. of its operating assets and investments.</w:t>
      </w:r>
    </w:p>
    <w:p>
      <w:pPr>
        <w:spacing w:after="0" w:line="212" w:lineRule="exact"/>
        <w:rPr>
          <w:rFonts w:ascii="Courier New" w:cs="Courier New" w:eastAsia="Courier New" w:hAnsi="Courier New"/>
          <w:sz w:val="18"/>
          <w:szCs w:val="18"/>
          <w:color w:val="auto"/>
        </w:rPr>
      </w:pPr>
    </w:p>
    <w:p>
      <w:pPr>
        <w:ind w:right="219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Inc. and Waste Management Holdings, Inc. in July 1998, and Waste Management and Eastern Environmental Services, Inc. in December 1998.</w:t>
      </w:r>
    </w:p>
    <w:p>
      <w:pPr>
        <w:spacing w:after="0" w:line="211"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Inc. and Waste Management Holdings, Inc. during July 1998 and asset impairments and unusual items of $738.8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Inc. in determining the probability of landfill expansions.</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lvl w:ilvl="1">
      <w:lvlJc w:val="left"/>
      <w:lvlText w:val="-"/>
      <w:numFmt w:val="bullet"/>
      <w:start w:val="1"/>
    </w:lvl>
  </w:abstractNum>
  <w:abstractNum w:abstractNumId="6">
    <w:nsid w:val="153EA438"/>
    <w:multiLevelType w:val="hybridMultilevel"/>
    <w:lvl w:ilvl="0">
      <w:lvlJc w:val="left"/>
      <w:lvlText w:val="(%1)"/>
      <w:numFmt w:val="decimal"/>
      <w:start w:val="713"/>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lvl w:ilvl="1">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lowerRoman"/>
      <w:start w:val="2"/>
    </w:lvl>
  </w:abstractNum>
  <w:abstractNum w:abstractNumId="21">
    <w:nsid w:val="32FFF902"/>
    <w:multiLevelType w:val="hybridMultilevel"/>
    <w:lvl w:ilvl="0">
      <w:lvlJc w:val="left"/>
      <w:lvlText w:val="(%1)"/>
      <w:numFmt w:val="lowerLetter"/>
      <w:start w:val="1"/>
    </w:lvl>
    <w:lvl w:ilvl="1">
      <w:lvlJc w:val="left"/>
      <w:lvlText w:val="(%2)"/>
      <w:numFmt w:val="lowerRoman"/>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lvl w:ilvl="1">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lvl w:ilvl="1">
      <w:lvlJc w:val="left"/>
      <w:lvlText w:val="(%2)"/>
      <w:numFmt w:val="upperLetter"/>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lowerRoman"/>
      <w:start w:val="2"/>
    </w:lvl>
  </w:abstractNum>
  <w:abstractNum w:abstractNumId="42">
    <w:nsid w:val="354FE9F9"/>
    <w:multiLevelType w:val="hybridMultilevel"/>
    <w:lvl w:ilvl="0">
      <w:lvlJc w:val="left"/>
      <w:lvlText w:val="(%1)"/>
      <w:numFmt w:val="lowerLetter"/>
      <w:start w:val="2"/>
    </w:lvl>
  </w:abstractNum>
  <w:abstractNum w:abstractNumId="43">
    <w:nsid w:val="15B5AF5C"/>
    <w:multiLevelType w:val="hybridMultilevel"/>
    <w:lvl w:ilvl="0">
      <w:lvlJc w:val="left"/>
      <w:lvlText w:val="(%1)"/>
      <w:numFmt w:val="upperLetter"/>
      <w:start w:val="3"/>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5">
    <w:nsid w:val="25A70BF7"/>
    <w:multiLevelType w:val="hybridMultilevel"/>
    <w:lvl w:ilvl="0">
      <w:lvlJc w:val="left"/>
      <w:lvlText w:val="(%1)"/>
      <w:numFmt w:val="lowerRoman"/>
      <w:start w:val="3"/>
    </w:lvl>
  </w:abstractNum>
  <w:abstractNum w:abstractNumId="56">
    <w:nsid w:val="1DBABF00"/>
    <w:multiLevelType w:val="hybridMultilevel"/>
    <w:lvl w:ilvl="0">
      <w:lvlJc w:val="left"/>
      <w:lvlText w:val="%1"/>
      <w:numFmt w:val="lowerLetter"/>
      <w:start w:val="1"/>
    </w:lvl>
    <w:lvl w:ilvl="1">
      <w:lvlJc w:val="left"/>
      <w:lvlText w:val="(%2)"/>
      <w:numFmt w:val="decimal"/>
      <w:start w:val="2"/>
    </w:lvl>
  </w:abstractNum>
  <w:abstractNum w:abstractNumId="57">
    <w:nsid w:val="4AD084E9"/>
    <w:multiLevelType w:val="hybridMultilevel"/>
    <w:lvl w:ilvl="0">
      <w:lvlJc w:val="left"/>
      <w:lvlText w:val="(%1)"/>
      <w:numFmt w:val="lowerLetter"/>
      <w:start w:val="2"/>
    </w:lvl>
    <w:lvl w:ilvl="1">
      <w:lvlJc w:val="left"/>
      <w:lvlText w:val="(%2)"/>
      <w:numFmt w:val="decimal"/>
      <w:start w:val="1"/>
    </w:lvl>
  </w:abstractNum>
  <w:abstractNum w:abstractNumId="58">
    <w:nsid w:val="1F48EAA1"/>
    <w:multiLevelType w:val="hybridMultilevel"/>
    <w:lvl w:ilvl="0">
      <w:lvlJc w:val="left"/>
      <w:lvlText w:val="--"/>
      <w:numFmt w:val="bullet"/>
      <w:start w:val="1"/>
    </w:lvl>
    <w:lvl w:ilvl="1">
      <w:lvlJc w:val="left"/>
      <w:lvlText w:val="%2"/>
      <w:numFmt w:val="upperLetter"/>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upperLetter"/>
      <w:start w:val="12"/>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lvl w:ilvl="1">
      <w:lvlJc w:val="left"/>
      <w:lvlText w:val="%2"/>
      <w:numFmt w:val="upperLetter"/>
      <w:start w:val="1"/>
    </w:lvl>
  </w:abstractNum>
  <w:abstractNum w:abstractNumId="63">
    <w:nsid w:val="15014ACB"/>
    <w:multiLevelType w:val="hybridMultilevel"/>
    <w:lvl w:ilvl="0">
      <w:lvlJc w:val="left"/>
      <w:lvlText w:val="-----"/>
      <w:numFmt w:val="bullet"/>
      <w:start w:val="1"/>
    </w:lvl>
    <w:lvl w:ilvl="1">
      <w:lvlJc w:val="left"/>
      <w:lvlText w:val="%2"/>
      <w:numFmt w:val="decimal"/>
      <w:start w:val="1"/>
    </w:lvl>
    <w:lvl w:ilvl="2">
      <w:lvlJc w:val="left"/>
      <w:lvlText w:val="(%3)"/>
      <w:numFmt w:val="decimal"/>
      <w:start w:val="609"/>
    </w:lvl>
  </w:abstractNum>
  <w:abstractNum w:abstractNumId="64">
    <w:nsid w:val="5F5E7FD0"/>
    <w:multiLevelType w:val="hybridMultilevel"/>
    <w:lvl w:ilvl="0">
      <w:lvlJc w:val="left"/>
      <w:lvlText w:val="-----"/>
      <w:numFmt w:val="bullet"/>
      <w:start w:val="1"/>
    </w:lvl>
    <w:lvl w:ilvl="1">
      <w:lvlJc w:val="left"/>
      <w:lvlText w:val="%2"/>
      <w:numFmt w:val="decimal"/>
      <w:start w:val="1"/>
    </w:lvl>
    <w:lvl w:ilvl="2">
      <w:lvlJc w:val="left"/>
      <w:lvlText w:val="(%3)"/>
      <w:numFmt w:val="decimal"/>
      <w:start w:val="679"/>
    </w:lvl>
  </w:abstractNum>
  <w:abstractNum w:abstractNumId="65">
    <w:nsid w:val="98A3148"/>
    <w:multiLevelType w:val="hybridMultilevel"/>
    <w:lvl w:ilvl="0">
      <w:lvlJc w:val="left"/>
      <w:lvlText w:val="-----"/>
      <w:numFmt w:val="bullet"/>
      <w:start w:val="1"/>
    </w:lvl>
    <w:lvl w:ilvl="1">
      <w:lvlJc w:val="left"/>
      <w:lvlText w:val="(%2)"/>
      <w:numFmt w:val="decimal"/>
      <w:start w:val="139"/>
    </w:lvl>
    <w:lvl w:ilvl="2">
      <w:lvlJc w:val="left"/>
      <w:lvlText w:val="%3"/>
      <w:numFmt w:val="decimal"/>
      <w:start w:val="1"/>
    </w:lvl>
  </w:abstractNum>
  <w:abstractNum w:abstractNumId="66">
    <w:nsid w:val="799D0247"/>
    <w:multiLevelType w:val="hybridMultilevel"/>
    <w:lvl w:ilvl="0">
      <w:lvlJc w:val="left"/>
      <w:lvlText w:val="-"/>
      <w:numFmt w:val="bullet"/>
      <w:start w:val="1"/>
    </w:lvl>
    <w:lvl w:ilvl="1">
      <w:lvlJc w:val="left"/>
      <w:lvlText w:val="-----"/>
      <w:numFmt w:val="bullet"/>
      <w:start w:val="1"/>
    </w:lvl>
  </w:abstractNum>
  <w:abstractNum w:abstractNumId="67">
    <w:nsid w:val="6B94764"/>
    <w:multiLevelType w:val="hybridMultilevel"/>
    <w:lvl w:ilvl="0">
      <w:lvlJc w:val="left"/>
      <w:lvlText w:val="%1"/>
      <w:numFmt w:val="decimal"/>
      <w:start w:val="541"/>
    </w:lvl>
  </w:abstractNum>
  <w:abstractNum w:abstractNumId="68">
    <w:nsid w:val="42C296BD"/>
    <w:multiLevelType w:val="hybridMultilevel"/>
    <w:lvl w:ilvl="0">
      <w:lvlJc w:val="left"/>
      <w:lvlText w:val="-"/>
      <w:numFmt w:val="bullet"/>
      <w:start w:val="1"/>
    </w:lvl>
    <w:lvl w:ilvl="1">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lvl w:ilvl="1">
      <w:lvlJc w:val="left"/>
      <w:lvlText w:val="%2"/>
      <w:numFmt w:val="decimal"/>
      <w:start w:val="14"/>
    </w:lvl>
  </w:abstractNum>
  <w:abstractNum w:abstractNumId="71">
    <w:nsid w:val="661E3F1E"/>
    <w:multiLevelType w:val="hybridMultilevel"/>
    <w:lvl w:ilvl="0">
      <w:lvlJc w:val="left"/>
      <w:lvlText w:val="-"/>
      <w:numFmt w:val="bullet"/>
      <w:start w:val="1"/>
    </w:lvl>
    <w:lvl w:ilvl="1">
      <w:lvlJc w:val="left"/>
      <w:lvlText w:val="%2"/>
      <w:numFmt w:val="decimal"/>
      <w:start w:val="75"/>
    </w:lvl>
  </w:abstractNum>
  <w:abstractNum w:abstractNumId="72">
    <w:nsid w:val="5DC79EA8"/>
    <w:multiLevelType w:val="hybridMultilevel"/>
    <w:lvl w:ilvl="0">
      <w:lvlJc w:val="left"/>
      <w:lvlText w:val="-"/>
      <w:numFmt w:val="bullet"/>
      <w:start w:val="1"/>
    </w:lvl>
    <w:lvl w:ilvl="1">
      <w:lvlJc w:val="left"/>
      <w:lvlText w:val="%2"/>
      <w:numFmt w:val="decimal"/>
      <w:start w:val="666"/>
    </w:lvl>
  </w:abstractNum>
  <w:abstractNum w:abstractNumId="73">
    <w:nsid w:val="540A471C"/>
    <w:multiLevelType w:val="hybridMultilevel"/>
    <w:lvl w:ilvl="0">
      <w:lvlJc w:val="left"/>
      <w:lvlText w:val="-"/>
      <w:numFmt w:val="bullet"/>
      <w:start w:val="1"/>
    </w:lvl>
    <w:lvl w:ilvl="1">
      <w:lvlJc w:val="left"/>
      <w:lvlText w:val="%2"/>
      <w:numFmt w:val="decimal"/>
      <w:start w:val="879"/>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2019-12-20T03:44:21Z</dcterms:created>
  <dcterms:modified xsi:type="dcterms:W3CDTF">2019-12-20T03:44:21Z</dcterms:modified>
</cp:coreProperties>
</file>