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34"/>
          <w:szCs w:val="34"/>
          <w:b w:val="1"/>
          <w:bCs w:val="1"/>
          <w:color w:val="auto"/>
        </w:rPr>
        <w:t>WASTE MANAGEMENT RETIREMENT SAVINGS PLAN</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2220" w:type="dxa"/>
            <w:vAlign w:val="bottom"/>
          </w:tcPr>
          <w:p>
            <w:pPr>
              <w:spacing w:after="0"/>
              <w:rPr>
                <w:sz w:val="24"/>
                <w:szCs w:val="24"/>
                <w:color w:val="auto"/>
              </w:rPr>
            </w:pPr>
          </w:p>
        </w:tc>
      </w:tr>
      <w:tr>
        <w:trPr>
          <w:trHeight w:val="418"/>
        </w:trPr>
        <w:tc>
          <w:tcPr>
            <w:tcW w:w="9200" w:type="dxa"/>
            <w:vAlign w:val="bottom"/>
          </w:tcPr>
          <w:p>
            <w:pPr>
              <w:ind w:left="220"/>
              <w:spacing w:after="0"/>
              <w:rPr>
                <w:sz w:val="20"/>
                <w:szCs w:val="20"/>
                <w:color w:val="auto"/>
              </w:rPr>
            </w:pPr>
            <w:r>
              <w:rPr>
                <w:rFonts w:ascii="Arial" w:cs="Arial" w:eastAsia="Arial" w:hAnsi="Arial"/>
                <w:sz w:val="18"/>
                <w:szCs w:val="18"/>
                <w:color w:val="auto"/>
              </w:rPr>
              <w:t>Statements of Net Assets Available for Benefits as of December 31, 2005 and 2004</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Statement of Changes in Net Assets Available for Benefits for the Year Ended December 31, 2005</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30"/>
        </w:trPr>
        <w:tc>
          <w:tcPr>
            <w:tcW w:w="9200" w:type="dxa"/>
            <w:vAlign w:val="bottom"/>
          </w:tcPr>
          <w:p>
            <w:pPr>
              <w:ind w:left="220"/>
              <w:spacing w:after="0"/>
              <w:rPr>
                <w:sz w:val="20"/>
                <w:szCs w:val="20"/>
                <w:color w:val="auto"/>
              </w:rPr>
            </w:pPr>
            <w:r>
              <w:rPr>
                <w:rFonts w:ascii="Arial" w:cs="Arial" w:eastAsia="Arial" w:hAnsi="Arial"/>
                <w:sz w:val="18"/>
                <w:szCs w:val="18"/>
                <w:color w:val="auto"/>
              </w:rPr>
              <w:t>Notes to Financial Statements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Supplemental Schedule</w:t>
            </w:r>
          </w:p>
        </w:tc>
        <w:tc>
          <w:tcPr>
            <w:tcW w:w="2220" w:type="dxa"/>
            <w:vAlign w:val="bottom"/>
          </w:tcPr>
          <w:p>
            <w:pPr>
              <w:spacing w:after="0"/>
              <w:rPr>
                <w:sz w:val="24"/>
                <w:szCs w:val="24"/>
                <w:color w:val="auto"/>
              </w:rPr>
            </w:pP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Schedule H, Line 4(i) — Schedule of Assets (Held At End of Year)</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632"/>
        </w:trPr>
        <w:tc>
          <w:tcPr>
            <w:tcW w:w="920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as of December 31, 2005 and 2004, and the related statement of changes in net assets available for benefits for the year ended December 31, 2005.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2005 and 2004, and the changes in its net assets available for benefits for the year ended December 31, 2005, in conformity with U.S. generally accepted accounting principles.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2005,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30, 2006</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Statements of Net Assets Available for Benefits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2005 and 2004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020" w:type="dxa"/>
            <w:vAlign w:val="bottom"/>
            <w:gridSpan w:val="2"/>
          </w:tcPr>
          <w:p>
            <w:pPr>
              <w:jc w:val="right"/>
              <w:ind w:right="330"/>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160" w:type="dxa"/>
            <w:vAlign w:val="bottom"/>
          </w:tcPr>
          <w:p>
            <w:pPr>
              <w:jc w:val="right"/>
              <w:ind w:right="35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3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Plan interest in the Master Trust (Note 3)</w:t>
            </w:r>
          </w:p>
        </w:tc>
        <w:tc>
          <w:tcPr>
            <w:tcW w:w="5640" w:type="dxa"/>
            <w:vAlign w:val="bottom"/>
            <w:gridSpan w:val="3"/>
          </w:tcPr>
          <w:p>
            <w:pPr>
              <w:jc w:val="right"/>
              <w:ind w:right="620"/>
              <w:spacing w:after="0"/>
              <w:rPr>
                <w:sz w:val="20"/>
                <w:szCs w:val="20"/>
                <w:color w:val="auto"/>
              </w:rPr>
            </w:pPr>
            <w:r>
              <w:rPr>
                <w:rFonts w:ascii="Arial" w:cs="Arial" w:eastAsia="Arial" w:hAnsi="Arial"/>
                <w:sz w:val="18"/>
                <w:szCs w:val="18"/>
                <w:color w:val="auto"/>
              </w:rPr>
              <w:t>$ 1,149,255,011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$ 1,080,223,306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loans</w:t>
            </w:r>
          </w:p>
        </w:tc>
        <w:tc>
          <w:tcPr>
            <w:tcW w:w="5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55,646,569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52,842,934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Total investments</w:t>
            </w:r>
          </w:p>
        </w:tc>
        <w:tc>
          <w:tcPr>
            <w:tcW w:w="38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1,204,901,580</w:t>
            </w:r>
          </w:p>
        </w:tc>
        <w:tc>
          <w:tcPr>
            <w:tcW w:w="6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1,133,066,240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Employee contributions</w:t>
            </w:r>
          </w:p>
        </w:tc>
        <w:tc>
          <w:tcPr>
            <w:tcW w:w="5640" w:type="dxa"/>
            <w:vAlign w:val="bottom"/>
            <w:gridSpan w:val="3"/>
          </w:tcPr>
          <w:p>
            <w:pPr>
              <w:jc w:val="right"/>
              <w:ind w:right="620"/>
              <w:spacing w:after="0"/>
              <w:rPr>
                <w:sz w:val="20"/>
                <w:szCs w:val="20"/>
                <w:color w:val="auto"/>
              </w:rPr>
            </w:pPr>
            <w:r>
              <w:rPr>
                <w:rFonts w:ascii="Arial" w:cs="Arial" w:eastAsia="Arial" w:hAnsi="Arial"/>
                <w:sz w:val="18"/>
                <w:szCs w:val="18"/>
                <w:color w:val="auto"/>
              </w:rPr>
              <w:t>1,425,462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38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1,678,370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Total receivables</w:t>
            </w:r>
          </w:p>
        </w:tc>
        <w:tc>
          <w:tcPr>
            <w:tcW w:w="3880" w:type="dxa"/>
            <w:vAlign w:val="bottom"/>
          </w:tcPr>
          <w:p>
            <w:pPr>
              <w:spacing w:after="0"/>
              <w:rPr>
                <w:sz w:val="24"/>
                <w:szCs w:val="2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3,103,832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3,023,632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5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1,208,005,412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1,136,089,872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40" w:type="dxa"/>
            <w:vAlign w:val="bottom"/>
            <w:gridSpan w:val="4"/>
          </w:tcPr>
          <w:p>
            <w:pPr>
              <w:jc w:val="center"/>
              <w:ind w:left="115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880" w:type="dxa"/>
            <w:vAlign w:val="bottom"/>
          </w:tcPr>
          <w:p>
            <w:pPr>
              <w:jc w:val="right"/>
              <w:ind w:right="2553"/>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23"/>
        </w:trPr>
        <w:tc>
          <w:tcPr>
            <w:tcW w:w="20" w:type="dxa"/>
            <w:vAlign w:val="bottom"/>
          </w:tcPr>
          <w:p>
            <w:pPr>
              <w:spacing w:after="0"/>
              <w:rPr>
                <w:sz w:val="24"/>
                <w:szCs w:val="24"/>
                <w:color w:val="auto"/>
              </w:rPr>
            </w:pPr>
          </w:p>
        </w:tc>
        <w:tc>
          <w:tcPr>
            <w:tcW w:w="10140" w:type="dxa"/>
            <w:vAlign w:val="bottom"/>
          </w:tcPr>
          <w:p>
            <w:pPr>
              <w:jc w:val="center"/>
              <w:ind w:left="1144"/>
              <w:spacing w:after="0"/>
              <w:rPr>
                <w:sz w:val="20"/>
                <w:szCs w:val="20"/>
                <w:color w:val="auto"/>
              </w:rPr>
            </w:pPr>
            <w:r>
              <w:rPr>
                <w:rFonts w:ascii="Arial" w:cs="Arial" w:eastAsia="Arial" w:hAnsi="Arial"/>
                <w:sz w:val="25"/>
                <w:szCs w:val="25"/>
                <w:color w:val="auto"/>
                <w:w w:val="89"/>
              </w:rPr>
              <w:t>Waste Management Retirement Savings Plan</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140" w:type="dxa"/>
            <w:vAlign w:val="bottom"/>
          </w:tcPr>
          <w:p>
            <w:pPr>
              <w:jc w:val="center"/>
              <w:ind w:left="1144"/>
              <w:spacing w:after="0"/>
              <w:rPr>
                <w:sz w:val="20"/>
                <w:szCs w:val="20"/>
                <w:color w:val="auto"/>
              </w:rPr>
            </w:pPr>
            <w:r>
              <w:rPr>
                <w:rFonts w:ascii="Arial" w:cs="Arial" w:eastAsia="Arial" w:hAnsi="Arial"/>
                <w:sz w:val="25"/>
                <w:szCs w:val="25"/>
                <w:color w:val="auto"/>
                <w:w w:val="91"/>
              </w:rPr>
              <w:t>Statement of Changes in 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140" w:type="dxa"/>
            <w:vAlign w:val="bottom"/>
          </w:tcPr>
          <w:p>
            <w:pPr>
              <w:jc w:val="center"/>
              <w:ind w:left="1144"/>
              <w:spacing w:after="0"/>
              <w:rPr>
                <w:sz w:val="20"/>
                <w:szCs w:val="20"/>
                <w:color w:val="auto"/>
              </w:rPr>
            </w:pPr>
            <w:r>
              <w:rPr>
                <w:rFonts w:ascii="Arial" w:cs="Arial" w:eastAsia="Arial" w:hAnsi="Arial"/>
                <w:sz w:val="25"/>
                <w:szCs w:val="25"/>
                <w:color w:val="auto"/>
                <w:w w:val="89"/>
              </w:rPr>
              <w:t>Year Ended December 31, 2005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75,553,873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3,664,853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43,911,377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123,130,103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61,016,027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187,261,862</w:t>
            </w:r>
          </w:p>
        </w:tc>
        <w:tc>
          <w:tcPr>
            <w:tcW w:w="0" w:type="dxa"/>
            <w:vAlign w:val="bottom"/>
          </w:tcPr>
          <w:p>
            <w:pPr>
              <w:spacing w:after="0"/>
              <w:rPr>
                <w:sz w:val="1"/>
                <w:szCs w:val="1"/>
                <w:color w:val="auto"/>
              </w:rPr>
            </w:pPr>
          </w:p>
        </w:tc>
      </w:tr>
      <w:tr>
        <w:trPr>
          <w:trHeight w:val="439"/>
        </w:trPr>
        <w:tc>
          <w:tcPr>
            <w:tcW w:w="1016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115,317,070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Plan transfers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115,346,322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160" w:type="dxa"/>
            <w:vAlign w:val="bottom"/>
            <w:gridSpan w:val="2"/>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71,915,540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1,136,089,872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1,208,005,412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5"/>
          <w:szCs w:val="25"/>
          <w:color w:val="auto"/>
        </w:rPr>
        <w:t>Notes to Financial Statements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5"/>
          <w:szCs w:val="25"/>
          <w:color w:val="auto"/>
        </w:rPr>
        <w:t>December 31, 2005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Plan is a defined contribution plan available to all eligible employees, and their beneficiaries, of Waste Management, Inc., and subsidiaries (“Waste Management” or the “Company”). The Plan is subject to the provisions of the Employee Retirement Income Security Act of 1974, as amended (“ERISA”).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CitiStreet LLC (“CitiStreet”), an affiliate of State Street, serves as record keeper.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Employees are eligible to participate in the Plan following completion of a 90-day period of service (as defined by the Plan).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Employees of the Company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 (e) certain nonresident aliens who have no earned income from sources within the United States of America and (f) individuals who are participants in any other pension, retirement, profit-sharing, stock bonus, thrift or savings plan maintained by the Company other than the Waste Management Pension Plan for Collectively Bargained Employees or such other plans as may from time to time be determined by the Administrative Committee. Certain United States citizens employed by foreign affiliates of the Company may participate in the Plan under certain provisions specified by the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Effective January 1, 2005, participants may contribute from 1 percent to 25 percent of their pre-tax compensation, as defined by the Plan (“Employee Contribution”), not to exceed certain limits as described in the Plan document. After-tax contributions are not permitted by the Plan. Participants may also contribute amounts representing distributions from other qualified plans (“Rollover Contribution”). The Company matches 100 percent of each participant’s Employee Contribution up to 3 percent of the participant’s compensation, as defined by the Plan, plus 50 percent of the participant’s Employee Contribution in excess of 3 percent of the participant’s compensation up to 6 percent of the participant’s compensation (“Employer Contribution”).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0"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(continued)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three asset allocation models, which are balanced among the six common collective trust funds (with aggressive, moderate and conservative investment objectives as investment options). Several restrictions apply, and a minimum balance is required to participate in the self-managed account. Certain participants’ accounts were invested in convertible notes (the “Notes”). No new investments were permitted in the Notes, and participants could move their investment out of the Notes at any time. The Plan utilizes cash equivalents to temporarily hold monies pending settlement for transactions initiated by participants.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Participants are immediately vested in their Employee Contribution, Rollover Contribution, and Employer Contribution accounts plus earnings thereon.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the participant’s account based upon the participant’s proportionate share of the funds within the Plan.</w:t>
      </w:r>
    </w:p>
    <w:p>
      <w:pPr>
        <w:spacing w:after="0" w:line="7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During 2005, certain participants’ account balances totaling approximately $29,000 were transferred from the Plan to the Waste Management Retirement Savings Plan for Bargaining Unit Employees (the “Union Plan”) as a result of a change in the participants’ union membership status.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6 months after receiving the hardship distribution.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ind w:right="880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(continued) Loans</w:t>
      </w:r>
    </w:p>
    <w:p>
      <w:pPr>
        <w:spacing w:after="0" w:line="286"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w:t>
      </w:r>
    </w:p>
    <w:p>
      <w:pPr>
        <w:spacing w:after="0" w:line="2" w:lineRule="exact"/>
        <w:rPr>
          <w:sz w:val="20"/>
          <w:szCs w:val="20"/>
          <w:color w:val="auto"/>
        </w:rPr>
      </w:pPr>
    </w:p>
    <w:p>
      <w:pPr>
        <w:jc w:val="both"/>
        <w:ind w:right="460" w:firstLine="8"/>
        <w:spacing w:after="0" w:line="295"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existed prior to January 1, 1999, (b) result from a merger of another plan into this Plan or (c)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which requires level amortization of principal and repayments no less frequently than quarterly. Such loans must be repaid over a period not to exceed 54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electing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2005, the Company elected to pay certain audit and legal fees of the Plan.</w:t>
      </w:r>
    </w:p>
    <w:p>
      <w:pPr>
        <w:spacing w:after="0" w:line="169" w:lineRule="exact"/>
        <w:rPr>
          <w:sz w:val="20"/>
          <w:szCs w:val="20"/>
          <w:color w:val="auto"/>
        </w:rPr>
      </w:pPr>
    </w:p>
    <w:p>
      <w:pPr>
        <w:ind w:right="870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42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 Benefits are recorded when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preparation of the financial statements, and accompanying notes and schedules,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which cannot be calculated with a high degree of precision from available data or simply cannot be readily calculated based on generally accepted methodologies. In some cases, management must exercise significant judgment. Actual results could differ from those estimates.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0"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ind w:right="780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(continued) Investments</w:t>
      </w:r>
    </w:p>
    <w:p>
      <w:pPr>
        <w:spacing w:after="0" w:line="254" w:lineRule="auto"/>
        <w:rPr>
          <w:sz w:val="20"/>
          <w:szCs w:val="20"/>
          <w:color w:val="auto"/>
        </w:rPr>
      </w:pPr>
      <w:r>
        <w:rPr>
          <w:rFonts w:ascii="Arial" w:cs="Arial" w:eastAsia="Arial" w:hAnsi="Arial"/>
          <w:sz w:val="18"/>
          <w:szCs w:val="18"/>
          <w:color w:val="auto"/>
        </w:rPr>
        <w:t>The purpose of the Master Trust is the collective investment of the assets of participating employee benefit plans of the Company.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convertible notes and mutual funds held by the Master Trust are stated at fair value based on quoted market prices as of the financial statement date. The fair values of the common collective trust funds held by the Master Trust are established by State Street based on quoted market prices of the underlying assets. Short-term investments and loans to participants are stated at cost, which approximates fair value. The Master Trust records purchases and sales of securities on a trade-date basis and dividends on the ex-dividend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Plan investments are held in the Master Trust along with another Company-sponsored retirement plan, the Union Plan. As of December 31, 2005 and 2004, the Plan’s beneficial interest in the net assets of the Master Trust was 99.75% and 99.79%, respectively.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060" w:type="dxa"/>
            <w:vAlign w:val="bottom"/>
            <w:gridSpan w:val="2"/>
          </w:tcPr>
          <w:p>
            <w:pPr>
              <w:jc w:val="right"/>
              <w:ind w:right="333"/>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5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9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collective trust funds</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$ 1,031,764,628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952,914,406</w:t>
            </w:r>
          </w:p>
        </w:tc>
      </w:tr>
      <w:tr>
        <w:trPr>
          <w:trHeight w:val="216"/>
        </w:trPr>
        <w:tc>
          <w:tcPr>
            <w:tcW w:w="20" w:type="dxa"/>
            <w:vAlign w:val="bottom"/>
          </w:tcPr>
          <w:p>
            <w:pPr>
              <w:spacing w:after="0"/>
              <w:rPr>
                <w:sz w:val="18"/>
                <w:szCs w:val="18"/>
                <w:color w:val="auto"/>
              </w:rPr>
            </w:pPr>
          </w:p>
        </w:tc>
        <w:tc>
          <w:tcPr>
            <w:tcW w:w="4460" w:type="dxa"/>
            <w:vAlign w:val="bottom"/>
          </w:tcPr>
          <w:p>
            <w:pPr>
              <w:ind w:left="400"/>
              <w:spacing w:after="0"/>
              <w:rPr>
                <w:sz w:val="20"/>
                <w:szCs w:val="20"/>
                <w:color w:val="auto"/>
              </w:rPr>
            </w:pPr>
            <w:r>
              <w:rPr>
                <w:rFonts w:ascii="Arial" w:cs="Arial" w:eastAsia="Arial" w:hAnsi="Arial"/>
                <w:sz w:val="18"/>
                <w:szCs w:val="18"/>
                <w:color w:val="auto"/>
              </w:rPr>
              <w:t>Short-term investments</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2,060,205</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10,111,033</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8,856,730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10,531,517</w:t>
            </w:r>
          </w:p>
        </w:tc>
      </w:tr>
      <w:tr>
        <w:trPr>
          <w:trHeight w:val="216"/>
        </w:trPr>
        <w:tc>
          <w:tcPr>
            <w:tcW w:w="20" w:type="dxa"/>
            <w:vAlign w:val="bottom"/>
          </w:tcPr>
          <w:p>
            <w:pPr>
              <w:spacing w:after="0"/>
              <w:rPr>
                <w:sz w:val="18"/>
                <w:szCs w:val="18"/>
                <w:color w:val="auto"/>
              </w:rPr>
            </w:pPr>
          </w:p>
        </w:tc>
        <w:tc>
          <w:tcPr>
            <w:tcW w:w="446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97,263,653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98,185,160</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Convertible notes</w:t>
            </w:r>
          </w:p>
        </w:tc>
        <w:tc>
          <w:tcPr>
            <w:tcW w:w="39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1,084,133</w:t>
            </w:r>
          </w:p>
        </w:tc>
      </w:tr>
      <w:tr>
        <w:trPr>
          <w:trHeight w:val="216"/>
        </w:trPr>
        <w:tc>
          <w:tcPr>
            <w:tcW w:w="20" w:type="dxa"/>
            <w:vAlign w:val="bottom"/>
          </w:tcPr>
          <w:p>
            <w:pPr>
              <w:spacing w:after="0"/>
              <w:rPr>
                <w:sz w:val="18"/>
                <w:szCs w:val="18"/>
                <w:color w:val="auto"/>
              </w:rPr>
            </w:pPr>
          </w:p>
        </w:tc>
        <w:tc>
          <w:tcPr>
            <w:tcW w:w="4460" w:type="dxa"/>
            <w:vAlign w:val="bottom"/>
          </w:tcPr>
          <w:p>
            <w:pPr>
              <w:ind w:left="400"/>
              <w:spacing w:after="0"/>
              <w:rPr>
                <w:sz w:val="20"/>
                <w:szCs w:val="20"/>
                <w:color w:val="auto"/>
              </w:rPr>
            </w:pPr>
            <w:r>
              <w:rPr>
                <w:rFonts w:ascii="Arial" w:cs="Arial" w:eastAsia="Arial" w:hAnsi="Arial"/>
                <w:sz w:val="18"/>
                <w:szCs w:val="18"/>
                <w:color w:val="auto"/>
              </w:rPr>
              <w:t>Mutual funds</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11,526,233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9,277,001</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366,109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75,098</w:t>
            </w:r>
          </w:p>
        </w:tc>
      </w:tr>
      <w:tr>
        <w:trPr>
          <w:trHeight w:val="224"/>
        </w:trPr>
        <w:tc>
          <w:tcPr>
            <w:tcW w:w="20" w:type="dxa"/>
            <w:vAlign w:val="bottom"/>
          </w:tcPr>
          <w:p>
            <w:pPr>
              <w:spacing w:after="0"/>
              <w:rPr>
                <w:sz w:val="19"/>
                <w:szCs w:val="19"/>
                <w:color w:val="auto"/>
              </w:rPr>
            </w:pPr>
          </w:p>
        </w:tc>
        <w:tc>
          <w:tcPr>
            <w:tcW w:w="4460" w:type="dxa"/>
            <w:vAlign w:val="bottom"/>
          </w:tcPr>
          <w:p>
            <w:pPr>
              <w:ind w:left="600"/>
              <w:spacing w:after="0"/>
              <w:rPr>
                <w:sz w:val="20"/>
                <w:szCs w:val="20"/>
                <w:color w:val="auto"/>
              </w:rPr>
            </w:pPr>
            <w:r>
              <w:rPr>
                <w:rFonts w:ascii="Arial" w:cs="Arial" w:eastAsia="Arial" w:hAnsi="Arial"/>
                <w:sz w:val="18"/>
                <w:szCs w:val="18"/>
                <w:color w:val="auto"/>
              </w:rPr>
              <w:t>Total investments</w:t>
            </w:r>
          </w:p>
        </w:tc>
        <w:tc>
          <w:tcPr>
            <w:tcW w:w="39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1,151,837,558</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1,082,178,348</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receivable</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296,094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290,675</w:t>
            </w: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1,100,499</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924,635</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non-interest bearing</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25,188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101,941</w:t>
            </w:r>
          </w:p>
        </w:tc>
      </w:tr>
      <w:tr>
        <w:trPr>
          <w:trHeight w:val="230"/>
        </w:trPr>
        <w:tc>
          <w:tcPr>
            <w:tcW w:w="20" w:type="dxa"/>
            <w:vAlign w:val="bottom"/>
          </w:tcPr>
          <w:p>
            <w:pPr>
              <w:spacing w:after="0"/>
              <w:rPr>
                <w:sz w:val="20"/>
                <w:szCs w:val="20"/>
                <w:color w:val="auto"/>
              </w:rPr>
            </w:pPr>
          </w:p>
        </w:tc>
        <w:tc>
          <w:tcPr>
            <w:tcW w:w="446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39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1,153,259,339</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1,083,495,599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Administrative fees payable</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1,119,106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899,646</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purchased payable</w:t>
            </w:r>
          </w:p>
        </w:tc>
        <w:tc>
          <w:tcPr>
            <w:tcW w:w="39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136,772</w:t>
            </w:r>
          </w:p>
        </w:tc>
      </w:tr>
      <w:tr>
        <w:trPr>
          <w:trHeight w:val="230"/>
        </w:trPr>
        <w:tc>
          <w:tcPr>
            <w:tcW w:w="20" w:type="dxa"/>
            <w:vAlign w:val="bottom"/>
          </w:tcPr>
          <w:p>
            <w:pPr>
              <w:spacing w:after="0"/>
              <w:rPr>
                <w:sz w:val="20"/>
                <w:szCs w:val="20"/>
                <w:color w:val="auto"/>
              </w:rPr>
            </w:pPr>
          </w:p>
        </w:tc>
        <w:tc>
          <w:tcPr>
            <w:tcW w:w="446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9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1,119,106</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1,036,418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net assets</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1,152,140,233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1,082,459,181</w:t>
            </w:r>
          </w:p>
        </w:tc>
      </w:tr>
      <w:tr>
        <w:trPr>
          <w:trHeight w:val="20"/>
        </w:trPr>
        <w:tc>
          <w:tcPr>
            <w:tcW w:w="44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480" w:type="dxa"/>
            <w:vAlign w:val="bottom"/>
            <w:gridSpan w:val="2"/>
          </w:tcPr>
          <w:p>
            <w:pPr>
              <w:spacing w:after="0"/>
              <w:rPr>
                <w:sz w:val="20"/>
                <w:szCs w:val="20"/>
                <w:color w:val="auto"/>
              </w:rPr>
            </w:pPr>
            <w:r>
              <w:rPr>
                <w:rFonts w:ascii="Arial" w:cs="Arial" w:eastAsia="Arial" w:hAnsi="Arial"/>
                <w:sz w:val="18"/>
                <w:szCs w:val="18"/>
                <w:color w:val="auto"/>
              </w:rPr>
              <w:t>Plan interest</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$ 1,149,255,011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1,080,223,306</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Union Plan interest</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2,885,222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2,235,875</w:t>
            </w:r>
          </w:p>
        </w:tc>
      </w:tr>
      <w:tr>
        <w:trPr>
          <w:trHeight w:val="40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20" w:type="dxa"/>
            <w:vAlign w:val="bottom"/>
          </w:tcPr>
          <w:p>
            <w:pPr>
              <w:jc w:val="right"/>
              <w:ind w:right="2551"/>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2005,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$ 11,384,159</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Dividends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550,004</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Dividends — Waste Management, Inc. common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2,656,299</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Other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142,113</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appreciation/(depreciation) in fair value of-</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Common collective trust funds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50,468,392</w:t>
            </w: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stocks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(1,700,322)</w:t>
            </w: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Waste Management, Inc. common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1,642,295</w:t>
            </w: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notes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37,867</w:t>
            </w: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381,216</w:t>
            </w: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368,852</w:t>
            </w:r>
          </w:p>
        </w:tc>
      </w:tr>
      <w:tr>
        <w:trPr>
          <w:trHeight w:val="224"/>
        </w:trPr>
        <w:tc>
          <w:tcPr>
            <w:tcW w:w="10400" w:type="dxa"/>
            <w:vAlign w:val="bottom"/>
          </w:tcPr>
          <w:p>
            <w:pPr>
              <w:ind w:left="420"/>
              <w:spacing w:after="0"/>
              <w:rPr>
                <w:sz w:val="20"/>
                <w:szCs w:val="20"/>
                <w:color w:val="auto"/>
              </w:rPr>
            </w:pPr>
            <w:r>
              <w:rPr>
                <w:rFonts w:ascii="Arial" w:cs="Arial" w:eastAsia="Arial" w:hAnsi="Arial"/>
                <w:sz w:val="18"/>
                <w:szCs w:val="18"/>
                <w:color w:val="auto"/>
              </w:rPr>
              <w:t>Total net appreciation in fair value of investments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51,198,300</w:t>
            </w:r>
          </w:p>
        </w:tc>
        <w:tc>
          <w:tcPr>
            <w:tcW w:w="100" w:type="dxa"/>
            <w:vAlign w:val="bottom"/>
          </w:tcPr>
          <w:p>
            <w:pPr>
              <w:spacing w:after="0"/>
              <w:rPr>
                <w:sz w:val="19"/>
                <w:szCs w:val="19"/>
                <w:color w:val="auto"/>
              </w:rPr>
            </w:pPr>
          </w:p>
        </w:tc>
      </w:tr>
      <w:tr>
        <w:trPr>
          <w:trHeight w:val="215"/>
        </w:trPr>
        <w:tc>
          <w:tcPr>
            <w:tcW w:w="10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investment gain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65,930,875</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Administrative fees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(4,753,044)</w:t>
            </w:r>
          </w:p>
        </w:tc>
      </w:tr>
      <w:tr>
        <w:trPr>
          <w:trHeight w:val="223"/>
        </w:trPr>
        <w:tc>
          <w:tcPr>
            <w:tcW w:w="104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gain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61,177,831</w:t>
            </w:r>
          </w:p>
        </w:tc>
        <w:tc>
          <w:tcPr>
            <w:tcW w:w="100" w:type="dxa"/>
            <w:vAlign w:val="bottom"/>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400" w:type="dxa"/>
            <w:vAlign w:val="bottom"/>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$61,016,027</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Union Plan interest in investment gain from the Master Trust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Federal Income Taxes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Plan has received a determination letter from the Internal Revenue Service (“IRS”) dated June 20, 2002,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administrator believes the Plan is being operated in compliance with the applicable requirements of the Code and, therefore, believes that the Plan, as amended, is qualified and the related trust is tax exempt.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2005 and 2004: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$ 1,208,005,412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$ 1,136,089,872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Less- Amounts pending distribution to participants</w:t>
            </w: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(784,276)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1,207,221,136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1,136,020,221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benefits paid to participants per the financial statements to the Form 5500 for the year ended December 31, 2005: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Benefits paid to participants per the financial statements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$ 115,317,070</w:t>
            </w:r>
          </w:p>
        </w:tc>
        <w:tc>
          <w:tcPr>
            <w:tcW w:w="80" w:type="dxa"/>
            <w:vAlign w:val="bottom"/>
            <w:shd w:val="clear" w:color="auto" w:fill="CCEEFF"/>
          </w:tcPr>
          <w:p>
            <w:pPr>
              <w:spacing w:after="0"/>
              <w:rPr>
                <w:sz w:val="18"/>
                <w:szCs w:val="18"/>
                <w:color w:val="auto"/>
              </w:rPr>
            </w:pPr>
          </w:p>
        </w:tc>
      </w:tr>
      <w:tr>
        <w:trPr>
          <w:trHeight w:val="216"/>
        </w:trPr>
        <w:tc>
          <w:tcPr>
            <w:tcW w:w="10300" w:type="dxa"/>
            <w:vAlign w:val="bottom"/>
          </w:tcPr>
          <w:p>
            <w:pPr>
              <w:ind w:left="220"/>
              <w:spacing w:after="0"/>
              <w:rPr>
                <w:sz w:val="20"/>
                <w:szCs w:val="20"/>
                <w:color w:val="auto"/>
              </w:rPr>
            </w:pPr>
            <w:r>
              <w:rPr>
                <w:rFonts w:ascii="Arial" w:cs="Arial" w:eastAsia="Arial" w:hAnsi="Arial"/>
                <w:sz w:val="18"/>
                <w:szCs w:val="18"/>
                <w:color w:val="auto"/>
              </w:rPr>
              <w:t>Add — Amounts pending distribution to participants at December 31, 2005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784,276</w:t>
            </w:r>
          </w:p>
        </w:tc>
        <w:tc>
          <w:tcPr>
            <w:tcW w:w="80" w:type="dxa"/>
            <w:vAlign w:val="bottom"/>
          </w:tcPr>
          <w:p>
            <w:pPr>
              <w:spacing w:after="0"/>
              <w:rPr>
                <w:sz w:val="18"/>
                <w:szCs w:val="18"/>
                <w:color w:val="auto"/>
              </w:rPr>
            </w:pPr>
          </w:p>
        </w:tc>
      </w:tr>
      <w:tr>
        <w:trPr>
          <w:trHeight w:val="216"/>
        </w:trPr>
        <w:tc>
          <w:tcPr>
            <w:tcW w:w="10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 Amounts pending distribution to participants at December 31, 2004</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(69,651)</w:t>
            </w:r>
          </w:p>
        </w:tc>
      </w:tr>
      <w:tr>
        <w:trPr>
          <w:trHeight w:val="223"/>
        </w:trPr>
        <w:tc>
          <w:tcPr>
            <w:tcW w:w="10300" w:type="dxa"/>
            <w:vAlign w:val="bottom"/>
          </w:tcPr>
          <w:p>
            <w:pPr>
              <w:spacing w:after="0"/>
              <w:rPr>
                <w:sz w:val="20"/>
                <w:szCs w:val="20"/>
                <w:color w:val="auto"/>
              </w:rPr>
            </w:pPr>
            <w:r>
              <w:rPr>
                <w:rFonts w:ascii="Arial" w:cs="Arial" w:eastAsia="Arial" w:hAnsi="Arial"/>
                <w:sz w:val="18"/>
                <w:szCs w:val="18"/>
                <w:color w:val="auto"/>
              </w:rPr>
              <w:t>Benefits paid to participants per the Form 5500</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$ 116,031,695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2002, a lawsuit was filed against the Plan (as successor to the savings plan sponsored by Waste Management Holdings), Waste Management Holdings, and certain fiduciaries of the savings plan sponsored by Waste Management Holdings and of the Plan (“Plan Defendants”) in the United States District Court for the District of Columbia (the “D.C. Case”). After first asserting broader claims as to the Plan, the plaintiffs in the D.C. Case now purport to file their complaint against Plan Defendants on behalf of those Plan participants for whose account the Plan’s fiduciaries acquired Waste Management Holdings common stock between January 1990 and February 24, 1998, the date of the restatement of previously issued financial statements by Waste Management Holdings. The plaintiffs in the D.C. Case allege that the prices at which the Plan purchased the stock were artificially inflated by omissions of a material nature about Waste Management Holdings’ financial condition and that the stock of Waste Management Holdings should not have been an investment option. The plaintiffs in the D.C. Case also allege that certain of the defendants breached a variety of ERISA requirements by, among other things, electing to participate in the Illinois securities class action settlement related to a time frame ending February 24, 1998, rather than opting out of the settlements to assert distinct ERISA claims that did not apply to other members of the settlement class.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 (continued)</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Illinois securities class action arose from Waste Management Holdings’ February 1998 restatement of prior period earnings and charge to fourth quarter 1997 earnings. The parties to the Illinois securities class action agreed to a settlement that became final in 1999 (the “Illinois Settlement”). The Plan participated in the settlement class and, in 2000, a share of the settlement proceeds was placed into the trust of the Plan.</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defendants in the D.C. Case assert that most, if not all, of the plaintiffs’ causes of action have been released as a result of the Illinois Settlement or are time-barred. The defendants have filed a motion to dismiss the plaintiffs’ amended complaint. The outcome of this lawsuit cannot be predicted with certainty, and these matters could impact the Plan’s net assets available for benefits. The Plan and the other defendants intend to defend themselves vigorously in this litigation.</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22"/>
          <w:szCs w:val="22"/>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434975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Schedule H, Line 4(i) – Schedule of Assets (Held At End of Year)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PN: 001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Identity of Issue</w:t>
            </w:r>
          </w:p>
        </w:tc>
        <w:tc>
          <w:tcPr>
            <w:tcW w:w="44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Description of Investment</w:t>
            </w:r>
          </w:p>
        </w:tc>
        <w:tc>
          <w:tcPr>
            <w:tcW w:w="34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Current Value</w:t>
            </w:r>
          </w:p>
        </w:tc>
      </w:tr>
      <w:tr>
        <w:trPr>
          <w:trHeight w:val="209"/>
        </w:trPr>
        <w:tc>
          <w:tcPr>
            <w:tcW w:w="280" w:type="dxa"/>
            <w:vAlign w:val="bottom"/>
          </w:tcPr>
          <w:p>
            <w:pPr>
              <w:spacing w:after="0"/>
              <w:rPr>
                <w:sz w:val="18"/>
                <w:szCs w:val="18"/>
                <w:color w:val="auto"/>
              </w:rPr>
            </w:pPr>
          </w:p>
        </w:tc>
        <w:tc>
          <w:tcPr>
            <w:tcW w:w="32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*Participant Loans</w:t>
            </w: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1"/>
              </w:rPr>
              <w:t>Various maturity dates with</w:t>
            </w:r>
          </w:p>
        </w:tc>
        <w:tc>
          <w:tcPr>
            <w:tcW w:w="3420" w:type="dxa"/>
            <w:vAlign w:val="bottom"/>
          </w:tcPr>
          <w:p>
            <w:pPr>
              <w:ind w:left="1260"/>
              <w:spacing w:after="0"/>
              <w:rPr>
                <w:sz w:val="20"/>
                <w:szCs w:val="20"/>
                <w:color w:val="auto"/>
              </w:rPr>
            </w:pPr>
            <w:r>
              <w:rPr>
                <w:rFonts w:ascii="Arial" w:cs="Arial" w:eastAsia="Arial" w:hAnsi="Arial"/>
                <w:sz w:val="18"/>
                <w:szCs w:val="18"/>
                <w:color w:val="auto"/>
              </w:rPr>
              <w:t>$55,646,569</w:t>
            </w:r>
          </w:p>
        </w:tc>
      </w:tr>
      <w:tr>
        <w:trPr>
          <w:trHeight w:val="216"/>
        </w:trPr>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0"/>
              </w:rPr>
              <w:t>interest rates ranging from</w:t>
            </w:r>
          </w:p>
        </w:tc>
        <w:tc>
          <w:tcPr>
            <w:tcW w:w="342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0"/>
              </w:rPr>
              <w:t>5.0% to 11.0%</w:t>
            </w:r>
          </w:p>
        </w:tc>
        <w:tc>
          <w:tcPr>
            <w:tcW w:w="3420" w:type="dxa"/>
            <w:vAlign w:val="bottom"/>
          </w:tcPr>
          <w:p>
            <w:pPr>
              <w:spacing w:after="0"/>
              <w:rPr>
                <w:sz w:val="20"/>
                <w:szCs w:val="20"/>
                <w:color w:val="auto"/>
              </w:rPr>
            </w:pPr>
          </w:p>
        </w:tc>
      </w:tr>
      <w:tr>
        <w:trPr>
          <w:trHeight w:val="297"/>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7"/>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8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44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40" w:type="dxa"/>
            <w:vAlign w:val="bottom"/>
          </w:tcPr>
          <w:p>
            <w:pPr>
              <w:jc w:val="center"/>
              <w:ind w:right="54"/>
              <w:spacing w:after="0"/>
              <w:rPr>
                <w:sz w:val="20"/>
                <w:szCs w:val="20"/>
                <w:color w:val="auto"/>
              </w:rPr>
            </w:pPr>
            <w:r>
              <w:rPr>
                <w:rFonts w:ascii="Arial" w:cs="Arial" w:eastAsia="Arial" w:hAnsi="Arial"/>
                <w:sz w:val="18"/>
                <w:szCs w:val="18"/>
                <w:color w:val="auto"/>
                <w:w w:val="89"/>
              </w:rPr>
              <w:t>13</w:t>
            </w:r>
          </w:p>
        </w:tc>
        <w:tc>
          <w:tcPr>
            <w:tcW w:w="342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June 27, 2006</w:t>
      </w:r>
      <w:r>
        <w:rPr>
          <w:sz w:val="20"/>
          <w:szCs w:val="20"/>
          <w:color w:val="auto"/>
        </w:rPr>
        <w:tab/>
      </w:r>
      <w:r>
        <w:rPr>
          <w:rFonts w:ascii="Arial" w:cs="Arial" w:eastAsia="Arial" w:hAnsi="Arial"/>
          <w:sz w:val="17"/>
          <w:szCs w:val="17"/>
          <w:color w:val="auto"/>
        </w:rPr>
        <w:t>WASTE MANAGEMENT RETIREMENT SAVINGS PLAN</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Krista DelSota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Krista DelSota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Compensation and Benefits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Member, Administrative Committee of the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Waste Management Employee Benefit Plans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58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91"/>
        </w:trPr>
        <w:tc>
          <w:tcPr>
            <w:tcW w:w="920" w:type="dxa"/>
            <w:vAlign w:val="bottom"/>
          </w:tcPr>
          <w:p>
            <w:pPr>
              <w:spacing w:after="0"/>
              <w:rPr>
                <w:sz w:val="24"/>
                <w:szCs w:val="24"/>
                <w:color w:val="auto"/>
              </w:rPr>
            </w:pPr>
          </w:p>
        </w:tc>
        <w:tc>
          <w:tcPr>
            <w:tcW w:w="10500" w:type="dxa"/>
            <w:vAlign w:val="bottom"/>
            <w:gridSpan w:val="2"/>
          </w:tcPr>
          <w:p>
            <w:pPr>
              <w:jc w:val="right"/>
              <w:ind w:right="553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333-45062) pertaining to the Waste Management Retirement Savings Plan of our report dated May 30, 2006, with respect to the financial statements and schedule of the Waste Management Retirement Savings Plan included in this Annual Report (Form 11-K) for the year ended December 31, 2005.</w:t>
      </w:r>
    </w:p>
    <w:p>
      <w:pPr>
        <w:spacing w:after="0" w:line="181"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2019-12-20T04:08:33Z</dcterms:created>
  <dcterms:modified xsi:type="dcterms:W3CDTF">2019-12-20T04:08:33Z</dcterms:modified>
</cp:coreProperties>
</file>