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9380"/>
        <w:spacing w:after="0"/>
        <w:rPr>
          <w:sz w:val="20"/>
          <w:szCs w:val="20"/>
          <w:color w:val="auto"/>
        </w:rPr>
      </w:pPr>
      <w:r>
        <w:rPr>
          <w:rFonts w:ascii="Arial" w:cs="Arial" w:eastAsia="Arial" w:hAnsi="Arial"/>
          <w:sz w:val="12"/>
          <w:szCs w:val="12"/>
          <w:b w:val="1"/>
          <w:bCs w:val="1"/>
          <w:color w:val="auto"/>
        </w:rPr>
        <w:t>Filed Pursuant to Rule 424(b)(3)</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File No. 333-231027</w:t>
      </w:r>
    </w:p>
    <w:p>
      <w:pPr>
        <w:spacing w:after="0" w:line="199"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EF505F"/>
        </w:rPr>
        <w:t>SUBJECT TO COMPLETION, DATED NOVEMBER 5, 2020</w:t>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b w:val="1"/>
          <w:bCs w:val="1"/>
          <w:u w:val="single" w:color="auto"/>
          <w:color w:val="auto"/>
        </w:rPr>
        <w:t>Prospectus Supplement</w:t>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 Prospectus dated April 25, 2019)</w:t>
      </w:r>
    </w:p>
    <w:p>
      <w:pPr>
        <w:spacing w:after="0" w:line="186" w:lineRule="exact"/>
        <w:rPr>
          <w:sz w:val="24"/>
          <w:szCs w:val="24"/>
          <w:color w:val="auto"/>
        </w:rPr>
      </w:pPr>
    </w:p>
    <w:p>
      <w:pPr>
        <w:ind w:left="5140"/>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147955</wp:posOffset>
            </wp:positionV>
            <wp:extent cx="276034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5160" w:hanging="1396"/>
        <w:spacing w:after="0"/>
        <w:tabs>
          <w:tab w:leader="none" w:pos="51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2025</w:t>
      </w:r>
    </w:p>
    <w:p>
      <w:pPr>
        <w:spacing w:after="0" w:line="4" w:lineRule="exact"/>
        <w:rPr>
          <w:sz w:val="24"/>
          <w:szCs w:val="24"/>
          <w:color w:val="auto"/>
        </w:rPr>
      </w:pPr>
    </w:p>
    <w:p>
      <w:pPr>
        <w:ind w:left="5160" w:hanging="1396"/>
        <w:spacing w:after="0"/>
        <w:tabs>
          <w:tab w:leader="none" w:pos="51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2028</w:t>
      </w:r>
    </w:p>
    <w:p>
      <w:pPr>
        <w:ind w:left="5160" w:hanging="1396"/>
        <w:spacing w:after="0" w:line="230" w:lineRule="auto"/>
        <w:tabs>
          <w:tab w:leader="none" w:pos="51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2031</w:t>
      </w:r>
    </w:p>
    <w:p>
      <w:pPr>
        <w:spacing w:after="0" w:line="1" w:lineRule="exact"/>
        <w:rPr>
          <w:sz w:val="24"/>
          <w:szCs w:val="24"/>
          <w:color w:val="auto"/>
        </w:rPr>
      </w:pPr>
    </w:p>
    <w:p>
      <w:pPr>
        <w:ind w:left="5160" w:hanging="1396"/>
        <w:spacing w:after="0"/>
        <w:tabs>
          <w:tab w:leader="none" w:pos="51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 Senior Notes due 2050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132715</wp:posOffset>
            </wp:positionV>
            <wp:extent cx="18002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340"/>
        <w:spacing w:after="0"/>
        <w:tabs>
          <w:tab w:leader="none" w:pos="1680" w:val="left"/>
          <w:tab w:leader="none" w:pos="3940" w:val="left"/>
          <w:tab w:leader="none" w:pos="4540" w:val="left"/>
          <w:tab w:leader="none" w:pos="7440" w:val="left"/>
          <w:tab w:leader="none" w:pos="8020" w:val="left"/>
          <w:tab w:leader="none" w:pos="10920" w:val="left"/>
        </w:tabs>
        <w:rPr>
          <w:sz w:val="20"/>
          <w:szCs w:val="20"/>
          <w:color w:val="auto"/>
        </w:rPr>
      </w:pPr>
      <w:r>
        <w:rPr>
          <w:rFonts w:ascii="Arial" w:cs="Arial" w:eastAsia="Arial" w:hAnsi="Arial"/>
          <w:sz w:val="13"/>
          <w:szCs w:val="13"/>
          <w:color w:val="auto"/>
        </w:rPr>
        <w:t>We are offering $</w:t>
      </w:r>
      <w:r>
        <w:rPr>
          <w:sz w:val="20"/>
          <w:szCs w:val="20"/>
          <w:color w:val="auto"/>
        </w:rPr>
        <w:tab/>
      </w:r>
      <w:r>
        <w:rPr>
          <w:rFonts w:ascii="Arial" w:cs="Arial" w:eastAsia="Arial" w:hAnsi="Arial"/>
          <w:sz w:val="13"/>
          <w:szCs w:val="13"/>
          <w:color w:val="auto"/>
        </w:rPr>
        <w:t>of our senior notes, consisting of $</w:t>
      </w:r>
      <w:r>
        <w:rPr>
          <w:sz w:val="20"/>
          <w:szCs w:val="20"/>
          <w:color w:val="auto"/>
        </w:rPr>
        <w:tab/>
      </w:r>
      <w:r>
        <w:rPr>
          <w:rFonts w:ascii="Arial" w:cs="Arial" w:eastAsia="Arial" w:hAnsi="Arial"/>
          <w:sz w:val="13"/>
          <w:szCs w:val="13"/>
          <w:color w:val="auto"/>
        </w:rPr>
        <w:t>of our</w:t>
      </w:r>
      <w:r>
        <w:rPr>
          <w:sz w:val="20"/>
          <w:szCs w:val="20"/>
          <w:color w:val="auto"/>
        </w:rPr>
        <w:tab/>
      </w:r>
      <w:r>
        <w:rPr>
          <w:rFonts w:ascii="Arial" w:cs="Arial" w:eastAsia="Arial" w:hAnsi="Arial"/>
          <w:sz w:val="13"/>
          <w:szCs w:val="13"/>
          <w:color w:val="auto"/>
        </w:rPr>
        <w:t>% senior notes due 2025 (the "2025 notes"), $</w:t>
      </w:r>
      <w:r>
        <w:rPr>
          <w:sz w:val="20"/>
          <w:szCs w:val="20"/>
          <w:color w:val="auto"/>
        </w:rPr>
        <w:tab/>
      </w:r>
      <w:r>
        <w:rPr>
          <w:rFonts w:ascii="Arial" w:cs="Arial" w:eastAsia="Arial" w:hAnsi="Arial"/>
          <w:sz w:val="13"/>
          <w:szCs w:val="13"/>
          <w:color w:val="auto"/>
        </w:rPr>
        <w:t>of our</w:t>
      </w:r>
      <w:r>
        <w:rPr>
          <w:sz w:val="20"/>
          <w:szCs w:val="20"/>
          <w:color w:val="auto"/>
        </w:rPr>
        <w:tab/>
      </w:r>
      <w:r>
        <w:rPr>
          <w:rFonts w:ascii="Arial" w:cs="Arial" w:eastAsia="Arial" w:hAnsi="Arial"/>
          <w:sz w:val="13"/>
          <w:szCs w:val="13"/>
          <w:color w:val="auto"/>
        </w:rPr>
        <w:t>% senior notes due 2028 (the "2028 notes"), $</w:t>
      </w:r>
      <w:r>
        <w:rPr>
          <w:sz w:val="20"/>
          <w:szCs w:val="20"/>
          <w:color w:val="auto"/>
        </w:rPr>
        <w:tab/>
      </w:r>
      <w:r>
        <w:rPr>
          <w:rFonts w:ascii="Arial" w:cs="Arial" w:eastAsia="Arial" w:hAnsi="Arial"/>
          <w:sz w:val="11"/>
          <w:szCs w:val="11"/>
          <w:color w:val="auto"/>
        </w:rPr>
        <w:t>of</w:t>
      </w:r>
    </w:p>
    <w:p>
      <w:pPr>
        <w:spacing w:after="0" w:line="10" w:lineRule="exact"/>
        <w:rPr>
          <w:sz w:val="24"/>
          <w:szCs w:val="24"/>
          <w:color w:val="auto"/>
        </w:rPr>
      </w:pPr>
    </w:p>
    <w:p>
      <w:pPr>
        <w:spacing w:after="0"/>
        <w:tabs>
          <w:tab w:leader="none" w:pos="440" w:val="left"/>
          <w:tab w:leader="none" w:pos="3520" w:val="left"/>
          <w:tab w:leader="none" w:pos="4160" w:val="left"/>
        </w:tabs>
        <w:rPr>
          <w:sz w:val="20"/>
          <w:szCs w:val="20"/>
          <w:color w:val="auto"/>
        </w:rPr>
      </w:pPr>
      <w:r>
        <w:rPr>
          <w:rFonts w:ascii="Arial" w:cs="Arial" w:eastAsia="Arial" w:hAnsi="Arial"/>
          <w:sz w:val="13"/>
          <w:szCs w:val="13"/>
          <w:color w:val="auto"/>
        </w:rPr>
        <w:t>our</w:t>
      </w:r>
      <w:r>
        <w:rPr>
          <w:sz w:val="20"/>
          <w:szCs w:val="20"/>
          <w:color w:val="auto"/>
        </w:rPr>
        <w:tab/>
      </w:r>
      <w:r>
        <w:rPr>
          <w:rFonts w:ascii="Arial" w:cs="Arial" w:eastAsia="Arial" w:hAnsi="Arial"/>
          <w:sz w:val="13"/>
          <w:szCs w:val="13"/>
          <w:color w:val="auto"/>
        </w:rPr>
        <w:t>% senior notes due 2031 (the "2031 notes") and $</w:t>
      </w:r>
      <w:r>
        <w:rPr>
          <w:sz w:val="20"/>
          <w:szCs w:val="20"/>
          <w:color w:val="auto"/>
        </w:rPr>
        <w:tab/>
      </w:r>
      <w:r>
        <w:rPr>
          <w:rFonts w:ascii="Arial" w:cs="Arial" w:eastAsia="Arial" w:hAnsi="Arial"/>
          <w:sz w:val="13"/>
          <w:szCs w:val="13"/>
          <w:color w:val="auto"/>
        </w:rPr>
        <w:t>of our</w:t>
      </w:r>
      <w:r>
        <w:rPr>
          <w:sz w:val="20"/>
          <w:szCs w:val="20"/>
          <w:color w:val="auto"/>
        </w:rPr>
        <w:tab/>
      </w:r>
      <w:r>
        <w:rPr>
          <w:rFonts w:ascii="Arial" w:cs="Arial" w:eastAsia="Arial" w:hAnsi="Arial"/>
          <w:sz w:val="12"/>
          <w:szCs w:val="12"/>
          <w:color w:val="auto"/>
        </w:rPr>
        <w:t>% senior notes due 2050 (the "2050 notes" and, collectively with the 2025 notes, the 2028 notes and the 2031 notes, the "notes").</w:t>
      </w:r>
    </w:p>
    <w:p>
      <w:pPr>
        <w:spacing w:after="0"/>
        <w:tabs>
          <w:tab w:leader="none" w:pos="3900" w:val="left"/>
          <w:tab w:leader="none" w:pos="6040" w:val="left"/>
          <w:tab w:leader="none" w:pos="6760" w:val="left"/>
          <w:tab w:leader="none" w:pos="8560" w:val="left"/>
        </w:tabs>
        <w:rPr>
          <w:sz w:val="20"/>
          <w:szCs w:val="20"/>
          <w:color w:val="auto"/>
        </w:rPr>
      </w:pPr>
      <w:r>
        <w:rPr>
          <w:rFonts w:ascii="Arial" w:cs="Arial" w:eastAsia="Arial" w:hAnsi="Arial"/>
          <w:sz w:val="13"/>
          <w:szCs w:val="13"/>
          <w:color w:val="auto"/>
        </w:rPr>
        <w:t>Interest on the 2025 notes and the 2050 notes will accrue from</w:t>
      </w:r>
      <w:r>
        <w:rPr>
          <w:sz w:val="20"/>
          <w:szCs w:val="20"/>
          <w:color w:val="auto"/>
        </w:rPr>
        <w:tab/>
      </w:r>
      <w:r>
        <w:rPr>
          <w:rFonts w:ascii="Arial" w:cs="Arial" w:eastAsia="Arial" w:hAnsi="Arial"/>
          <w:sz w:val="13"/>
          <w:szCs w:val="13"/>
          <w:color w:val="auto"/>
        </w:rPr>
        <w:t>, 2020 and will be payable on</w:t>
      </w:r>
      <w:r>
        <w:rPr>
          <w:sz w:val="20"/>
          <w:szCs w:val="20"/>
          <w:color w:val="auto"/>
        </w:rPr>
        <w:tab/>
      </w:r>
      <w:r>
        <w:rPr>
          <w:rFonts w:ascii="Arial" w:cs="Arial" w:eastAsia="Arial" w:hAnsi="Arial"/>
          <w:sz w:val="13"/>
          <w:szCs w:val="13"/>
          <w:color w:val="auto"/>
        </w:rPr>
        <w:t>and</w:t>
      </w:r>
      <w:r>
        <w:rPr>
          <w:sz w:val="20"/>
          <w:szCs w:val="20"/>
          <w:color w:val="auto"/>
        </w:rPr>
        <w:tab/>
      </w:r>
      <w:r>
        <w:rPr>
          <w:rFonts w:ascii="Arial" w:cs="Arial" w:eastAsia="Arial" w:hAnsi="Arial"/>
          <w:sz w:val="13"/>
          <w:szCs w:val="13"/>
          <w:color w:val="auto"/>
        </w:rPr>
        <w:t>of each year, beginning</w:t>
      </w:r>
      <w:r>
        <w:rPr>
          <w:sz w:val="20"/>
          <w:szCs w:val="20"/>
          <w:color w:val="auto"/>
        </w:rPr>
        <w:tab/>
      </w:r>
      <w:r>
        <w:rPr>
          <w:rFonts w:ascii="Arial" w:cs="Arial" w:eastAsia="Arial" w:hAnsi="Arial"/>
          <w:sz w:val="12"/>
          <w:szCs w:val="12"/>
          <w:color w:val="auto"/>
        </w:rPr>
        <w:t>, 2021. Interest on the 2028 notes and the 2031</w:t>
      </w:r>
    </w:p>
    <w:p>
      <w:pPr>
        <w:spacing w:after="0"/>
        <w:tabs>
          <w:tab w:leader="none" w:pos="1740" w:val="left"/>
          <w:tab w:leader="none" w:pos="3880" w:val="left"/>
          <w:tab w:leader="none" w:pos="4600" w:val="left"/>
          <w:tab w:leader="none" w:pos="6400" w:val="left"/>
          <w:tab w:leader="none" w:pos="9000" w:val="left"/>
        </w:tabs>
        <w:rPr>
          <w:sz w:val="20"/>
          <w:szCs w:val="20"/>
          <w:color w:val="auto"/>
        </w:rPr>
      </w:pPr>
      <w:r>
        <w:rPr>
          <w:rFonts w:ascii="Arial" w:cs="Arial" w:eastAsia="Arial" w:hAnsi="Arial"/>
          <w:sz w:val="13"/>
          <w:szCs w:val="13"/>
          <w:color w:val="auto"/>
        </w:rPr>
        <w:t>notes will accrue from</w:t>
      </w:r>
      <w:r>
        <w:rPr>
          <w:sz w:val="20"/>
          <w:szCs w:val="20"/>
          <w:color w:val="auto"/>
        </w:rPr>
        <w:tab/>
      </w:r>
      <w:r>
        <w:rPr>
          <w:rFonts w:ascii="Arial" w:cs="Arial" w:eastAsia="Arial" w:hAnsi="Arial"/>
          <w:sz w:val="13"/>
          <w:szCs w:val="13"/>
          <w:color w:val="auto"/>
        </w:rPr>
        <w:t>, 2020 and will be payable on</w:t>
      </w:r>
      <w:r>
        <w:rPr>
          <w:sz w:val="20"/>
          <w:szCs w:val="20"/>
          <w:color w:val="auto"/>
        </w:rPr>
        <w:tab/>
      </w:r>
      <w:r>
        <w:rPr>
          <w:rFonts w:ascii="Arial" w:cs="Arial" w:eastAsia="Arial" w:hAnsi="Arial"/>
          <w:sz w:val="13"/>
          <w:szCs w:val="13"/>
          <w:color w:val="auto"/>
        </w:rPr>
        <w:t>and</w:t>
      </w:r>
      <w:r>
        <w:rPr>
          <w:sz w:val="20"/>
          <w:szCs w:val="20"/>
          <w:color w:val="auto"/>
        </w:rPr>
        <w:tab/>
      </w:r>
      <w:r>
        <w:rPr>
          <w:rFonts w:ascii="Arial" w:cs="Arial" w:eastAsia="Arial" w:hAnsi="Arial"/>
          <w:sz w:val="13"/>
          <w:szCs w:val="13"/>
          <w:color w:val="auto"/>
        </w:rPr>
        <w:t>of each year, beginning</w:t>
      </w:r>
      <w:r>
        <w:rPr>
          <w:sz w:val="20"/>
          <w:szCs w:val="20"/>
          <w:color w:val="auto"/>
        </w:rPr>
        <w:tab/>
      </w:r>
      <w:r>
        <w:rPr>
          <w:rFonts w:ascii="Arial" w:cs="Arial" w:eastAsia="Arial" w:hAnsi="Arial"/>
          <w:sz w:val="13"/>
          <w:szCs w:val="13"/>
          <w:color w:val="auto"/>
        </w:rPr>
        <w:t>, 2021. The 2025 notes will mature on</w:t>
      </w:r>
      <w:r>
        <w:rPr>
          <w:sz w:val="20"/>
          <w:szCs w:val="20"/>
          <w:color w:val="auto"/>
        </w:rPr>
        <w:tab/>
      </w:r>
      <w:r>
        <w:rPr>
          <w:rFonts w:ascii="Arial" w:cs="Arial" w:eastAsia="Arial" w:hAnsi="Arial"/>
          <w:sz w:val="12"/>
          <w:szCs w:val="12"/>
          <w:color w:val="auto"/>
        </w:rPr>
        <w:t>, 2025, the 2028 notes will mature</w:t>
      </w:r>
    </w:p>
    <w:p>
      <w:pPr>
        <w:spacing w:after="0"/>
        <w:tabs>
          <w:tab w:leader="none" w:pos="660" w:val="left"/>
          <w:tab w:leader="none" w:pos="3220" w:val="left"/>
          <w:tab w:leader="none" w:pos="5960" w:val="left"/>
        </w:tabs>
        <w:rPr>
          <w:sz w:val="20"/>
          <w:szCs w:val="20"/>
          <w:color w:val="auto"/>
        </w:rPr>
      </w:pPr>
      <w:r>
        <w:rPr>
          <w:rFonts w:ascii="Arial" w:cs="Arial" w:eastAsia="Arial" w:hAnsi="Arial"/>
          <w:sz w:val="13"/>
          <w:szCs w:val="13"/>
          <w:color w:val="auto"/>
        </w:rPr>
        <w:t>on</w:t>
      </w:r>
      <w:r>
        <w:rPr>
          <w:sz w:val="20"/>
          <w:szCs w:val="20"/>
          <w:color w:val="auto"/>
        </w:rPr>
        <w:tab/>
      </w:r>
      <w:r>
        <w:rPr>
          <w:rFonts w:ascii="Arial" w:cs="Arial" w:eastAsia="Arial" w:hAnsi="Arial"/>
          <w:sz w:val="13"/>
          <w:szCs w:val="13"/>
          <w:color w:val="auto"/>
        </w:rPr>
        <w:t>, 2028, the 2031 notes will mature on</w:t>
      </w:r>
      <w:r>
        <w:rPr>
          <w:sz w:val="20"/>
          <w:szCs w:val="20"/>
          <w:color w:val="auto"/>
        </w:rPr>
        <w:tab/>
      </w:r>
      <w:r>
        <w:rPr>
          <w:rFonts w:ascii="Arial" w:cs="Arial" w:eastAsia="Arial" w:hAnsi="Arial"/>
          <w:sz w:val="13"/>
          <w:szCs w:val="13"/>
          <w:color w:val="auto"/>
        </w:rPr>
        <w:t>, 2031 and the 2050 notes will mature on</w:t>
      </w:r>
      <w:r>
        <w:rPr>
          <w:sz w:val="20"/>
          <w:szCs w:val="20"/>
          <w:color w:val="auto"/>
        </w:rPr>
        <w:tab/>
      </w:r>
      <w:r>
        <w:rPr>
          <w:rFonts w:ascii="Arial" w:cs="Arial" w:eastAsia="Arial" w:hAnsi="Arial"/>
          <w:sz w:val="12"/>
          <w:szCs w:val="12"/>
          <w:color w:val="auto"/>
        </w:rPr>
        <w:t>, 2050.</w:t>
      </w:r>
    </w:p>
    <w:p>
      <w:pPr>
        <w:spacing w:after="0" w:line="203" w:lineRule="exact"/>
        <w:rPr>
          <w:sz w:val="24"/>
          <w:szCs w:val="24"/>
          <w:color w:val="auto"/>
        </w:rPr>
      </w:pPr>
    </w:p>
    <w:p>
      <w:pPr>
        <w:ind w:left="340"/>
        <w:spacing w:after="0"/>
        <w:rPr>
          <w:sz w:val="20"/>
          <w:szCs w:val="20"/>
          <w:color w:val="auto"/>
        </w:rPr>
      </w:pPr>
      <w:r>
        <w:rPr>
          <w:rFonts w:ascii="Arial" w:cs="Arial" w:eastAsia="Arial" w:hAnsi="Arial"/>
          <w:sz w:val="12"/>
          <w:szCs w:val="12"/>
          <w:color w:val="auto"/>
        </w:rPr>
        <w:t>The notes of each series will be the senior obligations of Waste Management, Inc. and will be fully and unconditionally guaranteed by our wholly owned subsidiary, Waste Management Holdings, Inc.</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The notes will rank equally with all of our other senior indebtedness. The indenture under which we are issuing the notes does not restrict our ability to incur additional senior indebtedness.</w:t>
      </w:r>
    </w:p>
    <w:p>
      <w:pPr>
        <w:spacing w:after="0" w:line="203" w:lineRule="exact"/>
        <w:rPr>
          <w:sz w:val="24"/>
          <w:szCs w:val="24"/>
          <w:color w:val="auto"/>
        </w:rPr>
      </w:pPr>
    </w:p>
    <w:p>
      <w:pPr>
        <w:ind w:right="240" w:firstLine="335"/>
        <w:spacing w:after="0" w:line="274" w:lineRule="auto"/>
        <w:rPr>
          <w:sz w:val="20"/>
          <w:szCs w:val="20"/>
          <w:color w:val="auto"/>
        </w:rPr>
      </w:pPr>
      <w:r>
        <w:rPr>
          <w:rFonts w:ascii="Arial" w:cs="Arial" w:eastAsia="Arial" w:hAnsi="Arial"/>
          <w:sz w:val="13"/>
          <w:szCs w:val="13"/>
          <w:color w:val="auto"/>
        </w:rPr>
        <w:t>We may redeem each series of the notes, in whole or in part, at any time at the redemption prices described beginning on page S-13. If a change of control triggering event as described beginning on page S-16 occurs, we may be required to offer to purchase the notes of each series from holders.</w:t>
      </w:r>
    </w:p>
    <w:p>
      <w:pPr>
        <w:spacing w:after="0" w:line="168" w:lineRule="exact"/>
        <w:rPr>
          <w:sz w:val="24"/>
          <w:szCs w:val="24"/>
          <w:color w:val="auto"/>
        </w:rPr>
      </w:pPr>
    </w:p>
    <w:p>
      <w:pPr>
        <w:ind w:right="340" w:firstLine="337"/>
        <w:spacing w:after="0" w:line="275" w:lineRule="auto"/>
        <w:rPr>
          <w:sz w:val="20"/>
          <w:szCs w:val="20"/>
          <w:color w:val="auto"/>
        </w:rPr>
      </w:pPr>
      <w:r>
        <w:rPr>
          <w:rFonts w:ascii="Arial" w:cs="Arial" w:eastAsia="Arial" w:hAnsi="Arial"/>
          <w:sz w:val="18"/>
          <w:szCs w:val="18"/>
          <w:b w:val="1"/>
          <w:bCs w:val="1"/>
          <w:color w:val="auto"/>
        </w:rPr>
        <w:t>Investing in the notes involves risks.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S-6 of this prospectus supplement and page 6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119380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right="420" w:firstLine="337"/>
        <w:spacing w:after="0" w:line="278"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113665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r>
      <w:tr>
        <w:trPr>
          <w:trHeight w:val="129"/>
        </w:trPr>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2"/>
          </w:tcPr>
          <w:p>
            <w:pPr>
              <w:jc w:val="right"/>
              <w:ind w:right="713"/>
              <w:spacing w:after="0" w:line="129" w:lineRule="exact"/>
              <w:rPr>
                <w:sz w:val="20"/>
                <w:szCs w:val="20"/>
                <w:color w:val="auto"/>
              </w:rPr>
            </w:pPr>
            <w:r>
              <w:rPr>
                <w:rFonts w:ascii="Arial" w:cs="Arial" w:eastAsia="Arial" w:hAnsi="Arial"/>
                <w:sz w:val="13"/>
                <w:szCs w:val="13"/>
                <w:b w:val="1"/>
                <w:bCs w:val="1"/>
                <w:color w:val="auto"/>
              </w:rPr>
              <w:t>2025 Notes</w:t>
            </w:r>
          </w:p>
        </w:tc>
        <w:tc>
          <w:tcPr>
            <w:tcW w:w="1840" w:type="dxa"/>
            <w:vAlign w:val="bottom"/>
            <w:tcBorders>
              <w:bottom w:val="single" w:sz="8" w:color="auto"/>
            </w:tcBorders>
            <w:gridSpan w:val="2"/>
          </w:tcPr>
          <w:p>
            <w:pPr>
              <w:jc w:val="right"/>
              <w:ind w:right="573"/>
              <w:spacing w:after="0" w:line="129" w:lineRule="exact"/>
              <w:rPr>
                <w:sz w:val="20"/>
                <w:szCs w:val="20"/>
                <w:color w:val="auto"/>
              </w:rPr>
            </w:pPr>
            <w:r>
              <w:rPr>
                <w:rFonts w:ascii="Arial" w:cs="Arial" w:eastAsia="Arial" w:hAnsi="Arial"/>
                <w:sz w:val="13"/>
                <w:szCs w:val="13"/>
                <w:b w:val="1"/>
                <w:bCs w:val="1"/>
                <w:color w:val="auto"/>
              </w:rPr>
              <w:t>2028 Notes</w:t>
            </w:r>
          </w:p>
        </w:tc>
        <w:tc>
          <w:tcPr>
            <w:tcW w:w="2000" w:type="dxa"/>
            <w:vAlign w:val="bottom"/>
            <w:tcBorders>
              <w:bottom w:val="single" w:sz="8" w:color="auto"/>
            </w:tcBorders>
            <w:gridSpan w:val="2"/>
          </w:tcPr>
          <w:p>
            <w:pPr>
              <w:jc w:val="right"/>
              <w:ind w:right="573"/>
              <w:spacing w:after="0" w:line="129" w:lineRule="exact"/>
              <w:rPr>
                <w:sz w:val="20"/>
                <w:szCs w:val="20"/>
                <w:color w:val="auto"/>
              </w:rPr>
            </w:pPr>
            <w:r>
              <w:rPr>
                <w:rFonts w:ascii="Arial" w:cs="Arial" w:eastAsia="Arial" w:hAnsi="Arial"/>
                <w:sz w:val="13"/>
                <w:szCs w:val="13"/>
                <w:b w:val="1"/>
                <w:bCs w:val="1"/>
                <w:color w:val="auto"/>
              </w:rPr>
              <w:t>2031 Notes</w:t>
            </w:r>
          </w:p>
        </w:tc>
        <w:tc>
          <w:tcPr>
            <w:tcW w:w="1980" w:type="dxa"/>
            <w:vAlign w:val="bottom"/>
            <w:tcBorders>
              <w:bottom w:val="single" w:sz="8" w:color="auto"/>
            </w:tcBorders>
            <w:gridSpan w:val="2"/>
          </w:tcPr>
          <w:p>
            <w:pPr>
              <w:jc w:val="right"/>
              <w:ind w:right="553"/>
              <w:spacing w:after="0" w:line="129" w:lineRule="exact"/>
              <w:rPr>
                <w:sz w:val="20"/>
                <w:szCs w:val="20"/>
                <w:color w:val="auto"/>
              </w:rPr>
            </w:pPr>
            <w:r>
              <w:rPr>
                <w:rFonts w:ascii="Arial" w:cs="Arial" w:eastAsia="Arial" w:hAnsi="Arial"/>
                <w:sz w:val="13"/>
                <w:szCs w:val="13"/>
                <w:b w:val="1"/>
                <w:bCs w:val="1"/>
                <w:color w:val="auto"/>
              </w:rPr>
              <w:t>2050 Notes</w:t>
            </w:r>
          </w:p>
        </w:tc>
      </w:tr>
      <w:tr>
        <w:trPr>
          <w:trHeight w:val="210"/>
        </w:trPr>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Per Note</w:t>
            </w: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Total</w:t>
            </w: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Per Note</w:t>
            </w: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Per Note</w:t>
            </w: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Per Note</w:t>
            </w: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Total</w:t>
            </w:r>
          </w:p>
        </w:tc>
      </w:tr>
      <w:tr>
        <w:trPr>
          <w:trHeight w:val="142"/>
        </w:trPr>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Public Offering Price(1)</w:t>
            </w: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693"/>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color w:val="auto"/>
              </w:rPr>
              <w:t>$</w:t>
            </w:r>
          </w:p>
        </w:tc>
      </w:tr>
      <w:tr>
        <w:trPr>
          <w:trHeight w:val="142"/>
        </w:trPr>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Underwriting Discount</w:t>
            </w: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693"/>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color w:val="auto"/>
              </w:rPr>
              <w:t>$</w:t>
            </w:r>
          </w:p>
        </w:tc>
      </w:tr>
      <w:tr>
        <w:trPr>
          <w:trHeight w:val="142"/>
        </w:trPr>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3"/>
                <w:szCs w:val="13"/>
                <w:color w:val="auto"/>
                <w:w w:val="99"/>
              </w:rPr>
              <w:t>Proceeds to Us (excluding expenses)</w:t>
            </w:r>
          </w:p>
        </w:tc>
        <w:tc>
          <w:tcPr>
            <w:tcW w:w="9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693"/>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color w:val="auto"/>
              </w:rPr>
              <w:t>$</w:t>
            </w:r>
          </w:p>
        </w:tc>
      </w:tr>
      <w:tr>
        <w:trPr>
          <w:trHeight w:val="20"/>
        </w:trPr>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58"/>
        </w:trPr>
        <w:tc>
          <w:tcPr>
            <w:tcW w:w="360" w:type="dxa"/>
            <w:vAlign w:val="bottom"/>
          </w:tcPr>
          <w:p>
            <w:pPr>
              <w:jc w:val="right"/>
              <w:ind w:right="133"/>
              <w:spacing w:after="0"/>
              <w:rPr>
                <w:sz w:val="20"/>
                <w:szCs w:val="20"/>
                <w:color w:val="auto"/>
              </w:rPr>
            </w:pPr>
            <w:r>
              <w:rPr>
                <w:rFonts w:ascii="Arial" w:cs="Arial" w:eastAsia="Arial" w:hAnsi="Arial"/>
                <w:sz w:val="13"/>
                <w:szCs w:val="13"/>
                <w:color w:val="auto"/>
                <w:w w:val="87"/>
              </w:rPr>
              <w:t>(1)</w:t>
            </w:r>
          </w:p>
        </w:tc>
        <w:tc>
          <w:tcPr>
            <w:tcW w:w="1880" w:type="dxa"/>
            <w:vAlign w:val="bottom"/>
            <w:gridSpan w:val="2"/>
          </w:tcPr>
          <w:p>
            <w:pPr>
              <w:ind w:left="180"/>
              <w:spacing w:after="0"/>
              <w:rPr>
                <w:sz w:val="20"/>
                <w:szCs w:val="20"/>
                <w:color w:val="auto"/>
              </w:rPr>
            </w:pPr>
            <w:r>
              <w:rPr>
                <w:rFonts w:ascii="Arial" w:cs="Arial" w:eastAsia="Arial" w:hAnsi="Arial"/>
                <w:sz w:val="13"/>
                <w:szCs w:val="13"/>
                <w:color w:val="auto"/>
              </w:rPr>
              <w:t>Plus accrued interest from</w:t>
            </w:r>
          </w:p>
        </w:tc>
        <w:tc>
          <w:tcPr>
            <w:tcW w:w="2560" w:type="dxa"/>
            <w:vAlign w:val="bottom"/>
            <w:gridSpan w:val="3"/>
          </w:tcPr>
          <w:p>
            <w:pPr>
              <w:jc w:val="right"/>
              <w:ind w:right="73"/>
              <w:spacing w:after="0"/>
              <w:rPr>
                <w:sz w:val="20"/>
                <w:szCs w:val="20"/>
                <w:color w:val="auto"/>
              </w:rPr>
            </w:pPr>
            <w:r>
              <w:rPr>
                <w:rFonts w:ascii="Arial" w:cs="Arial" w:eastAsia="Arial" w:hAnsi="Arial"/>
                <w:sz w:val="13"/>
                <w:szCs w:val="13"/>
                <w:color w:val="auto"/>
              </w:rPr>
              <w:t>, 2020, if delivery occurs after that date.</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7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The notes will not be listed on any securities exchange. Currently, there is no public market for the notes.</w:t>
      </w:r>
    </w:p>
    <w:p>
      <w:pPr>
        <w:spacing w:after="0" w:line="215" w:lineRule="exact"/>
        <w:rPr>
          <w:sz w:val="24"/>
          <w:szCs w:val="24"/>
          <w:color w:val="auto"/>
        </w:rPr>
      </w:pPr>
    </w:p>
    <w:p>
      <w:pPr>
        <w:ind w:left="340"/>
        <w:spacing w:after="0"/>
        <w:tabs>
          <w:tab w:leader="none" w:pos="4540" w:val="left"/>
        </w:tabs>
        <w:rPr>
          <w:sz w:val="20"/>
          <w:szCs w:val="20"/>
          <w:color w:val="auto"/>
        </w:rPr>
      </w:pPr>
      <w:r>
        <w:rPr>
          <w:rFonts w:ascii="Arial" w:cs="Arial" w:eastAsia="Arial" w:hAnsi="Arial"/>
          <w:sz w:val="13"/>
          <w:szCs w:val="13"/>
          <w:color w:val="auto"/>
        </w:rPr>
        <w:t>The underwriters expect to deliver the notes to investors on or about</w:t>
      </w:r>
      <w:r>
        <w:rPr>
          <w:sz w:val="20"/>
          <w:szCs w:val="20"/>
          <w:color w:val="auto"/>
        </w:rPr>
        <w:tab/>
      </w:r>
      <w:r>
        <w:rPr>
          <w:rFonts w:ascii="Arial" w:cs="Arial" w:eastAsia="Arial" w:hAnsi="Arial"/>
          <w:sz w:val="12"/>
          <w:szCs w:val="12"/>
          <w:color w:val="auto"/>
        </w:rPr>
        <w:t>, 2020 only in book-entry form through the facilities of The Depository Trust Company and its participants, including</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Clearstream Banking S.A. and Euroclear Bank SA/NV, as operator of the Euroclear System.</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Joint Book-Running Managers</w:t>
      </w:r>
    </w:p>
    <w:p>
      <w:pPr>
        <w:spacing w:after="0" w:line="198" w:lineRule="exact"/>
        <w:rPr>
          <w:sz w:val="24"/>
          <w:szCs w:val="24"/>
          <w:color w:val="auto"/>
        </w:rPr>
      </w:pPr>
    </w:p>
    <w:p>
      <w:pPr>
        <w:ind w:left="2900"/>
        <w:spacing w:after="0"/>
        <w:tabs>
          <w:tab w:leader="none" w:pos="7280" w:val="left"/>
        </w:tabs>
        <w:rPr>
          <w:sz w:val="20"/>
          <w:szCs w:val="20"/>
          <w:color w:val="auto"/>
        </w:rPr>
      </w:pPr>
      <w:r>
        <w:rPr>
          <w:rFonts w:ascii="Arial" w:cs="Arial" w:eastAsia="Arial" w:hAnsi="Arial"/>
          <w:sz w:val="22"/>
          <w:szCs w:val="22"/>
          <w:b w:val="1"/>
          <w:bCs w:val="1"/>
          <w:color w:val="auto"/>
        </w:rPr>
        <w:t>Barclays</w:t>
      </w:r>
      <w:r>
        <w:rPr>
          <w:sz w:val="20"/>
          <w:szCs w:val="20"/>
          <w:color w:val="auto"/>
        </w:rPr>
        <w:tab/>
      </w:r>
      <w:r>
        <w:rPr>
          <w:rFonts w:ascii="Arial" w:cs="Arial" w:eastAsia="Arial" w:hAnsi="Arial"/>
          <w:sz w:val="22"/>
          <w:szCs w:val="22"/>
          <w:b w:val="1"/>
          <w:bCs w:val="1"/>
          <w:color w:val="auto"/>
        </w:rPr>
        <w:t>Mizuho Securities</w:t>
      </w:r>
    </w:p>
    <w:p>
      <w:pPr>
        <w:spacing w:after="0" w:line="233" w:lineRule="exact"/>
        <w:rPr>
          <w:sz w:val="24"/>
          <w:szCs w:val="24"/>
          <w:color w:val="auto"/>
        </w:rPr>
      </w:pPr>
    </w:p>
    <w:p>
      <w:pPr>
        <w:ind w:left="1800"/>
        <w:spacing w:after="0"/>
        <w:tabs>
          <w:tab w:leader="none" w:pos="5040" w:val="left"/>
          <w:tab w:leader="none" w:pos="8180" w:val="left"/>
        </w:tabs>
        <w:rPr>
          <w:sz w:val="20"/>
          <w:szCs w:val="20"/>
          <w:color w:val="auto"/>
        </w:rPr>
      </w:pPr>
      <w:r>
        <w:rPr>
          <w:rFonts w:ascii="Arial" w:cs="Arial" w:eastAsia="Arial" w:hAnsi="Arial"/>
          <w:sz w:val="22"/>
          <w:szCs w:val="22"/>
          <w:b w:val="1"/>
          <w:bCs w:val="1"/>
          <w:color w:val="auto"/>
        </w:rPr>
        <w:t>BofA Securities</w:t>
      </w:r>
      <w:r>
        <w:rPr>
          <w:sz w:val="20"/>
          <w:szCs w:val="20"/>
          <w:color w:val="auto"/>
        </w:rPr>
        <w:tab/>
      </w: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19"/>
          <w:szCs w:val="19"/>
          <w:b w:val="1"/>
          <w:bCs w:val="1"/>
          <w:color w:val="auto"/>
        </w:rPr>
        <w:t>Scotiabank</w:t>
      </w:r>
    </w:p>
    <w:p>
      <w:pPr>
        <w:sectPr>
          <w:pgSz w:w="11900" w:h="16838" w:orient="portrait"/>
          <w:cols w:equalWidth="0" w:num="1">
            <w:col w:w="11240"/>
          </w:cols>
          <w:pgMar w:left="320" w:top="685" w:right="339" w:bottom="0" w:gutter="0" w:footer="0" w:header="0"/>
        </w:sectPr>
      </w:pPr>
    </w:p>
    <w:p>
      <w:pPr>
        <w:spacing w:after="0" w:line="23" w:lineRule="exact"/>
        <w:rPr>
          <w:sz w:val="24"/>
          <w:szCs w:val="24"/>
          <w:color w:val="auto"/>
        </w:rPr>
      </w:pPr>
    </w:p>
    <w:p>
      <w:pPr>
        <w:ind w:left="1700"/>
        <w:spacing w:after="0"/>
        <w:tabs>
          <w:tab w:leader="none" w:pos="4780" w:val="left"/>
          <w:tab w:leader="none" w:pos="7880" w:val="left"/>
        </w:tabs>
        <w:rPr>
          <w:sz w:val="20"/>
          <w:szCs w:val="20"/>
          <w:color w:val="auto"/>
        </w:rPr>
      </w:pPr>
      <w:r>
        <w:rPr>
          <w:rFonts w:ascii="Arial" w:cs="Arial" w:eastAsia="Arial" w:hAnsi="Arial"/>
          <w:sz w:val="18"/>
          <w:szCs w:val="18"/>
          <w:color w:val="auto"/>
        </w:rPr>
        <w:t>(Active 2025 notes and</w:t>
      </w:r>
      <w:r>
        <w:rPr>
          <w:sz w:val="20"/>
          <w:szCs w:val="20"/>
          <w:color w:val="auto"/>
        </w:rPr>
        <w:tab/>
      </w:r>
      <w:r>
        <w:rPr>
          <w:rFonts w:ascii="Arial" w:cs="Arial" w:eastAsia="Arial" w:hAnsi="Arial"/>
          <w:sz w:val="18"/>
          <w:szCs w:val="18"/>
          <w:color w:val="auto"/>
        </w:rPr>
        <w:t>(Active 2031 notes and</w:t>
      </w:r>
      <w:r>
        <w:rPr>
          <w:sz w:val="20"/>
          <w:szCs w:val="20"/>
          <w:color w:val="auto"/>
        </w:rPr>
        <w:tab/>
      </w:r>
      <w:r>
        <w:rPr>
          <w:rFonts w:ascii="Arial" w:cs="Arial" w:eastAsia="Arial" w:hAnsi="Arial"/>
          <w:sz w:val="16"/>
          <w:szCs w:val="16"/>
          <w:color w:val="auto"/>
        </w:rPr>
        <w:t>(Active 2028 notes and</w:t>
      </w:r>
    </w:p>
    <w:p>
      <w:pPr>
        <w:spacing w:after="0" w:line="1" w:lineRule="exact"/>
        <w:rPr>
          <w:sz w:val="24"/>
          <w:szCs w:val="24"/>
          <w:color w:val="auto"/>
        </w:rPr>
      </w:pPr>
    </w:p>
    <w:p>
      <w:pPr>
        <w:ind w:left="2120"/>
        <w:spacing w:after="0"/>
        <w:tabs>
          <w:tab w:leader="none" w:pos="5180" w:val="left"/>
          <w:tab w:leader="none" w:pos="8300" w:val="left"/>
        </w:tabs>
        <w:rPr>
          <w:sz w:val="20"/>
          <w:szCs w:val="20"/>
          <w:color w:val="auto"/>
        </w:rPr>
      </w:pPr>
      <w:r>
        <w:rPr>
          <w:rFonts w:ascii="Arial" w:cs="Arial" w:eastAsia="Arial" w:hAnsi="Arial"/>
          <w:sz w:val="18"/>
          <w:szCs w:val="18"/>
          <w:color w:val="auto"/>
        </w:rPr>
        <w:t>2031 notes)</w:t>
      </w:r>
      <w:r>
        <w:rPr>
          <w:sz w:val="20"/>
          <w:szCs w:val="20"/>
          <w:color w:val="auto"/>
        </w:rPr>
        <w:tab/>
      </w:r>
      <w:r>
        <w:rPr>
          <w:rFonts w:ascii="Arial" w:cs="Arial" w:eastAsia="Arial" w:hAnsi="Arial"/>
          <w:sz w:val="18"/>
          <w:szCs w:val="18"/>
          <w:color w:val="auto"/>
        </w:rPr>
        <w:t>2050 notes)</w:t>
      </w:r>
      <w:r>
        <w:rPr>
          <w:sz w:val="20"/>
          <w:szCs w:val="20"/>
          <w:color w:val="auto"/>
        </w:rPr>
        <w:tab/>
      </w:r>
      <w:r>
        <w:rPr>
          <w:rFonts w:ascii="Arial" w:cs="Arial" w:eastAsia="Arial" w:hAnsi="Arial"/>
          <w:sz w:val="15"/>
          <w:szCs w:val="15"/>
          <w:color w:val="auto"/>
        </w:rPr>
        <w:t>2031 notes)</w:t>
      </w:r>
    </w:p>
    <w:p>
      <w:pPr>
        <w:sectPr>
          <w:pgSz w:w="11900" w:h="16838" w:orient="portrait"/>
          <w:cols w:equalWidth="0" w:num="1">
            <w:col w:w="11240"/>
          </w:cols>
          <w:pgMar w:left="320" w:top="68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4080" w:type="dxa"/>
            <w:vAlign w:val="bottom"/>
          </w:tcPr>
          <w:p>
            <w:pPr>
              <w:jc w:val="center"/>
              <w:ind w:left="872"/>
              <w:spacing w:after="0"/>
              <w:rPr>
                <w:sz w:val="20"/>
                <w:szCs w:val="20"/>
                <w:color w:val="auto"/>
              </w:rPr>
            </w:pPr>
            <w:r>
              <w:rPr>
                <w:rFonts w:ascii="Arial" w:cs="Arial" w:eastAsia="Arial" w:hAnsi="Arial"/>
                <w:sz w:val="18"/>
                <w:szCs w:val="18"/>
                <w:b w:val="1"/>
                <w:bCs w:val="1"/>
                <w:color w:val="auto"/>
                <w:w w:val="93"/>
              </w:rPr>
              <w:t>BNP PARIBAS</w:t>
            </w:r>
          </w:p>
        </w:tc>
        <w:tc>
          <w:tcPr>
            <w:tcW w:w="2960" w:type="dxa"/>
            <w:vAlign w:val="bottom"/>
          </w:tcPr>
          <w:p>
            <w:pPr>
              <w:jc w:val="center"/>
              <w:ind w:left="36"/>
              <w:spacing w:after="0"/>
              <w:rPr>
                <w:sz w:val="20"/>
                <w:szCs w:val="20"/>
                <w:color w:val="auto"/>
              </w:rPr>
            </w:pPr>
            <w:r>
              <w:rPr>
                <w:rFonts w:ascii="Arial" w:cs="Arial" w:eastAsia="Arial" w:hAnsi="Arial"/>
                <w:sz w:val="18"/>
                <w:szCs w:val="18"/>
                <w:b w:val="1"/>
                <w:bCs w:val="1"/>
                <w:color w:val="auto"/>
                <w:w w:val="89"/>
              </w:rPr>
              <w:t>Citigroup</w:t>
            </w:r>
          </w:p>
        </w:tc>
        <w:tc>
          <w:tcPr>
            <w:tcW w:w="4200" w:type="dxa"/>
            <w:vAlign w:val="bottom"/>
          </w:tcPr>
          <w:p>
            <w:pPr>
              <w:jc w:val="center"/>
              <w:ind w:right="732"/>
              <w:spacing w:after="0"/>
              <w:rPr>
                <w:sz w:val="20"/>
                <w:szCs w:val="20"/>
                <w:color w:val="auto"/>
              </w:rPr>
            </w:pPr>
            <w:r>
              <w:rPr>
                <w:rFonts w:ascii="Arial" w:cs="Arial" w:eastAsia="Arial" w:hAnsi="Arial"/>
                <w:sz w:val="18"/>
                <w:szCs w:val="18"/>
                <w:b w:val="1"/>
                <w:bCs w:val="1"/>
                <w:color w:val="auto"/>
                <w:w w:val="85"/>
              </w:rPr>
              <w:t>Deutsche Bank Securities</w:t>
            </w:r>
          </w:p>
        </w:tc>
      </w:tr>
      <w:tr>
        <w:trPr>
          <w:trHeight w:val="222"/>
        </w:trPr>
        <w:tc>
          <w:tcPr>
            <w:tcW w:w="4080" w:type="dxa"/>
            <w:vAlign w:val="bottom"/>
          </w:tcPr>
          <w:p>
            <w:pPr>
              <w:jc w:val="center"/>
              <w:ind w:left="872"/>
              <w:spacing w:after="0"/>
              <w:rPr>
                <w:sz w:val="20"/>
                <w:szCs w:val="20"/>
                <w:color w:val="auto"/>
              </w:rPr>
            </w:pPr>
            <w:r>
              <w:rPr>
                <w:rFonts w:ascii="Arial" w:cs="Arial" w:eastAsia="Arial" w:hAnsi="Arial"/>
                <w:sz w:val="18"/>
                <w:szCs w:val="18"/>
                <w:color w:val="auto"/>
                <w:w w:val="90"/>
              </w:rPr>
              <w:t>(Active 2025 notes)</w:t>
            </w:r>
          </w:p>
        </w:tc>
        <w:tc>
          <w:tcPr>
            <w:tcW w:w="2960" w:type="dxa"/>
            <w:vAlign w:val="bottom"/>
          </w:tcPr>
          <w:p>
            <w:pPr>
              <w:jc w:val="center"/>
              <w:ind w:left="36"/>
              <w:spacing w:after="0"/>
              <w:rPr>
                <w:sz w:val="20"/>
                <w:szCs w:val="20"/>
                <w:color w:val="auto"/>
              </w:rPr>
            </w:pPr>
            <w:r>
              <w:rPr>
                <w:rFonts w:ascii="Arial" w:cs="Arial" w:eastAsia="Arial" w:hAnsi="Arial"/>
                <w:sz w:val="18"/>
                <w:szCs w:val="18"/>
                <w:color w:val="auto"/>
                <w:w w:val="90"/>
              </w:rPr>
              <w:t>(Active 2028 notes)</w:t>
            </w:r>
          </w:p>
        </w:tc>
        <w:tc>
          <w:tcPr>
            <w:tcW w:w="4200" w:type="dxa"/>
            <w:vAlign w:val="bottom"/>
          </w:tcPr>
          <w:p>
            <w:pPr>
              <w:jc w:val="center"/>
              <w:ind w:right="752"/>
              <w:spacing w:after="0"/>
              <w:rPr>
                <w:sz w:val="20"/>
                <w:szCs w:val="20"/>
                <w:color w:val="auto"/>
              </w:rPr>
            </w:pPr>
            <w:r>
              <w:rPr>
                <w:rFonts w:ascii="Arial" w:cs="Arial" w:eastAsia="Arial" w:hAnsi="Arial"/>
                <w:sz w:val="18"/>
                <w:szCs w:val="18"/>
                <w:color w:val="auto"/>
                <w:w w:val="90"/>
              </w:rPr>
              <w:t>(Active 2028 notes)</w:t>
            </w:r>
          </w:p>
        </w:tc>
      </w:tr>
      <w:tr>
        <w:trPr>
          <w:trHeight w:val="453"/>
        </w:trPr>
        <w:tc>
          <w:tcPr>
            <w:tcW w:w="4080" w:type="dxa"/>
            <w:vAlign w:val="bottom"/>
          </w:tcPr>
          <w:p>
            <w:pPr>
              <w:jc w:val="center"/>
              <w:ind w:left="892"/>
              <w:spacing w:after="0"/>
              <w:rPr>
                <w:sz w:val="20"/>
                <w:szCs w:val="20"/>
                <w:color w:val="auto"/>
              </w:rPr>
            </w:pPr>
            <w:r>
              <w:rPr>
                <w:rFonts w:ascii="Arial" w:cs="Arial" w:eastAsia="Arial" w:hAnsi="Arial"/>
                <w:sz w:val="18"/>
                <w:szCs w:val="18"/>
                <w:b w:val="1"/>
                <w:bCs w:val="1"/>
                <w:color w:val="auto"/>
              </w:rPr>
              <w:t>MUFG</w:t>
            </w:r>
          </w:p>
        </w:tc>
        <w:tc>
          <w:tcPr>
            <w:tcW w:w="2960" w:type="dxa"/>
            <w:vAlign w:val="bottom"/>
          </w:tcPr>
          <w:p>
            <w:pPr>
              <w:jc w:val="center"/>
              <w:ind w:left="36"/>
              <w:spacing w:after="0"/>
              <w:rPr>
                <w:sz w:val="20"/>
                <w:szCs w:val="20"/>
                <w:color w:val="auto"/>
              </w:rPr>
            </w:pPr>
            <w:r>
              <w:rPr>
                <w:rFonts w:ascii="Arial" w:cs="Arial" w:eastAsia="Arial" w:hAnsi="Arial"/>
                <w:sz w:val="18"/>
                <w:szCs w:val="18"/>
                <w:b w:val="1"/>
                <w:bCs w:val="1"/>
                <w:color w:val="auto"/>
                <w:w w:val="93"/>
              </w:rPr>
              <w:t>SMBC Nikko</w:t>
            </w:r>
          </w:p>
        </w:tc>
        <w:tc>
          <w:tcPr>
            <w:tcW w:w="4200" w:type="dxa"/>
            <w:vAlign w:val="bottom"/>
          </w:tcPr>
          <w:p>
            <w:pPr>
              <w:jc w:val="center"/>
              <w:ind w:right="752"/>
              <w:spacing w:after="0"/>
              <w:rPr>
                <w:sz w:val="20"/>
                <w:szCs w:val="20"/>
                <w:color w:val="auto"/>
              </w:rPr>
            </w:pPr>
            <w:r>
              <w:rPr>
                <w:rFonts w:ascii="Arial" w:cs="Arial" w:eastAsia="Arial" w:hAnsi="Arial"/>
                <w:sz w:val="18"/>
                <w:szCs w:val="18"/>
                <w:b w:val="1"/>
                <w:bCs w:val="1"/>
                <w:color w:val="auto"/>
                <w:w w:val="89"/>
              </w:rPr>
              <w:t>US Bancorp</w:t>
            </w:r>
          </w:p>
        </w:tc>
      </w:tr>
      <w:tr>
        <w:trPr>
          <w:trHeight w:val="222"/>
        </w:trPr>
        <w:tc>
          <w:tcPr>
            <w:tcW w:w="4080" w:type="dxa"/>
            <w:vAlign w:val="bottom"/>
          </w:tcPr>
          <w:p>
            <w:pPr>
              <w:jc w:val="center"/>
              <w:ind w:left="872"/>
              <w:spacing w:after="0"/>
              <w:rPr>
                <w:sz w:val="20"/>
                <w:szCs w:val="20"/>
                <w:color w:val="auto"/>
              </w:rPr>
            </w:pPr>
            <w:r>
              <w:rPr>
                <w:rFonts w:ascii="Arial" w:cs="Arial" w:eastAsia="Arial" w:hAnsi="Arial"/>
                <w:sz w:val="18"/>
                <w:szCs w:val="18"/>
                <w:color w:val="auto"/>
                <w:w w:val="90"/>
              </w:rPr>
              <w:t>(Active 2050 notes)</w:t>
            </w:r>
          </w:p>
        </w:tc>
        <w:tc>
          <w:tcPr>
            <w:tcW w:w="2960" w:type="dxa"/>
            <w:vAlign w:val="bottom"/>
          </w:tcPr>
          <w:p>
            <w:pPr>
              <w:jc w:val="center"/>
              <w:ind w:left="36"/>
              <w:spacing w:after="0"/>
              <w:rPr>
                <w:sz w:val="20"/>
                <w:szCs w:val="20"/>
                <w:color w:val="auto"/>
              </w:rPr>
            </w:pPr>
            <w:r>
              <w:rPr>
                <w:rFonts w:ascii="Arial" w:cs="Arial" w:eastAsia="Arial" w:hAnsi="Arial"/>
                <w:sz w:val="18"/>
                <w:szCs w:val="18"/>
                <w:color w:val="auto"/>
                <w:w w:val="90"/>
              </w:rPr>
              <w:t>(Active 2050 notes)</w:t>
            </w:r>
          </w:p>
        </w:tc>
        <w:tc>
          <w:tcPr>
            <w:tcW w:w="4200" w:type="dxa"/>
            <w:vAlign w:val="bottom"/>
          </w:tcPr>
          <w:p>
            <w:pPr>
              <w:jc w:val="center"/>
              <w:ind w:right="752"/>
              <w:spacing w:after="0"/>
              <w:rPr>
                <w:sz w:val="20"/>
                <w:szCs w:val="20"/>
                <w:color w:val="auto"/>
              </w:rPr>
            </w:pPr>
            <w:r>
              <w:rPr>
                <w:rFonts w:ascii="Arial" w:cs="Arial" w:eastAsia="Arial" w:hAnsi="Arial"/>
                <w:sz w:val="18"/>
                <w:szCs w:val="18"/>
                <w:color w:val="auto"/>
                <w:w w:val="90"/>
              </w:rPr>
              <w:t>(Active 2025 notes)</w:t>
            </w:r>
          </w:p>
        </w:tc>
      </w:tr>
      <w:tr>
        <w:trPr>
          <w:trHeight w:val="650"/>
        </w:trPr>
        <w:tc>
          <w:tcPr>
            <w:tcW w:w="4080" w:type="dxa"/>
            <w:vAlign w:val="bottom"/>
          </w:tcPr>
          <w:p>
            <w:pPr>
              <w:spacing w:after="0"/>
              <w:rPr>
                <w:sz w:val="24"/>
                <w:szCs w:val="24"/>
                <w:color w:val="auto"/>
              </w:rPr>
            </w:pPr>
          </w:p>
        </w:tc>
        <w:tc>
          <w:tcPr>
            <w:tcW w:w="2960" w:type="dxa"/>
            <w:vAlign w:val="bottom"/>
          </w:tcPr>
          <w:p>
            <w:pPr>
              <w:jc w:val="center"/>
              <w:ind w:left="36"/>
              <w:spacing w:after="0"/>
              <w:rPr>
                <w:sz w:val="20"/>
                <w:szCs w:val="20"/>
                <w:color w:val="auto"/>
              </w:rPr>
            </w:pPr>
            <w:r>
              <w:rPr>
                <w:rFonts w:ascii="Arial" w:cs="Arial" w:eastAsia="Arial" w:hAnsi="Arial"/>
                <w:sz w:val="13"/>
                <w:szCs w:val="13"/>
                <w:color w:val="auto"/>
              </w:rPr>
              <w:t>November   , 2020</w:t>
            </w:r>
          </w:p>
        </w:tc>
        <w:tc>
          <w:tcPr>
            <w:tcW w:w="4200" w:type="dxa"/>
            <w:vAlign w:val="bottom"/>
          </w:tcPr>
          <w:p>
            <w:pPr>
              <w:spacing w:after="0"/>
              <w:rPr>
                <w:sz w:val="24"/>
                <w:szCs w:val="24"/>
                <w:color w:val="auto"/>
              </w:rPr>
            </w:pPr>
          </w:p>
        </w:tc>
      </w:tr>
      <w:tr>
        <w:trPr>
          <w:trHeight w:val="213"/>
        </w:trPr>
        <w:tc>
          <w:tcPr>
            <w:tcW w:w="4080" w:type="dxa"/>
            <w:vAlign w:val="bottom"/>
            <w:tcBorders>
              <w:bottom w:val="single" w:sz="8" w:color="808080"/>
            </w:tcBorders>
          </w:tcPr>
          <w:p>
            <w:pPr>
              <w:spacing w:after="0"/>
              <w:rPr>
                <w:sz w:val="18"/>
                <w:szCs w:val="18"/>
                <w:color w:val="auto"/>
              </w:rPr>
            </w:pPr>
          </w:p>
        </w:tc>
        <w:tc>
          <w:tcPr>
            <w:tcW w:w="2960" w:type="dxa"/>
            <w:vAlign w:val="bottom"/>
            <w:tcBorders>
              <w:bottom w:val="single" w:sz="8" w:color="808080"/>
            </w:tcBorders>
          </w:tcPr>
          <w:p>
            <w:pPr>
              <w:spacing w:after="0"/>
              <w:rPr>
                <w:sz w:val="18"/>
                <w:szCs w:val="18"/>
                <w:color w:val="auto"/>
              </w:rPr>
            </w:pPr>
          </w:p>
        </w:tc>
        <w:tc>
          <w:tcPr>
            <w:tcW w:w="42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Neither we nor the underwriters have authorized anyone to provide you with any information other than the information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date on the front cover of this prospectus supplement, or that the information we previously filed with the Securities and Exchange Commission, or SEC, and incorporated by reference in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118745</wp:posOffset>
            </wp:positionV>
            <wp:extent cx="1868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8340" w:type="dxa"/>
            <w:vAlign w:val="bottom"/>
          </w:tcPr>
          <w:p>
            <w:pPr>
              <w:jc w:val="center"/>
              <w:ind w:left="492"/>
              <w:spacing w:after="0"/>
              <w:rPr>
                <w:sz w:val="20"/>
                <w:szCs w:val="20"/>
                <w:color w:val="auto"/>
              </w:rPr>
            </w:pPr>
            <w:r>
              <w:rPr>
                <w:rFonts w:ascii="Arial" w:cs="Arial" w:eastAsia="Arial" w:hAnsi="Arial"/>
                <w:sz w:val="18"/>
                <w:szCs w:val="18"/>
                <w:b w:val="1"/>
                <w:bCs w:val="1"/>
                <w:color w:val="auto"/>
                <w:w w:val="96"/>
              </w:rPr>
              <w:t>TABLE OF CONTENTS</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340" w:type="dxa"/>
            <w:vAlign w:val="bottom"/>
          </w:tcPr>
          <w:p>
            <w:pPr>
              <w:jc w:val="center"/>
              <w:ind w:left="492"/>
              <w:spacing w:after="0"/>
              <w:rPr>
                <w:sz w:val="20"/>
                <w:szCs w:val="20"/>
                <w:color w:val="auto"/>
              </w:rPr>
            </w:pPr>
            <w:r>
              <w:rPr>
                <w:rFonts w:ascii="Arial" w:cs="Arial" w:eastAsia="Arial" w:hAnsi="Arial"/>
                <w:sz w:val="18"/>
                <w:szCs w:val="18"/>
                <w:b w:val="1"/>
                <w:bCs w:val="1"/>
                <w:color w:val="auto"/>
                <w:w w:val="85"/>
              </w:rPr>
              <w:t>Prospectus Supplement</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jc w:val="center"/>
              <w:ind w:left="492"/>
              <w:spacing w:after="0"/>
              <w:rPr>
                <w:sz w:val="20"/>
                <w:szCs w:val="20"/>
                <w:color w:val="auto"/>
              </w:rPr>
            </w:pPr>
            <w:r>
              <w:rPr>
                <w:rFonts w:ascii="Arial" w:cs="Arial" w:eastAsia="Arial" w:hAnsi="Arial"/>
                <w:sz w:val="18"/>
                <w:szCs w:val="18"/>
                <w:b w:val="1"/>
                <w:bCs w:val="1"/>
                <w:i w:val="1"/>
                <w:iCs w:val="1"/>
                <w:color w:val="auto"/>
                <w:w w:val="84"/>
              </w:rPr>
              <w:t>Table of Contents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34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w:t>
              </w:r>
            </w:hyperlink>
          </w:p>
        </w:tc>
        <w:tc>
          <w:tcPr>
            <w:tcW w:w="4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8340" w:type="dxa"/>
            <w:vAlign w:val="bottom"/>
            <w:vMerge w:val="continue"/>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USE OF PROCEEDS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S-9</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CAPITALIZATION</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S-10</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DESCRIPTION OF NOTES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S-12</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CERTAIN U.S. FEDERAL TAX CONSIDERATIONS FOR NON-U.S. HOLDERS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S-24</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UNDERWRITING (CONFLICTS OF INTEREST)</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S-29</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MATTERS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S-36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EXPERTS</w:t>
              </w:r>
            </w:hyperlink>
          </w:p>
        </w:tc>
        <w:tc>
          <w:tcPr>
            <w:tcW w:w="40" w:type="dxa"/>
            <w:vAlign w:val="bottom"/>
          </w:tcPr>
          <w:p>
            <w:pPr>
              <w:spacing w:after="0"/>
              <w:rPr>
                <w:sz w:val="18"/>
                <w:szCs w:val="18"/>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S-36</w:t>
              </w:r>
            </w:hyperlink>
          </w:p>
        </w:tc>
        <w:tc>
          <w:tcPr>
            <w:tcW w:w="0" w:type="dxa"/>
            <w:vAlign w:val="bottom"/>
          </w:tcPr>
          <w:p>
            <w:pPr>
              <w:spacing w:after="0"/>
              <w:rPr>
                <w:sz w:val="1"/>
                <w:szCs w:val="1"/>
                <w:color w:val="auto"/>
              </w:rPr>
            </w:pPr>
          </w:p>
        </w:tc>
      </w:tr>
      <w:tr>
        <w:trPr>
          <w:trHeight w:val="222"/>
        </w:trPr>
        <w:tc>
          <w:tcPr>
            <w:tcW w:w="834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INCORPORATION OF CERTAIN DOCUMENTS BY REFERENCE</w:t>
              </w:r>
            </w:hyperlink>
          </w:p>
        </w:tc>
        <w:tc>
          <w:tcPr>
            <w:tcW w:w="40" w:type="dxa"/>
            <w:vAlign w:val="bottom"/>
          </w:tcPr>
          <w:p>
            <w:pPr>
              <w:spacing w:after="0"/>
              <w:rPr>
                <w:sz w:val="19"/>
                <w:szCs w:val="19"/>
                <w:color w:val="auto"/>
              </w:rPr>
            </w:pPr>
          </w:p>
        </w:tc>
        <w:tc>
          <w:tcPr>
            <w:tcW w:w="440" w:type="dxa"/>
            <w:vAlign w:val="bottom"/>
            <w:gridSpan w:val="2"/>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S-37</w:t>
              </w:r>
            </w:hyperlink>
          </w:p>
        </w:tc>
        <w:tc>
          <w:tcPr>
            <w:tcW w:w="0" w:type="dxa"/>
            <w:vAlign w:val="bottom"/>
          </w:tcPr>
          <w:p>
            <w:pPr>
              <w:spacing w:after="0"/>
              <w:rPr>
                <w:sz w:val="1"/>
                <w:szCs w:val="1"/>
                <w:color w:val="auto"/>
              </w:rPr>
            </w:pPr>
          </w:p>
        </w:tc>
      </w:tr>
      <w:tr>
        <w:trPr>
          <w:trHeight w:val="648"/>
        </w:trPr>
        <w:tc>
          <w:tcPr>
            <w:tcW w:w="8340" w:type="dxa"/>
            <w:vAlign w:val="bottom"/>
          </w:tcPr>
          <w:p>
            <w:pPr>
              <w:jc w:val="center"/>
              <w:ind w:left="492"/>
              <w:spacing w:after="0"/>
              <w:rPr>
                <w:sz w:val="20"/>
                <w:szCs w:val="20"/>
                <w:color w:val="auto"/>
              </w:rPr>
            </w:pPr>
            <w:r>
              <w:rPr>
                <w:rFonts w:ascii="Arial" w:cs="Arial" w:eastAsia="Arial" w:hAnsi="Arial"/>
                <w:sz w:val="18"/>
                <w:szCs w:val="18"/>
                <w:b w:val="1"/>
                <w:bCs w:val="1"/>
                <w:color w:val="auto"/>
                <w:w w:val="81"/>
              </w:rPr>
              <w:t>Prospectus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340" w:type="dxa"/>
            <w:vAlign w:val="bottom"/>
            <w:vMerge w:val="restart"/>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FORWARD-LOOKING STATEMENTS</w:t>
              </w:r>
            </w:hyperlink>
          </w:p>
        </w:tc>
        <w:tc>
          <w:tcPr>
            <w:tcW w:w="4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83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top w:val="single" w:sz="8" w:color="auto"/>
            </w:tcBorders>
          </w:tcPr>
          <w:p>
            <w:pPr>
              <w:jc w:val="right"/>
              <w:spacing w:after="0" w:line="201" w:lineRule="exact"/>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ABOUT THIS PROSPECTUS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INCORPORATION OF CERTAIN DOCUMENTS BY REFERENCE</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MORE INFORMATION</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THE COMPANY</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RISK FACTORS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USE OF PROCEEDS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DESCRIPTION OF THE DEBT SECURITIES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7</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GUARANTEES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15</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DESCRIPTION OF CAPITAL STOCK</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DESCRIPTION OF OTHER SECURITIES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18</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PLAN OF DISTRIBUTION</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SELLING SECURITYHOLDERS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LEGAL MATTERS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r>
        <w:trPr>
          <w:trHeight w:val="222"/>
        </w:trPr>
        <w:tc>
          <w:tcPr>
            <w:tcW w:w="834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EXPERTS</w:t>
              </w:r>
            </w:hyperlink>
          </w:p>
        </w:tc>
        <w:tc>
          <w:tcPr>
            <w:tcW w:w="480" w:type="dxa"/>
            <w:vAlign w:val="bottom"/>
            <w:gridSpan w:val="3"/>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20</w:t>
              </w:r>
            </w:hyperlink>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7162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80" w:firstLine="351"/>
        <w:spacing w:after="0" w:line="294" w:lineRule="auto"/>
        <w:rPr>
          <w:sz w:val="20"/>
          <w:szCs w:val="20"/>
          <w:color w:val="auto"/>
        </w:rPr>
      </w:pPr>
      <w:r>
        <w:rPr>
          <w:rFonts w:ascii="Arial" w:cs="Arial" w:eastAsia="Arial" w:hAnsi="Arial"/>
          <w:sz w:val="16"/>
          <w:szCs w:val="16"/>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69" w:lineRule="exact"/>
        <w:rPr>
          <w:sz w:val="20"/>
          <w:szCs w:val="20"/>
          <w:color w:val="auto"/>
        </w:rPr>
      </w:pPr>
    </w:p>
    <w:p>
      <w:pPr>
        <w:ind w:left="240" w:right="200" w:firstLine="351"/>
        <w:spacing w:after="0" w:line="331"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240" w:right="2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69" w:lineRule="exact"/>
        <w:rPr>
          <w:sz w:val="20"/>
          <w:szCs w:val="20"/>
          <w:color w:val="auto"/>
        </w:rPr>
      </w:pPr>
    </w:p>
    <w:p>
      <w:pPr>
        <w:ind w:left="240" w:right="40" w:firstLine="351"/>
        <w:spacing w:after="0" w:line="254" w:lineRule="auto"/>
        <w:rPr>
          <w:sz w:val="20"/>
          <w:szCs w:val="20"/>
          <w:color w:val="auto"/>
        </w:rPr>
      </w:pPr>
      <w:r>
        <w:rPr>
          <w:rFonts w:ascii="Arial" w:cs="Arial" w:eastAsia="Arial" w:hAnsi="Arial"/>
          <w:sz w:val="18"/>
          <w:szCs w:val="18"/>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00" w:lineRule="exact"/>
        <w:rPr>
          <w:sz w:val="20"/>
          <w:szCs w:val="20"/>
          <w:color w:val="auto"/>
        </w:rPr>
      </w:pP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Waste Management Holdings, Inc.</w:t>
      </w:r>
    </w:p>
    <w:p>
      <w:pPr>
        <w:spacing w:after="0" w:line="231" w:lineRule="exact"/>
        <w:rPr>
          <w:sz w:val="20"/>
          <w:szCs w:val="20"/>
          <w:color w:val="auto"/>
        </w:rPr>
      </w:pPr>
    </w:p>
    <w:p>
      <w:pPr>
        <w:ind w:left="240" w:right="380" w:firstLine="348"/>
        <w:spacing w:after="0" w:line="331" w:lineRule="auto"/>
        <w:rPr>
          <w:sz w:val="20"/>
          <w:szCs w:val="20"/>
          <w:color w:val="auto"/>
        </w:rPr>
      </w:pPr>
      <w:r>
        <w:rPr>
          <w:rFonts w:ascii="Arial" w:cs="Arial" w:eastAsia="Arial" w:hAnsi="Arial"/>
          <w:sz w:val="16"/>
          <w:szCs w:val="16"/>
          <w:color w:val="auto"/>
        </w:rPr>
        <w:t>Waste Management Holdings, Inc., which we refer to in this prospectus supplement as "WM Holdings," is a direct wholly owned subsidiary of Waste Management, Inc. WM Holdings is a holding company and all operations are conducted by subsidiaries.</w:t>
      </w: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Acquisition of Advanced Disposal</w:t>
      </w:r>
    </w:p>
    <w:p>
      <w:pPr>
        <w:spacing w:after="0" w:line="231" w:lineRule="exact"/>
        <w:rPr>
          <w:sz w:val="20"/>
          <w:szCs w:val="20"/>
          <w:color w:val="auto"/>
        </w:rPr>
      </w:pPr>
    </w:p>
    <w:p>
      <w:pPr>
        <w:jc w:val="both"/>
        <w:ind w:left="240" w:firstLine="351"/>
        <w:spacing w:after="0" w:line="284" w:lineRule="auto"/>
        <w:rPr>
          <w:sz w:val="20"/>
          <w:szCs w:val="20"/>
          <w:color w:val="auto"/>
        </w:rPr>
      </w:pPr>
      <w:r>
        <w:rPr>
          <w:rFonts w:ascii="Arial" w:cs="Arial" w:eastAsia="Arial" w:hAnsi="Arial"/>
          <w:sz w:val="16"/>
          <w:szCs w:val="16"/>
          <w:color w:val="auto"/>
        </w:rPr>
        <w:t>On October 30, 2020, we completed the acquisition of Advanced Disposal Services, Inc. ("Advanced Disposal") pursuant to an Agreement and Plan of Merger entered into with Advanced Disposal and Everglades Merger Sub Inc., our indirect wholly owned subsidiary, dated as of April 14, 2019 and as amended June 24, 2020 (the "Merger"). We used proceeds from borrowings under our $3.0 billion, 364-day, U.S. revolving credit facility (our</w:t>
      </w:r>
    </w:p>
    <w:p>
      <w:pPr>
        <w:spacing w:after="0" w:line="1" w:lineRule="exact"/>
        <w:rPr>
          <w:sz w:val="20"/>
          <w:szCs w:val="20"/>
          <w:color w:val="auto"/>
        </w:rPr>
      </w:pPr>
    </w:p>
    <w:p>
      <w:pPr>
        <w:ind w:left="240" w:right="40"/>
        <w:spacing w:after="0" w:line="302" w:lineRule="auto"/>
        <w:rPr>
          <w:sz w:val="20"/>
          <w:szCs w:val="20"/>
          <w:color w:val="auto"/>
        </w:rPr>
      </w:pPr>
      <w:r>
        <w:rPr>
          <w:rFonts w:ascii="Arial" w:cs="Arial" w:eastAsia="Arial" w:hAnsi="Arial"/>
          <w:sz w:val="16"/>
          <w:szCs w:val="16"/>
          <w:color w:val="auto"/>
        </w:rPr>
        <w:t>"$3.0 billion revolving credit facility") and our commercial paper program, which is fully supported by our $3.5 billion long-term U.S. and Canadian revolving credit facility (our "$3.5 billion revolving credit facility"), to pay the consideration for the Merger and related fees and expenses, including the repayment of certain Advanced Disposal debt in connection with the closing of the Merger (the "Merger Closing Payments").</w:t>
      </w:r>
    </w:p>
    <w:p>
      <w:pPr>
        <w:spacing w:after="0" w:line="163" w:lineRule="exact"/>
        <w:rPr>
          <w:sz w:val="20"/>
          <w:szCs w:val="20"/>
          <w:color w:val="auto"/>
        </w:rPr>
      </w:pPr>
    </w:p>
    <w:p>
      <w:pPr>
        <w:ind w:left="240" w:right="280" w:firstLine="351"/>
        <w:spacing w:after="0" w:line="306" w:lineRule="auto"/>
        <w:rPr>
          <w:sz w:val="20"/>
          <w:szCs w:val="20"/>
          <w:color w:val="auto"/>
        </w:rPr>
      </w:pPr>
      <w:r>
        <w:rPr>
          <w:rFonts w:ascii="Arial" w:cs="Arial" w:eastAsia="Arial" w:hAnsi="Arial"/>
          <w:sz w:val="16"/>
          <w:szCs w:val="16"/>
          <w:color w:val="auto"/>
        </w:rPr>
        <w:t>Following the U.S. Department of Justice's review of the transaction, and substantially concurrently with the closing of the Merger, we and Advanced Disposal also completed the sale of certain of our and its respective solid waste collection, intermediary waste delivery and terminal waste delivery assets in selected portions of the United States to an affiliate of GFL Environmental Inc. (the "GFL Divestitures").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476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40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20" w:type="dxa"/>
            <w:vAlign w:val="bottom"/>
          </w:tcPr>
          <w:p>
            <w:pPr>
              <w:ind w:left="240"/>
              <w:spacing w:after="0"/>
              <w:rPr>
                <w:sz w:val="20"/>
                <w:szCs w:val="20"/>
                <w:color w:val="auto"/>
              </w:rPr>
            </w:pPr>
            <w:r>
              <w:rPr>
                <w:rFonts w:ascii="Arial" w:cs="Arial" w:eastAsia="Arial" w:hAnsi="Arial"/>
                <w:sz w:val="18"/>
                <w:szCs w:val="18"/>
                <w:color w:val="auto"/>
              </w:rPr>
              <w:t>Issuer</w:t>
            </w:r>
          </w:p>
        </w:tc>
        <w:tc>
          <w:tcPr>
            <w:tcW w:w="3920" w:type="dxa"/>
            <w:vAlign w:val="bottom"/>
            <w:gridSpan w:val="3"/>
          </w:tcPr>
          <w:p>
            <w:pPr>
              <w:ind w:left="720"/>
              <w:spacing w:after="0"/>
              <w:rPr>
                <w:sz w:val="20"/>
                <w:szCs w:val="20"/>
                <w:color w:val="auto"/>
              </w:rPr>
            </w:pPr>
            <w:r>
              <w:rPr>
                <w:rFonts w:ascii="Arial" w:cs="Arial" w:eastAsia="Arial" w:hAnsi="Arial"/>
                <w:sz w:val="18"/>
                <w:szCs w:val="18"/>
                <w:color w:val="auto"/>
              </w:rPr>
              <w:t>Waste Management, Inc.</w:t>
            </w: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2620" w:type="dxa"/>
            <w:vAlign w:val="bottom"/>
          </w:tcPr>
          <w:p>
            <w:pPr>
              <w:ind w:left="240"/>
              <w:spacing w:after="0"/>
              <w:rPr>
                <w:sz w:val="20"/>
                <w:szCs w:val="20"/>
                <w:color w:val="auto"/>
              </w:rPr>
            </w:pPr>
            <w:r>
              <w:rPr>
                <w:rFonts w:ascii="Arial" w:cs="Arial" w:eastAsia="Arial" w:hAnsi="Arial"/>
                <w:sz w:val="18"/>
                <w:szCs w:val="18"/>
                <w:color w:val="auto"/>
              </w:rPr>
              <w:t>Securities Offered</w:t>
            </w:r>
          </w:p>
        </w:tc>
        <w:tc>
          <w:tcPr>
            <w:tcW w:w="1320" w:type="dxa"/>
            <w:vAlign w:val="bottom"/>
          </w:tcPr>
          <w:p>
            <w:pPr>
              <w:ind w:left="720"/>
              <w:spacing w:after="0"/>
              <w:rPr>
                <w:sz w:val="20"/>
                <w:szCs w:val="20"/>
                <w:color w:val="auto"/>
              </w:rPr>
            </w:pPr>
            <w:r>
              <w:rPr>
                <w:rFonts w:ascii="Arial" w:cs="Arial" w:eastAsia="Arial" w:hAnsi="Arial"/>
                <w:sz w:val="18"/>
                <w:szCs w:val="18"/>
                <w:color w:val="auto"/>
              </w:rPr>
              <w:t>$</w:t>
            </w:r>
          </w:p>
        </w:tc>
        <w:tc>
          <w:tcPr>
            <w:tcW w:w="6160" w:type="dxa"/>
            <w:vAlign w:val="bottom"/>
            <w:gridSpan w:val="5"/>
          </w:tcPr>
          <w:p>
            <w:pPr>
              <w:ind w:left="200"/>
              <w:spacing w:after="0"/>
              <w:rPr>
                <w:sz w:val="20"/>
                <w:szCs w:val="20"/>
                <w:color w:val="auto"/>
              </w:rPr>
            </w:pPr>
            <w:r>
              <w:rPr>
                <w:rFonts w:ascii="Arial" w:cs="Arial" w:eastAsia="Arial" w:hAnsi="Arial"/>
                <w:sz w:val="18"/>
                <w:szCs w:val="18"/>
                <w:color w:val="auto"/>
              </w:rPr>
              <w:t>aggregate principal amount of notes, consisting of the following series:</w:t>
            </w:r>
          </w:p>
        </w:tc>
        <w:tc>
          <w:tcPr>
            <w:tcW w:w="1140" w:type="dxa"/>
            <w:vAlign w:val="bottom"/>
          </w:tcPr>
          <w:p>
            <w:pPr>
              <w:spacing w:after="0"/>
              <w:rPr>
                <w:sz w:val="24"/>
                <w:szCs w:val="24"/>
                <w:color w:val="auto"/>
              </w:rPr>
            </w:pPr>
          </w:p>
        </w:tc>
      </w:tr>
      <w:tr>
        <w:trPr>
          <w:trHeight w:val="432"/>
        </w:trPr>
        <w:tc>
          <w:tcPr>
            <w:tcW w:w="2620" w:type="dxa"/>
            <w:vAlign w:val="bottom"/>
          </w:tcPr>
          <w:p>
            <w:pPr>
              <w:spacing w:after="0"/>
              <w:rPr>
                <w:sz w:val="24"/>
                <w:szCs w:val="24"/>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w w:val="99"/>
              </w:rPr>
              <w:t>aggregate principal amount of</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w w:val="91"/>
              </w:rPr>
              <w:t>% Senior Notes due 2025</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spacing w:after="0"/>
              <w:rPr>
                <w:sz w:val="24"/>
                <w:szCs w:val="24"/>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w w:val="99"/>
              </w:rPr>
              <w:t>aggregate principal amount of</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w w:val="91"/>
              </w:rPr>
              <w:t>% Senior Notes due 2028</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spacing w:after="0"/>
              <w:rPr>
                <w:sz w:val="24"/>
                <w:szCs w:val="24"/>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w w:val="99"/>
              </w:rPr>
              <w:t>aggregate principal amount of</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w w:val="91"/>
              </w:rPr>
              <w:t>% Senior Notes due 2031</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spacing w:after="0"/>
              <w:rPr>
                <w:sz w:val="24"/>
                <w:szCs w:val="24"/>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w:t>
            </w: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w w:val="99"/>
              </w:rPr>
              <w:t>aggregate principal amount of</w:t>
            </w:r>
          </w:p>
        </w:tc>
        <w:tc>
          <w:tcPr>
            <w:tcW w:w="2320" w:type="dxa"/>
            <w:vAlign w:val="bottom"/>
            <w:gridSpan w:val="2"/>
          </w:tcPr>
          <w:p>
            <w:pPr>
              <w:ind w:left="420"/>
              <w:spacing w:after="0"/>
              <w:rPr>
                <w:sz w:val="20"/>
                <w:szCs w:val="20"/>
                <w:color w:val="auto"/>
              </w:rPr>
            </w:pPr>
            <w:r>
              <w:rPr>
                <w:rFonts w:ascii="Arial" w:cs="Arial" w:eastAsia="Arial" w:hAnsi="Arial"/>
                <w:sz w:val="18"/>
                <w:szCs w:val="18"/>
                <w:color w:val="auto"/>
                <w:w w:val="91"/>
              </w:rPr>
              <w:t>% Senior Notes due 2050</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26"/>
        </w:trPr>
        <w:tc>
          <w:tcPr>
            <w:tcW w:w="2620" w:type="dxa"/>
            <w:vAlign w:val="bottom"/>
          </w:tcPr>
          <w:p>
            <w:pPr>
              <w:ind w:left="240"/>
              <w:spacing w:after="0"/>
              <w:rPr>
                <w:sz w:val="20"/>
                <w:szCs w:val="20"/>
                <w:color w:val="auto"/>
              </w:rPr>
            </w:pPr>
            <w:r>
              <w:rPr>
                <w:rFonts w:ascii="Arial" w:cs="Arial" w:eastAsia="Arial" w:hAnsi="Arial"/>
                <w:sz w:val="18"/>
                <w:szCs w:val="18"/>
                <w:color w:val="auto"/>
              </w:rPr>
              <w:t>Subsidiary Guarantees</w:t>
            </w:r>
          </w:p>
        </w:tc>
        <w:tc>
          <w:tcPr>
            <w:tcW w:w="8620" w:type="dxa"/>
            <w:vAlign w:val="bottom"/>
            <w:gridSpan w:val="7"/>
          </w:tcPr>
          <w:p>
            <w:pPr>
              <w:ind w:left="720"/>
              <w:spacing w:after="0"/>
              <w:rPr>
                <w:sz w:val="20"/>
                <w:szCs w:val="20"/>
                <w:color w:val="auto"/>
              </w:rPr>
            </w:pPr>
            <w:r>
              <w:rPr>
                <w:rFonts w:ascii="Arial" w:cs="Arial" w:eastAsia="Arial" w:hAnsi="Arial"/>
                <w:sz w:val="18"/>
                <w:szCs w:val="18"/>
                <w:color w:val="auto"/>
                <w:w w:val="96"/>
              </w:rPr>
              <w:t>WM Holdings will fully and unconditionally guarantee, on a senior unsecured basis, the full and prompt</w:t>
            </w:r>
          </w:p>
        </w:tc>
      </w:tr>
      <w:tr>
        <w:trPr>
          <w:trHeight w:val="216"/>
        </w:trPr>
        <w:tc>
          <w:tcPr>
            <w:tcW w:w="2620" w:type="dxa"/>
            <w:vAlign w:val="bottom"/>
          </w:tcPr>
          <w:p>
            <w:pPr>
              <w:spacing w:after="0"/>
              <w:rPr>
                <w:sz w:val="18"/>
                <w:szCs w:val="18"/>
                <w:color w:val="auto"/>
              </w:rPr>
            </w:pPr>
          </w:p>
        </w:tc>
        <w:tc>
          <w:tcPr>
            <w:tcW w:w="8620" w:type="dxa"/>
            <w:vAlign w:val="bottom"/>
            <w:gridSpan w:val="7"/>
          </w:tcPr>
          <w:p>
            <w:pPr>
              <w:ind w:left="720"/>
              <w:spacing w:after="0"/>
              <w:rPr>
                <w:sz w:val="20"/>
                <w:szCs w:val="20"/>
                <w:color w:val="auto"/>
              </w:rPr>
            </w:pPr>
            <w:r>
              <w:rPr>
                <w:rFonts w:ascii="Arial" w:cs="Arial" w:eastAsia="Arial" w:hAnsi="Arial"/>
                <w:sz w:val="18"/>
                <w:szCs w:val="18"/>
                <w:color w:val="auto"/>
                <w:w w:val="90"/>
              </w:rPr>
              <w:t>payment of the principal and any premium and interest on the notes of each series, when and as they become</w:t>
            </w:r>
          </w:p>
        </w:tc>
      </w:tr>
      <w:tr>
        <w:trPr>
          <w:trHeight w:val="222"/>
        </w:trPr>
        <w:tc>
          <w:tcPr>
            <w:tcW w:w="2620" w:type="dxa"/>
            <w:vAlign w:val="bottom"/>
          </w:tcPr>
          <w:p>
            <w:pPr>
              <w:spacing w:after="0"/>
              <w:rPr>
                <w:sz w:val="19"/>
                <w:szCs w:val="19"/>
                <w:color w:val="auto"/>
              </w:rPr>
            </w:pPr>
          </w:p>
        </w:tc>
        <w:tc>
          <w:tcPr>
            <w:tcW w:w="4800" w:type="dxa"/>
            <w:vAlign w:val="bottom"/>
            <w:gridSpan w:val="4"/>
          </w:tcPr>
          <w:p>
            <w:pPr>
              <w:ind w:left="720"/>
              <w:spacing w:after="0"/>
              <w:rPr>
                <w:sz w:val="20"/>
                <w:szCs w:val="20"/>
                <w:color w:val="auto"/>
              </w:rPr>
            </w:pPr>
            <w:r>
              <w:rPr>
                <w:rFonts w:ascii="Arial" w:cs="Arial" w:eastAsia="Arial" w:hAnsi="Arial"/>
                <w:sz w:val="18"/>
                <w:szCs w:val="18"/>
                <w:color w:val="auto"/>
              </w:rPr>
              <w:t>due and payable, whether at maturity or otherwise.</w:t>
            </w: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2620" w:type="dxa"/>
            <w:vAlign w:val="bottom"/>
          </w:tcPr>
          <w:p>
            <w:pPr>
              <w:ind w:left="240"/>
              <w:spacing w:after="0"/>
              <w:rPr>
                <w:sz w:val="20"/>
                <w:szCs w:val="20"/>
                <w:color w:val="auto"/>
              </w:rPr>
            </w:pPr>
            <w:r>
              <w:rPr>
                <w:rFonts w:ascii="Arial" w:cs="Arial" w:eastAsia="Arial" w:hAnsi="Arial"/>
                <w:sz w:val="18"/>
                <w:szCs w:val="18"/>
                <w:color w:val="auto"/>
              </w:rPr>
              <w:t>Maturity Date</w:t>
            </w:r>
          </w:p>
        </w:tc>
        <w:tc>
          <w:tcPr>
            <w:tcW w:w="2020" w:type="dxa"/>
            <w:vAlign w:val="bottom"/>
            <w:gridSpan w:val="2"/>
          </w:tcPr>
          <w:p>
            <w:pPr>
              <w:ind w:left="720"/>
              <w:spacing w:after="0"/>
              <w:rPr>
                <w:sz w:val="20"/>
                <w:szCs w:val="20"/>
                <w:color w:val="auto"/>
              </w:rPr>
            </w:pPr>
            <w:r>
              <w:rPr>
                <w:rFonts w:ascii="Arial" w:cs="Arial" w:eastAsia="Arial" w:hAnsi="Arial"/>
                <w:sz w:val="18"/>
                <w:szCs w:val="18"/>
                <w:color w:val="auto"/>
              </w:rPr>
              <w:t>2025 notes—</w:t>
            </w:r>
          </w:p>
        </w:tc>
        <w:tc>
          <w:tcPr>
            <w:tcW w:w="1900" w:type="dxa"/>
            <w:vAlign w:val="bottom"/>
          </w:tcPr>
          <w:p>
            <w:pPr>
              <w:ind w:left="360"/>
              <w:spacing w:after="0"/>
              <w:rPr>
                <w:sz w:val="20"/>
                <w:szCs w:val="20"/>
                <w:color w:val="auto"/>
              </w:rPr>
            </w:pPr>
            <w:r>
              <w:rPr>
                <w:rFonts w:ascii="Arial" w:cs="Arial" w:eastAsia="Arial" w:hAnsi="Arial"/>
                <w:sz w:val="18"/>
                <w:szCs w:val="18"/>
                <w:color w:val="auto"/>
              </w:rPr>
              <w:t>, 2025</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8"/>
                <w:szCs w:val="18"/>
                <w:color w:val="auto"/>
              </w:rPr>
              <w:t>2028 notes—</w:t>
            </w:r>
          </w:p>
        </w:tc>
        <w:tc>
          <w:tcPr>
            <w:tcW w:w="1900" w:type="dxa"/>
            <w:vAlign w:val="bottom"/>
          </w:tcPr>
          <w:p>
            <w:pPr>
              <w:ind w:left="360"/>
              <w:spacing w:after="0"/>
              <w:rPr>
                <w:sz w:val="20"/>
                <w:szCs w:val="20"/>
                <w:color w:val="auto"/>
              </w:rPr>
            </w:pPr>
            <w:r>
              <w:rPr>
                <w:rFonts w:ascii="Arial" w:cs="Arial" w:eastAsia="Arial" w:hAnsi="Arial"/>
                <w:sz w:val="18"/>
                <w:szCs w:val="18"/>
                <w:color w:val="auto"/>
              </w:rPr>
              <w:t>, 2028</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8"/>
                <w:szCs w:val="18"/>
                <w:color w:val="auto"/>
              </w:rPr>
              <w:t>2031 notes—</w:t>
            </w:r>
          </w:p>
        </w:tc>
        <w:tc>
          <w:tcPr>
            <w:tcW w:w="1900" w:type="dxa"/>
            <w:vAlign w:val="bottom"/>
          </w:tcPr>
          <w:p>
            <w:pPr>
              <w:ind w:left="360"/>
              <w:spacing w:after="0"/>
              <w:rPr>
                <w:sz w:val="20"/>
                <w:szCs w:val="20"/>
                <w:color w:val="auto"/>
              </w:rPr>
            </w:pPr>
            <w:r>
              <w:rPr>
                <w:rFonts w:ascii="Arial" w:cs="Arial" w:eastAsia="Arial" w:hAnsi="Arial"/>
                <w:sz w:val="18"/>
                <w:szCs w:val="18"/>
                <w:color w:val="auto"/>
              </w:rPr>
              <w:t>, 2031</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8"/>
                <w:szCs w:val="18"/>
                <w:color w:val="auto"/>
              </w:rPr>
              <w:t>2050 notes—</w:t>
            </w:r>
          </w:p>
        </w:tc>
        <w:tc>
          <w:tcPr>
            <w:tcW w:w="1900" w:type="dxa"/>
            <w:vAlign w:val="bottom"/>
          </w:tcPr>
          <w:p>
            <w:pPr>
              <w:ind w:left="360"/>
              <w:spacing w:after="0"/>
              <w:rPr>
                <w:sz w:val="20"/>
                <w:szCs w:val="20"/>
                <w:color w:val="auto"/>
              </w:rPr>
            </w:pPr>
            <w:r>
              <w:rPr>
                <w:rFonts w:ascii="Arial" w:cs="Arial" w:eastAsia="Arial" w:hAnsi="Arial"/>
                <w:sz w:val="18"/>
                <w:szCs w:val="18"/>
                <w:color w:val="auto"/>
              </w:rPr>
              <w:t>, 2050</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ind w:left="240"/>
              <w:spacing w:after="0"/>
              <w:rPr>
                <w:sz w:val="20"/>
                <w:szCs w:val="20"/>
                <w:color w:val="auto"/>
              </w:rPr>
            </w:pPr>
            <w:r>
              <w:rPr>
                <w:rFonts w:ascii="Arial" w:cs="Arial" w:eastAsia="Arial" w:hAnsi="Arial"/>
                <w:sz w:val="18"/>
                <w:szCs w:val="18"/>
                <w:color w:val="auto"/>
              </w:rPr>
              <w:t>Interest Rate</w:t>
            </w:r>
          </w:p>
        </w:tc>
        <w:tc>
          <w:tcPr>
            <w:tcW w:w="2020" w:type="dxa"/>
            <w:vAlign w:val="bottom"/>
            <w:gridSpan w:val="2"/>
          </w:tcPr>
          <w:p>
            <w:pPr>
              <w:ind w:left="720"/>
              <w:spacing w:after="0"/>
              <w:rPr>
                <w:sz w:val="20"/>
                <w:szCs w:val="20"/>
                <w:color w:val="auto"/>
              </w:rPr>
            </w:pPr>
            <w:r>
              <w:rPr>
                <w:rFonts w:ascii="Arial" w:cs="Arial" w:eastAsia="Arial" w:hAnsi="Arial"/>
                <w:sz w:val="18"/>
                <w:szCs w:val="18"/>
                <w:color w:val="auto"/>
              </w:rPr>
              <w:t>2025 notes—</w:t>
            </w:r>
          </w:p>
        </w:tc>
        <w:tc>
          <w:tcPr>
            <w:tcW w:w="1900" w:type="dxa"/>
            <w:vAlign w:val="bottom"/>
          </w:tcPr>
          <w:p>
            <w:pPr>
              <w:ind w:left="360"/>
              <w:spacing w:after="0"/>
              <w:rPr>
                <w:sz w:val="20"/>
                <w:szCs w:val="20"/>
                <w:color w:val="auto"/>
              </w:rPr>
            </w:pPr>
            <w:r>
              <w:rPr>
                <w:rFonts w:ascii="Arial" w:cs="Arial" w:eastAsia="Arial" w:hAnsi="Arial"/>
                <w:sz w:val="18"/>
                <w:szCs w:val="18"/>
                <w:color w:val="auto"/>
              </w:rPr>
              <w:t>% per year</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8"/>
                <w:szCs w:val="18"/>
                <w:color w:val="auto"/>
              </w:rPr>
              <w:t>2028 notes—</w:t>
            </w:r>
          </w:p>
        </w:tc>
        <w:tc>
          <w:tcPr>
            <w:tcW w:w="1900" w:type="dxa"/>
            <w:vAlign w:val="bottom"/>
          </w:tcPr>
          <w:p>
            <w:pPr>
              <w:ind w:left="360"/>
              <w:spacing w:after="0"/>
              <w:rPr>
                <w:sz w:val="20"/>
                <w:szCs w:val="20"/>
                <w:color w:val="auto"/>
              </w:rPr>
            </w:pPr>
            <w:r>
              <w:rPr>
                <w:rFonts w:ascii="Arial" w:cs="Arial" w:eastAsia="Arial" w:hAnsi="Arial"/>
                <w:sz w:val="18"/>
                <w:szCs w:val="18"/>
                <w:color w:val="auto"/>
              </w:rPr>
              <w:t>% per year</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8"/>
                <w:szCs w:val="18"/>
                <w:color w:val="auto"/>
              </w:rPr>
              <w:t>2031 notes—</w:t>
            </w:r>
          </w:p>
        </w:tc>
        <w:tc>
          <w:tcPr>
            <w:tcW w:w="1900" w:type="dxa"/>
            <w:vAlign w:val="bottom"/>
          </w:tcPr>
          <w:p>
            <w:pPr>
              <w:ind w:left="360"/>
              <w:spacing w:after="0"/>
              <w:rPr>
                <w:sz w:val="20"/>
                <w:szCs w:val="20"/>
                <w:color w:val="auto"/>
              </w:rPr>
            </w:pPr>
            <w:r>
              <w:rPr>
                <w:rFonts w:ascii="Arial" w:cs="Arial" w:eastAsia="Arial" w:hAnsi="Arial"/>
                <w:sz w:val="18"/>
                <w:szCs w:val="18"/>
                <w:color w:val="auto"/>
              </w:rPr>
              <w:t>% per year</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spacing w:after="0"/>
              <w:rPr>
                <w:sz w:val="24"/>
                <w:szCs w:val="24"/>
                <w:color w:val="auto"/>
              </w:rPr>
            </w:pPr>
          </w:p>
        </w:tc>
        <w:tc>
          <w:tcPr>
            <w:tcW w:w="2020" w:type="dxa"/>
            <w:vAlign w:val="bottom"/>
            <w:gridSpan w:val="2"/>
          </w:tcPr>
          <w:p>
            <w:pPr>
              <w:ind w:left="720"/>
              <w:spacing w:after="0"/>
              <w:rPr>
                <w:sz w:val="20"/>
                <w:szCs w:val="20"/>
                <w:color w:val="auto"/>
              </w:rPr>
            </w:pPr>
            <w:r>
              <w:rPr>
                <w:rFonts w:ascii="Arial" w:cs="Arial" w:eastAsia="Arial" w:hAnsi="Arial"/>
                <w:sz w:val="18"/>
                <w:szCs w:val="18"/>
                <w:color w:val="auto"/>
              </w:rPr>
              <w:t>2050 notes—</w:t>
            </w:r>
          </w:p>
        </w:tc>
        <w:tc>
          <w:tcPr>
            <w:tcW w:w="1900" w:type="dxa"/>
            <w:vAlign w:val="bottom"/>
          </w:tcPr>
          <w:p>
            <w:pPr>
              <w:ind w:left="360"/>
              <w:spacing w:after="0"/>
              <w:rPr>
                <w:sz w:val="20"/>
                <w:szCs w:val="20"/>
                <w:color w:val="auto"/>
              </w:rPr>
            </w:pPr>
            <w:r>
              <w:rPr>
                <w:rFonts w:ascii="Arial" w:cs="Arial" w:eastAsia="Arial" w:hAnsi="Arial"/>
                <w:sz w:val="18"/>
                <w:szCs w:val="18"/>
                <w:color w:val="auto"/>
              </w:rPr>
              <w:t>% per year</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2620" w:type="dxa"/>
            <w:vAlign w:val="bottom"/>
          </w:tcPr>
          <w:p>
            <w:pPr>
              <w:ind w:left="240"/>
              <w:spacing w:after="0"/>
              <w:rPr>
                <w:sz w:val="20"/>
                <w:szCs w:val="20"/>
                <w:color w:val="auto"/>
              </w:rPr>
            </w:pPr>
            <w:r>
              <w:rPr>
                <w:rFonts w:ascii="Arial" w:cs="Arial" w:eastAsia="Arial" w:hAnsi="Arial"/>
                <w:sz w:val="18"/>
                <w:szCs w:val="18"/>
                <w:color w:val="auto"/>
              </w:rPr>
              <w:t>Interest Payment Dates</w:t>
            </w:r>
          </w:p>
        </w:tc>
        <w:tc>
          <w:tcPr>
            <w:tcW w:w="3920" w:type="dxa"/>
            <w:vAlign w:val="bottom"/>
            <w:gridSpan w:val="3"/>
          </w:tcPr>
          <w:p>
            <w:pPr>
              <w:ind w:left="720"/>
              <w:spacing w:after="0"/>
              <w:rPr>
                <w:sz w:val="20"/>
                <w:szCs w:val="20"/>
                <w:color w:val="auto"/>
              </w:rPr>
            </w:pPr>
            <w:r>
              <w:rPr>
                <w:rFonts w:ascii="Arial" w:cs="Arial" w:eastAsia="Arial" w:hAnsi="Arial"/>
                <w:sz w:val="18"/>
                <w:szCs w:val="18"/>
                <w:color w:val="auto"/>
              </w:rPr>
              <w:t>For the 2025 notes and the 2050 notes,</w:t>
            </w:r>
          </w:p>
        </w:tc>
        <w:tc>
          <w:tcPr>
            <w:tcW w:w="880" w:type="dxa"/>
            <w:vAlign w:val="bottom"/>
          </w:tcPr>
          <w:p>
            <w:pPr>
              <w:ind w:left="280"/>
              <w:spacing w:after="0"/>
              <w:rPr>
                <w:sz w:val="20"/>
                <w:szCs w:val="20"/>
                <w:color w:val="auto"/>
              </w:rPr>
            </w:pPr>
            <w:r>
              <w:rPr>
                <w:rFonts w:ascii="Arial" w:cs="Arial" w:eastAsia="Arial" w:hAnsi="Arial"/>
                <w:sz w:val="18"/>
                <w:szCs w:val="18"/>
                <w:color w:val="auto"/>
              </w:rPr>
              <w:t>and</w:t>
            </w:r>
          </w:p>
        </w:tc>
        <w:tc>
          <w:tcPr>
            <w:tcW w:w="2680" w:type="dxa"/>
            <w:vAlign w:val="bottom"/>
            <w:gridSpan w:val="2"/>
          </w:tcPr>
          <w:p>
            <w:pPr>
              <w:ind w:left="360"/>
              <w:spacing w:after="0"/>
              <w:rPr>
                <w:sz w:val="20"/>
                <w:szCs w:val="20"/>
                <w:color w:val="auto"/>
              </w:rPr>
            </w:pPr>
            <w:r>
              <w:rPr>
                <w:rFonts w:ascii="Arial" w:cs="Arial" w:eastAsia="Arial" w:hAnsi="Arial"/>
                <w:sz w:val="18"/>
                <w:szCs w:val="18"/>
                <w:color w:val="auto"/>
              </w:rPr>
              <w:t>of each year, beginning</w:t>
            </w:r>
          </w:p>
        </w:tc>
        <w:tc>
          <w:tcPr>
            <w:tcW w:w="1140" w:type="dxa"/>
            <w:vAlign w:val="bottom"/>
          </w:tcPr>
          <w:p>
            <w:pPr>
              <w:jc w:val="right"/>
              <w:ind w:right="552"/>
              <w:spacing w:after="0"/>
              <w:rPr>
                <w:sz w:val="20"/>
                <w:szCs w:val="20"/>
                <w:color w:val="auto"/>
              </w:rPr>
            </w:pPr>
            <w:r>
              <w:rPr>
                <w:rFonts w:ascii="Arial" w:cs="Arial" w:eastAsia="Arial" w:hAnsi="Arial"/>
                <w:sz w:val="18"/>
                <w:szCs w:val="18"/>
                <w:color w:val="auto"/>
                <w:w w:val="87"/>
              </w:rPr>
              <w:t>, 2021.</w:t>
            </w:r>
          </w:p>
        </w:tc>
      </w:tr>
      <w:tr>
        <w:trPr>
          <w:trHeight w:val="426"/>
        </w:trPr>
        <w:tc>
          <w:tcPr>
            <w:tcW w:w="2620" w:type="dxa"/>
            <w:vAlign w:val="bottom"/>
          </w:tcPr>
          <w:p>
            <w:pPr>
              <w:spacing w:after="0"/>
              <w:rPr>
                <w:sz w:val="24"/>
                <w:szCs w:val="24"/>
                <w:color w:val="auto"/>
              </w:rPr>
            </w:pPr>
          </w:p>
        </w:tc>
        <w:tc>
          <w:tcPr>
            <w:tcW w:w="3920" w:type="dxa"/>
            <w:vAlign w:val="bottom"/>
            <w:gridSpan w:val="3"/>
          </w:tcPr>
          <w:p>
            <w:pPr>
              <w:ind w:left="720"/>
              <w:spacing w:after="0"/>
              <w:rPr>
                <w:sz w:val="20"/>
                <w:szCs w:val="20"/>
                <w:color w:val="auto"/>
              </w:rPr>
            </w:pPr>
            <w:r>
              <w:rPr>
                <w:rFonts w:ascii="Arial" w:cs="Arial" w:eastAsia="Arial" w:hAnsi="Arial"/>
                <w:sz w:val="18"/>
                <w:szCs w:val="18"/>
                <w:color w:val="auto"/>
              </w:rPr>
              <w:t>For the 2028 notes and the 2031 notes,</w:t>
            </w:r>
          </w:p>
        </w:tc>
        <w:tc>
          <w:tcPr>
            <w:tcW w:w="880" w:type="dxa"/>
            <w:vAlign w:val="bottom"/>
          </w:tcPr>
          <w:p>
            <w:pPr>
              <w:ind w:left="280"/>
              <w:spacing w:after="0"/>
              <w:rPr>
                <w:sz w:val="20"/>
                <w:szCs w:val="20"/>
                <w:color w:val="auto"/>
              </w:rPr>
            </w:pPr>
            <w:r>
              <w:rPr>
                <w:rFonts w:ascii="Arial" w:cs="Arial" w:eastAsia="Arial" w:hAnsi="Arial"/>
                <w:sz w:val="18"/>
                <w:szCs w:val="18"/>
                <w:color w:val="auto"/>
              </w:rPr>
              <w:t>and</w:t>
            </w:r>
          </w:p>
        </w:tc>
        <w:tc>
          <w:tcPr>
            <w:tcW w:w="1440" w:type="dxa"/>
            <w:vAlign w:val="bottom"/>
          </w:tcPr>
          <w:p>
            <w:pPr>
              <w:ind w:left="360"/>
              <w:spacing w:after="0"/>
              <w:rPr>
                <w:sz w:val="20"/>
                <w:szCs w:val="20"/>
                <w:color w:val="auto"/>
              </w:rPr>
            </w:pPr>
            <w:r>
              <w:rPr>
                <w:rFonts w:ascii="Arial" w:cs="Arial" w:eastAsia="Arial" w:hAnsi="Arial"/>
                <w:sz w:val="18"/>
                <w:szCs w:val="18"/>
                <w:color w:val="auto"/>
              </w:rPr>
              <w:t>of each</w:t>
            </w:r>
          </w:p>
        </w:tc>
        <w:tc>
          <w:tcPr>
            <w:tcW w:w="1240" w:type="dxa"/>
            <w:vAlign w:val="bottom"/>
          </w:tcPr>
          <w:p>
            <w:pPr>
              <w:ind w:left="120"/>
              <w:spacing w:after="0"/>
              <w:rPr>
                <w:sz w:val="20"/>
                <w:szCs w:val="20"/>
                <w:color w:val="auto"/>
              </w:rPr>
            </w:pPr>
            <w:r>
              <w:rPr>
                <w:rFonts w:ascii="Arial" w:cs="Arial" w:eastAsia="Arial" w:hAnsi="Arial"/>
                <w:sz w:val="18"/>
                <w:szCs w:val="18"/>
                <w:color w:val="auto"/>
                <w:w w:val="89"/>
              </w:rPr>
              <w:t>year, beginning</w:t>
            </w:r>
          </w:p>
        </w:tc>
        <w:tc>
          <w:tcPr>
            <w:tcW w:w="1140" w:type="dxa"/>
            <w:vAlign w:val="bottom"/>
          </w:tcPr>
          <w:p>
            <w:pPr>
              <w:jc w:val="right"/>
              <w:ind w:right="332"/>
              <w:spacing w:after="0"/>
              <w:rPr>
                <w:sz w:val="20"/>
                <w:szCs w:val="20"/>
                <w:color w:val="auto"/>
              </w:rPr>
            </w:pPr>
            <w:r>
              <w:rPr>
                <w:rFonts w:ascii="Arial" w:cs="Arial" w:eastAsia="Arial" w:hAnsi="Arial"/>
                <w:sz w:val="18"/>
                <w:szCs w:val="18"/>
                <w:color w:val="auto"/>
              </w:rPr>
              <w:t>,</w:t>
            </w:r>
          </w:p>
        </w:tc>
      </w:tr>
      <w:tr>
        <w:trPr>
          <w:trHeight w:val="222"/>
        </w:trPr>
        <w:tc>
          <w:tcPr>
            <w:tcW w:w="2620" w:type="dxa"/>
            <w:vAlign w:val="bottom"/>
          </w:tcPr>
          <w:p>
            <w:pPr>
              <w:spacing w:after="0"/>
              <w:rPr>
                <w:sz w:val="19"/>
                <w:szCs w:val="19"/>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44"/>
        </w:trPr>
        <w:tc>
          <w:tcPr>
            <w:tcW w:w="2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427"/>
        </w:trPr>
        <w:tc>
          <w:tcPr>
            <w:tcW w:w="2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Pr>
          <w:p>
            <w:pPr>
              <w:ind w:left="860"/>
              <w:spacing w:after="0"/>
              <w:rPr>
                <w:sz w:val="20"/>
                <w:szCs w:val="20"/>
                <w:color w:val="auto"/>
              </w:rPr>
            </w:pPr>
            <w:r>
              <w:rPr>
                <w:rFonts w:ascii="Arial" w:cs="Arial" w:eastAsia="Arial" w:hAnsi="Arial"/>
                <w:sz w:val="18"/>
                <w:szCs w:val="18"/>
                <w:color w:val="auto"/>
              </w:rPr>
              <w:t>S-2</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26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4967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49676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Optional Redemption</w:t>
            </w: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93"/>
              </w:rPr>
              <w:t>We may elect to redeem and repay any or all of the notes at any time in minimum principal amounts of</w:t>
            </w:r>
          </w:p>
        </w:tc>
      </w:tr>
      <w:tr>
        <w:trPr>
          <w:trHeight w:val="216"/>
        </w:trPr>
        <w:tc>
          <w:tcPr>
            <w:tcW w:w="2420" w:type="dxa"/>
            <w:vAlign w:val="bottom"/>
          </w:tcPr>
          <w:p>
            <w:pPr>
              <w:spacing w:after="0"/>
              <w:rPr>
                <w:sz w:val="18"/>
                <w:szCs w:val="18"/>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92"/>
              </w:rPr>
              <w:t>$2,000 or any integral multiple of $1,000 in excess thereof. If we elect to redeem and repay (i) the 2025</w:t>
            </w:r>
          </w:p>
        </w:tc>
      </w:tr>
      <w:tr>
        <w:trPr>
          <w:trHeight w:val="216"/>
        </w:trPr>
        <w:tc>
          <w:tcPr>
            <w:tcW w:w="2420" w:type="dxa"/>
            <w:vAlign w:val="bottom"/>
          </w:tcPr>
          <w:p>
            <w:pPr>
              <w:spacing w:after="0"/>
              <w:rPr>
                <w:sz w:val="18"/>
                <w:szCs w:val="18"/>
                <w:color w:val="auto"/>
              </w:rPr>
            </w:pPr>
          </w:p>
        </w:tc>
        <w:tc>
          <w:tcPr>
            <w:tcW w:w="1700" w:type="dxa"/>
            <w:vAlign w:val="bottom"/>
          </w:tcPr>
          <w:p>
            <w:pPr>
              <w:ind w:left="680"/>
              <w:spacing w:after="0"/>
              <w:rPr>
                <w:sz w:val="20"/>
                <w:szCs w:val="20"/>
                <w:color w:val="auto"/>
              </w:rPr>
            </w:pPr>
            <w:r>
              <w:rPr>
                <w:rFonts w:ascii="Arial" w:cs="Arial" w:eastAsia="Arial" w:hAnsi="Arial"/>
                <w:sz w:val="18"/>
                <w:szCs w:val="18"/>
                <w:color w:val="auto"/>
                <w:w w:val="99"/>
              </w:rPr>
              <w:t>notes before</w:t>
            </w:r>
          </w:p>
        </w:tc>
        <w:tc>
          <w:tcPr>
            <w:tcW w:w="6600" w:type="dxa"/>
            <w:vAlign w:val="bottom"/>
          </w:tcPr>
          <w:p>
            <w:pPr>
              <w:ind w:left="560"/>
              <w:spacing w:after="0"/>
              <w:rPr>
                <w:sz w:val="20"/>
                <w:szCs w:val="20"/>
                <w:color w:val="auto"/>
              </w:rPr>
            </w:pPr>
            <w:r>
              <w:rPr>
                <w:rFonts w:ascii="Arial" w:cs="Arial" w:eastAsia="Arial" w:hAnsi="Arial"/>
                <w:sz w:val="18"/>
                <w:szCs w:val="18"/>
                <w:color w:val="auto"/>
                <w:w w:val="92"/>
              </w:rPr>
              <w:t>, 2025 (one month prior to the maturity date of the 2025 notes), (ii) the 2028 notes</w:t>
            </w:r>
          </w:p>
        </w:tc>
      </w:tr>
      <w:tr>
        <w:trPr>
          <w:trHeight w:val="216"/>
        </w:trPr>
        <w:tc>
          <w:tcPr>
            <w:tcW w:w="2420" w:type="dxa"/>
            <w:vAlign w:val="bottom"/>
          </w:tcPr>
          <w:p>
            <w:pPr>
              <w:spacing w:after="0"/>
              <w:rPr>
                <w:sz w:val="18"/>
                <w:szCs w:val="18"/>
                <w:color w:val="auto"/>
              </w:rPr>
            </w:pPr>
          </w:p>
        </w:tc>
        <w:tc>
          <w:tcPr>
            <w:tcW w:w="1700" w:type="dxa"/>
            <w:vAlign w:val="bottom"/>
          </w:tcPr>
          <w:p>
            <w:pPr>
              <w:ind w:left="680"/>
              <w:spacing w:after="0"/>
              <w:rPr>
                <w:sz w:val="20"/>
                <w:szCs w:val="20"/>
                <w:color w:val="auto"/>
              </w:rPr>
            </w:pPr>
            <w:r>
              <w:rPr>
                <w:rFonts w:ascii="Arial" w:cs="Arial" w:eastAsia="Arial" w:hAnsi="Arial"/>
                <w:sz w:val="18"/>
                <w:szCs w:val="18"/>
                <w:color w:val="auto"/>
              </w:rPr>
              <w:t>before</w:t>
            </w:r>
          </w:p>
        </w:tc>
        <w:tc>
          <w:tcPr>
            <w:tcW w:w="6600" w:type="dxa"/>
            <w:vAlign w:val="bottom"/>
          </w:tcPr>
          <w:p>
            <w:pPr>
              <w:ind w:left="140"/>
              <w:spacing w:after="0"/>
              <w:rPr>
                <w:sz w:val="20"/>
                <w:szCs w:val="20"/>
                <w:color w:val="auto"/>
              </w:rPr>
            </w:pPr>
            <w:r>
              <w:rPr>
                <w:rFonts w:ascii="Arial" w:cs="Arial" w:eastAsia="Arial" w:hAnsi="Arial"/>
                <w:sz w:val="18"/>
                <w:szCs w:val="18"/>
                <w:color w:val="auto"/>
                <w:w w:val="97"/>
              </w:rPr>
              <w:t>, 2028 (two months prior to the maturity date of the 2028 notes), (iii) the 2031 notes</w:t>
            </w:r>
          </w:p>
        </w:tc>
      </w:tr>
      <w:tr>
        <w:trPr>
          <w:trHeight w:val="216"/>
        </w:trPr>
        <w:tc>
          <w:tcPr>
            <w:tcW w:w="2420" w:type="dxa"/>
            <w:vAlign w:val="bottom"/>
          </w:tcPr>
          <w:p>
            <w:pPr>
              <w:spacing w:after="0"/>
              <w:rPr>
                <w:sz w:val="18"/>
                <w:szCs w:val="18"/>
                <w:color w:val="auto"/>
              </w:rPr>
            </w:pPr>
          </w:p>
        </w:tc>
        <w:tc>
          <w:tcPr>
            <w:tcW w:w="1700" w:type="dxa"/>
            <w:vAlign w:val="bottom"/>
          </w:tcPr>
          <w:p>
            <w:pPr>
              <w:ind w:left="680"/>
              <w:spacing w:after="0"/>
              <w:rPr>
                <w:sz w:val="20"/>
                <w:szCs w:val="20"/>
                <w:color w:val="auto"/>
              </w:rPr>
            </w:pPr>
            <w:r>
              <w:rPr>
                <w:rFonts w:ascii="Arial" w:cs="Arial" w:eastAsia="Arial" w:hAnsi="Arial"/>
                <w:sz w:val="18"/>
                <w:szCs w:val="18"/>
                <w:color w:val="auto"/>
              </w:rPr>
              <w:t>before</w:t>
            </w:r>
          </w:p>
        </w:tc>
        <w:tc>
          <w:tcPr>
            <w:tcW w:w="6600" w:type="dxa"/>
            <w:vAlign w:val="bottom"/>
          </w:tcPr>
          <w:p>
            <w:pPr>
              <w:ind w:left="140"/>
              <w:spacing w:after="0"/>
              <w:rPr>
                <w:sz w:val="20"/>
                <w:szCs w:val="20"/>
                <w:color w:val="auto"/>
              </w:rPr>
            </w:pPr>
            <w:r>
              <w:rPr>
                <w:rFonts w:ascii="Arial" w:cs="Arial" w:eastAsia="Arial" w:hAnsi="Arial"/>
                <w:sz w:val="18"/>
                <w:szCs w:val="18"/>
                <w:color w:val="auto"/>
                <w:w w:val="93"/>
              </w:rPr>
              <w:t>, 2030 (three months prior to the maturity date of the 2031 notes) or (iv) the 2050 notes</w:t>
            </w:r>
          </w:p>
        </w:tc>
      </w:tr>
      <w:tr>
        <w:trPr>
          <w:trHeight w:val="216"/>
        </w:trPr>
        <w:tc>
          <w:tcPr>
            <w:tcW w:w="2420" w:type="dxa"/>
            <w:vAlign w:val="bottom"/>
          </w:tcPr>
          <w:p>
            <w:pPr>
              <w:spacing w:after="0"/>
              <w:rPr>
                <w:sz w:val="18"/>
                <w:szCs w:val="18"/>
                <w:color w:val="auto"/>
              </w:rPr>
            </w:pPr>
          </w:p>
        </w:tc>
        <w:tc>
          <w:tcPr>
            <w:tcW w:w="1700" w:type="dxa"/>
            <w:vAlign w:val="bottom"/>
          </w:tcPr>
          <w:p>
            <w:pPr>
              <w:ind w:left="680"/>
              <w:spacing w:after="0"/>
              <w:rPr>
                <w:sz w:val="20"/>
                <w:szCs w:val="20"/>
                <w:color w:val="auto"/>
              </w:rPr>
            </w:pPr>
            <w:r>
              <w:rPr>
                <w:rFonts w:ascii="Arial" w:cs="Arial" w:eastAsia="Arial" w:hAnsi="Arial"/>
                <w:sz w:val="18"/>
                <w:szCs w:val="18"/>
                <w:color w:val="auto"/>
              </w:rPr>
              <w:t>before</w:t>
            </w:r>
          </w:p>
        </w:tc>
        <w:tc>
          <w:tcPr>
            <w:tcW w:w="6600" w:type="dxa"/>
            <w:vAlign w:val="bottom"/>
          </w:tcPr>
          <w:p>
            <w:pPr>
              <w:ind w:left="140"/>
              <w:spacing w:after="0"/>
              <w:rPr>
                <w:sz w:val="20"/>
                <w:szCs w:val="20"/>
                <w:color w:val="auto"/>
              </w:rPr>
            </w:pPr>
            <w:r>
              <w:rPr>
                <w:rFonts w:ascii="Arial" w:cs="Arial" w:eastAsia="Arial" w:hAnsi="Arial"/>
                <w:sz w:val="18"/>
                <w:szCs w:val="18"/>
                <w:color w:val="auto"/>
                <w:w w:val="94"/>
              </w:rPr>
              <w:t>, 2050 (six months prior to the maturity date of the 2050 notes), we will pay an amount</w:t>
            </w:r>
          </w:p>
        </w:tc>
      </w:tr>
      <w:tr>
        <w:trPr>
          <w:trHeight w:val="216"/>
        </w:trPr>
        <w:tc>
          <w:tcPr>
            <w:tcW w:w="2420" w:type="dxa"/>
            <w:vAlign w:val="bottom"/>
          </w:tcPr>
          <w:p>
            <w:pPr>
              <w:spacing w:after="0"/>
              <w:rPr>
                <w:sz w:val="18"/>
                <w:szCs w:val="18"/>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88"/>
              </w:rPr>
              <w:t>equal to the greater of 100% of the principal amount of the notes of such series redeemed and repaid, or the</w:t>
            </w:r>
          </w:p>
        </w:tc>
      </w:tr>
      <w:tr>
        <w:trPr>
          <w:trHeight w:val="216"/>
        </w:trPr>
        <w:tc>
          <w:tcPr>
            <w:tcW w:w="2420" w:type="dxa"/>
            <w:vAlign w:val="bottom"/>
          </w:tcPr>
          <w:p>
            <w:pPr>
              <w:spacing w:after="0"/>
              <w:rPr>
                <w:sz w:val="18"/>
                <w:szCs w:val="18"/>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87"/>
              </w:rPr>
              <w:t>sum of the present values of the remaining scheduled payments of principal and interest on the notes of such</w:t>
            </w:r>
          </w:p>
        </w:tc>
      </w:tr>
      <w:tr>
        <w:trPr>
          <w:trHeight w:val="216"/>
        </w:trPr>
        <w:tc>
          <w:tcPr>
            <w:tcW w:w="2420" w:type="dxa"/>
            <w:vAlign w:val="bottom"/>
          </w:tcPr>
          <w:p>
            <w:pPr>
              <w:spacing w:after="0"/>
              <w:rPr>
                <w:sz w:val="18"/>
                <w:szCs w:val="18"/>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87"/>
              </w:rPr>
              <w:t>series to be redeemed and repaid that would be due if such series of notes matured on the applicable par call</w:t>
            </w:r>
          </w:p>
        </w:tc>
      </w:tr>
      <w:tr>
        <w:trPr>
          <w:trHeight w:val="216"/>
        </w:trPr>
        <w:tc>
          <w:tcPr>
            <w:tcW w:w="2420" w:type="dxa"/>
            <w:vAlign w:val="bottom"/>
          </w:tcPr>
          <w:p>
            <w:pPr>
              <w:spacing w:after="0"/>
              <w:rPr>
                <w:sz w:val="18"/>
                <w:szCs w:val="18"/>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89"/>
              </w:rPr>
              <w:t>date (exclusive of interest accrued to the date of redemption). If we elect to redeem and repay the notes of</w:t>
            </w:r>
          </w:p>
        </w:tc>
      </w:tr>
      <w:tr>
        <w:trPr>
          <w:trHeight w:val="216"/>
        </w:trPr>
        <w:tc>
          <w:tcPr>
            <w:tcW w:w="2420" w:type="dxa"/>
            <w:vAlign w:val="bottom"/>
          </w:tcPr>
          <w:p>
            <w:pPr>
              <w:spacing w:after="0"/>
              <w:rPr>
                <w:sz w:val="18"/>
                <w:szCs w:val="18"/>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92"/>
              </w:rPr>
              <w:t>any series on or after the applicable par call date, we will pay an amount equal to 100% of the principal</w:t>
            </w:r>
          </w:p>
        </w:tc>
      </w:tr>
      <w:tr>
        <w:trPr>
          <w:trHeight w:val="222"/>
        </w:trPr>
        <w:tc>
          <w:tcPr>
            <w:tcW w:w="2420" w:type="dxa"/>
            <w:vAlign w:val="bottom"/>
          </w:tcPr>
          <w:p>
            <w:pPr>
              <w:spacing w:after="0"/>
              <w:rPr>
                <w:sz w:val="19"/>
                <w:szCs w:val="19"/>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amount of the notes redeemed and repaid.</w:t>
            </w:r>
          </w:p>
        </w:tc>
      </w:tr>
      <w:tr>
        <w:trPr>
          <w:trHeight w:val="426"/>
        </w:trPr>
        <w:tc>
          <w:tcPr>
            <w:tcW w:w="2420" w:type="dxa"/>
            <w:vAlign w:val="bottom"/>
          </w:tcPr>
          <w:p>
            <w:pPr>
              <w:spacing w:after="0"/>
              <w:rPr>
                <w:sz w:val="24"/>
                <w:szCs w:val="24"/>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91"/>
              </w:rPr>
              <w:t>We will pay accrued interest on the notes redeemed to the redemption date. See "Description of Notes—</w:t>
            </w:r>
          </w:p>
        </w:tc>
      </w:tr>
      <w:tr>
        <w:trPr>
          <w:trHeight w:val="222"/>
        </w:trPr>
        <w:tc>
          <w:tcPr>
            <w:tcW w:w="2420" w:type="dxa"/>
            <w:vAlign w:val="bottom"/>
          </w:tcPr>
          <w:p>
            <w:pPr>
              <w:spacing w:after="0"/>
              <w:rPr>
                <w:sz w:val="19"/>
                <w:szCs w:val="19"/>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Optional Redemption" in this prospectus supplement.</w:t>
            </w: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88"/>
              </w:rPr>
              <w:t>If a change of control triggering event occurs, holders of the notes of each series may require us to purchase</w:t>
            </w:r>
          </w:p>
        </w:tc>
      </w:tr>
      <w:tr>
        <w:trPr>
          <w:trHeight w:val="216"/>
        </w:trPr>
        <w:tc>
          <w:tcPr>
            <w:tcW w:w="2420" w:type="dxa"/>
            <w:vAlign w:val="bottom"/>
          </w:tcPr>
          <w:p>
            <w:pPr>
              <w:spacing w:after="0"/>
              <w:rPr>
                <w:sz w:val="18"/>
                <w:szCs w:val="18"/>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88"/>
              </w:rPr>
              <w:t>all or a portion of such holders' notes at a price equal to 101% of the principal amount, plus accrued interest,</w:t>
            </w:r>
          </w:p>
        </w:tc>
      </w:tr>
      <w:tr>
        <w:trPr>
          <w:trHeight w:val="216"/>
        </w:trPr>
        <w:tc>
          <w:tcPr>
            <w:tcW w:w="2420" w:type="dxa"/>
            <w:vAlign w:val="bottom"/>
          </w:tcPr>
          <w:p>
            <w:pPr>
              <w:spacing w:after="0"/>
              <w:rPr>
                <w:sz w:val="18"/>
                <w:szCs w:val="18"/>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93"/>
              </w:rPr>
              <w:t>if any, to the date of purchase. See "Description of Notes—Change of Control Offer" in this prospectus</w:t>
            </w:r>
          </w:p>
        </w:tc>
      </w:tr>
      <w:tr>
        <w:trPr>
          <w:trHeight w:val="222"/>
        </w:trPr>
        <w:tc>
          <w:tcPr>
            <w:tcW w:w="2420" w:type="dxa"/>
            <w:vAlign w:val="bottom"/>
          </w:tcPr>
          <w:p>
            <w:pPr>
              <w:spacing w:after="0"/>
              <w:rPr>
                <w:sz w:val="19"/>
                <w:szCs w:val="19"/>
                <w:color w:val="auto"/>
              </w:rPr>
            </w:pPr>
          </w:p>
        </w:tc>
        <w:tc>
          <w:tcPr>
            <w:tcW w:w="1700" w:type="dxa"/>
            <w:vAlign w:val="bottom"/>
          </w:tcPr>
          <w:p>
            <w:pPr>
              <w:ind w:left="680"/>
              <w:spacing w:after="0"/>
              <w:rPr>
                <w:sz w:val="20"/>
                <w:szCs w:val="20"/>
                <w:color w:val="auto"/>
              </w:rPr>
            </w:pPr>
            <w:r>
              <w:rPr>
                <w:rFonts w:ascii="Arial" w:cs="Arial" w:eastAsia="Arial" w:hAnsi="Arial"/>
                <w:sz w:val="18"/>
                <w:szCs w:val="18"/>
                <w:color w:val="auto"/>
              </w:rPr>
              <w:t>supplement.</w:t>
            </w:r>
          </w:p>
        </w:tc>
        <w:tc>
          <w:tcPr>
            <w:tcW w:w="6600" w:type="dxa"/>
            <w:vAlign w:val="bottom"/>
          </w:tcPr>
          <w:p>
            <w:pPr>
              <w:spacing w:after="0"/>
              <w:rPr>
                <w:sz w:val="19"/>
                <w:szCs w:val="19"/>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color w:val="auto"/>
              </w:rPr>
              <w:t>Ranking</w:t>
            </w: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88"/>
              </w:rPr>
              <w:t>The notes and the guarantees will constitute the senior unsecured debt of Waste Management, Inc. and WM</w:t>
            </w:r>
          </w:p>
        </w:tc>
      </w:tr>
      <w:tr>
        <w:trPr>
          <w:trHeight w:val="216"/>
        </w:trPr>
        <w:tc>
          <w:tcPr>
            <w:tcW w:w="2420" w:type="dxa"/>
            <w:vAlign w:val="bottom"/>
          </w:tcPr>
          <w:p>
            <w:pPr>
              <w:spacing w:after="0"/>
              <w:rPr>
                <w:sz w:val="18"/>
                <w:szCs w:val="18"/>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98"/>
              </w:rPr>
              <w:t>Holdings, respectively, and will rank equally with all of our and its other existing and future senior</w:t>
            </w:r>
          </w:p>
        </w:tc>
      </w:tr>
      <w:tr>
        <w:trPr>
          <w:trHeight w:val="222"/>
        </w:trPr>
        <w:tc>
          <w:tcPr>
            <w:tcW w:w="2420" w:type="dxa"/>
            <w:vAlign w:val="bottom"/>
          </w:tcPr>
          <w:p>
            <w:pPr>
              <w:spacing w:after="0"/>
              <w:rPr>
                <w:sz w:val="19"/>
                <w:szCs w:val="19"/>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obligations from time to time outstanding.</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Covenants</w:t>
            </w: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w w:val="89"/>
              </w:rPr>
              <w:t>We will issue the notes under an indenture containing covenants for your benefit. These covenants restrict</w:t>
            </w:r>
          </w:p>
        </w:tc>
      </w:tr>
    </w:tbl>
    <w:p>
      <w:pPr>
        <w:ind w:left="3340"/>
        <w:spacing w:after="0"/>
        <w:rPr>
          <w:sz w:val="20"/>
          <w:szCs w:val="20"/>
          <w:color w:val="auto"/>
        </w:rPr>
      </w:pPr>
      <w:r>
        <w:rPr>
          <w:rFonts w:ascii="Arial" w:cs="Arial" w:eastAsia="Arial" w:hAnsi="Arial"/>
          <w:sz w:val="18"/>
          <w:szCs w:val="18"/>
          <w:color w:val="auto"/>
        </w:rPr>
        <w:t>our ability, with certain exceptions, to:</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  create, incur or assume debt secured by liens;</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  engage in sale and leaseback transactions; and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  merge, consolidate or transfer all or substantially all of our assets.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3733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37331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340" w:right="20" w:hanging="3104"/>
        <w:spacing w:after="0" w:line="288" w:lineRule="auto"/>
        <w:tabs>
          <w:tab w:leader="none" w:pos="33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from the offering of the notes to be $ , after deducting the underwriting discounts and estimated expenses of the offering that we will pay. We intend to use the net proceeds to repay all of the outstanding borrowings under our $3.0 billion revolving credit facility, to redeem our $400 million aggregate principal amount of 4.60% Senior Notes due March 2021, including the payment of accrued and unpaid interest, and for general corporate purposes. We issued a notice of redemption under the indenture governing such 4.60% Senior Notes due March 2021 on November 3, 2020. This prospectus supplement does not constitute a notice of redemption. Pending application of the net proceeds as described immediately above, we may temporarily invest in short-term investments. See "Use of Proceeds" in this prospectus supplement.</w:t>
      </w:r>
    </w:p>
    <w:p>
      <w:pPr>
        <w:spacing w:after="0" w:line="173" w:lineRule="exact"/>
        <w:rPr>
          <w:sz w:val="20"/>
          <w:szCs w:val="20"/>
          <w:color w:val="auto"/>
        </w:rPr>
      </w:pPr>
    </w:p>
    <w:p>
      <w:pPr>
        <w:ind w:left="3340"/>
        <w:spacing w:after="0" w:line="286" w:lineRule="auto"/>
        <w:rPr>
          <w:sz w:val="20"/>
          <w:szCs w:val="20"/>
          <w:color w:val="auto"/>
        </w:rPr>
      </w:pPr>
      <w:r>
        <w:rPr>
          <w:rFonts w:ascii="Arial" w:cs="Arial" w:eastAsia="Arial" w:hAnsi="Arial"/>
          <w:sz w:val="16"/>
          <w:szCs w:val="16"/>
          <w:color w:val="auto"/>
        </w:rPr>
        <w:t>Certain affiliates of Barclays Capital Inc., Mizuho Securities USA LLC, BofA Securities, Inc., J.P. Morgan Securities LLC, Scotia Capital (USA) Inc., BNP Paribas Securities Corp., Citigroup Global Markets Inc., Deutsche Bank Securities Inc., MUFG Securities Americas Inc., SMBC Nikko Securities America, Inc. and U.S. Bancorp Investments, Inc., respectively, are lenders to us under our $3.0 billion revolving credit facility and may receive 5% or more of the net proceeds of this offering by reason of the repayment of amounts outstanding thereunder. Accordingly, such underwriters are deemed to have a "conflict of interest" within the meaning of Rule 5121 of the Financial Industry Regulatory Authority, Inc.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are "investment grade rated" (as defined in FINRA Rule 5121). See "Underwriting (Conflicts of Interest)" in this prospectus supplement.</w:t>
      </w:r>
    </w:p>
    <w:p>
      <w:pPr>
        <w:spacing w:after="0" w:line="177" w:lineRule="exact"/>
        <w:rPr>
          <w:sz w:val="20"/>
          <w:szCs w:val="20"/>
          <w:color w:val="auto"/>
        </w:rPr>
      </w:pPr>
    </w:p>
    <w:p>
      <w:pPr>
        <w:ind w:left="240"/>
        <w:spacing w:after="0"/>
        <w:tabs>
          <w:tab w:leader="none" w:pos="3320" w:val="left"/>
        </w:tabs>
        <w:rPr>
          <w:sz w:val="20"/>
          <w:szCs w:val="20"/>
          <w:color w:val="auto"/>
        </w:rPr>
      </w:pPr>
      <w:r>
        <w:rPr>
          <w:rFonts w:ascii="Arial" w:cs="Arial" w:eastAsia="Arial" w:hAnsi="Arial"/>
          <w:sz w:val="18"/>
          <w:szCs w:val="18"/>
          <w:color w:val="auto"/>
        </w:rPr>
        <w:t>Trustee</w:t>
      </w:r>
      <w:r>
        <w:rPr>
          <w:sz w:val="20"/>
          <w:szCs w:val="20"/>
          <w:color w:val="auto"/>
        </w:rPr>
        <w:tab/>
      </w:r>
      <w:r>
        <w:rPr>
          <w:rFonts w:ascii="Arial" w:cs="Arial" w:eastAsia="Arial" w:hAnsi="Arial"/>
          <w:sz w:val="18"/>
          <w:szCs w:val="18"/>
          <w:color w:val="auto"/>
        </w:rPr>
        <w:t>The Bank of New York Mellon Trust Company, 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0"/>
        </w:trPr>
        <w:tc>
          <w:tcPr>
            <w:tcW w:w="230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Further Issues</w:t>
            </w:r>
          </w:p>
        </w:tc>
        <w:tc>
          <w:tcPr>
            <w:tcW w:w="894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w w:val="92"/>
              </w:rPr>
              <w:t>We may create and issue additional notes of each series ranking equally and ratably with the notes of such</w:t>
            </w:r>
          </w:p>
        </w:tc>
      </w:tr>
      <w:tr>
        <w:trPr>
          <w:trHeight w:val="216"/>
        </w:trPr>
        <w:tc>
          <w:tcPr>
            <w:tcW w:w="230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0"/>
              </w:rPr>
              <w:t>series offered by this prospectus supplement in all respects, so that such additional notes will be consolidated</w:t>
            </w:r>
          </w:p>
        </w:tc>
      </w:tr>
      <w:tr>
        <w:trPr>
          <w:trHeight w:val="216"/>
        </w:trPr>
        <w:tc>
          <w:tcPr>
            <w:tcW w:w="230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0"/>
              </w:rPr>
              <w:t>and form a single series with the notes of such series offered by this prospectus supplement and will have the</w:t>
            </w:r>
          </w:p>
        </w:tc>
      </w:tr>
      <w:tr>
        <w:trPr>
          <w:trHeight w:val="216"/>
        </w:trPr>
        <w:tc>
          <w:tcPr>
            <w:tcW w:w="230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0"/>
              </w:rPr>
              <w:t>same terms, as to status, redemption or otherwise except for the issue date, the initial interest payment date,</w:t>
            </w:r>
          </w:p>
        </w:tc>
      </w:tr>
      <w:tr>
        <w:trPr>
          <w:trHeight w:val="216"/>
        </w:trPr>
        <w:tc>
          <w:tcPr>
            <w:tcW w:w="230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if applicable, and the payment of interest accruing prior to the issue date of such additional notes; provided,</w:t>
            </w:r>
          </w:p>
        </w:tc>
      </w:tr>
      <w:tr>
        <w:trPr>
          <w:trHeight w:val="216"/>
        </w:trPr>
        <w:tc>
          <w:tcPr>
            <w:tcW w:w="2300" w:type="dxa"/>
            <w:vAlign w:val="bottom"/>
            <w:tcBorders>
              <w:left w:val="single" w:sz="8" w:color="auto"/>
            </w:tcBorders>
          </w:tcPr>
          <w:p>
            <w:pPr>
              <w:spacing w:after="0"/>
              <w:rPr>
                <w:sz w:val="18"/>
                <w:szCs w:val="18"/>
                <w:color w:val="auto"/>
              </w:rPr>
            </w:pPr>
          </w:p>
        </w:tc>
        <w:tc>
          <w:tcPr>
            <w:tcW w:w="89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however, that a separate CUSIP or ISIN will be issued for the additional notes, unless the notes and the</w:t>
            </w:r>
          </w:p>
        </w:tc>
      </w:tr>
      <w:tr>
        <w:trPr>
          <w:trHeight w:val="222"/>
        </w:trPr>
        <w:tc>
          <w:tcPr>
            <w:tcW w:w="2300" w:type="dxa"/>
            <w:vAlign w:val="bottom"/>
            <w:tcBorders>
              <w:left w:val="single" w:sz="8" w:color="auto"/>
            </w:tcBorders>
          </w:tcPr>
          <w:p>
            <w:pPr>
              <w:spacing w:after="0"/>
              <w:rPr>
                <w:sz w:val="19"/>
                <w:szCs w:val="19"/>
                <w:color w:val="auto"/>
              </w:rPr>
            </w:pPr>
          </w:p>
        </w:tc>
        <w:tc>
          <w:tcPr>
            <w:tcW w:w="89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additional notes are fungible for U.S. federal income tax purposes.</w:t>
            </w:r>
          </w:p>
        </w:tc>
      </w:tr>
      <w:tr>
        <w:trPr>
          <w:trHeight w:val="426"/>
        </w:trPr>
        <w:tc>
          <w:tcPr>
            <w:tcW w:w="230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89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1"/>
              </w:rPr>
              <w:t>See page S-6 of this prospectus supplement and page 6 of the accompanying prospectus for a discussion of</w:t>
            </w:r>
          </w:p>
        </w:tc>
      </w:tr>
      <w:tr>
        <w:trPr>
          <w:trHeight w:val="222"/>
        </w:trPr>
        <w:tc>
          <w:tcPr>
            <w:tcW w:w="2300" w:type="dxa"/>
            <w:vAlign w:val="bottom"/>
            <w:tcBorders>
              <w:left w:val="single" w:sz="8" w:color="auto"/>
            </w:tcBorders>
          </w:tcPr>
          <w:p>
            <w:pPr>
              <w:spacing w:after="0"/>
              <w:rPr>
                <w:sz w:val="19"/>
                <w:szCs w:val="19"/>
                <w:color w:val="auto"/>
              </w:rPr>
            </w:pPr>
          </w:p>
        </w:tc>
        <w:tc>
          <w:tcPr>
            <w:tcW w:w="894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the risks you should consider before investing in the notes.</w:t>
            </w:r>
          </w:p>
        </w:tc>
      </w:tr>
      <w:tr>
        <w:trPr>
          <w:trHeight w:val="228"/>
        </w:trPr>
        <w:tc>
          <w:tcPr>
            <w:tcW w:w="2300" w:type="dxa"/>
            <w:vAlign w:val="bottom"/>
            <w:tcBorders>
              <w:left w:val="single" w:sz="8" w:color="auto"/>
              <w:bottom w:val="single" w:sz="8" w:color="auto"/>
            </w:tcBorders>
          </w:tcPr>
          <w:p>
            <w:pPr>
              <w:spacing w:after="0"/>
              <w:rPr>
                <w:sz w:val="19"/>
                <w:szCs w:val="19"/>
                <w:color w:val="auto"/>
              </w:rPr>
            </w:pPr>
          </w:p>
        </w:tc>
        <w:tc>
          <w:tcPr>
            <w:tcW w:w="8940" w:type="dxa"/>
            <w:vAlign w:val="bottom"/>
            <w:tcBorders>
              <w:bottom w:val="single" w:sz="8" w:color="auto"/>
              <w:right w:val="single" w:sz="8" w:color="auto"/>
            </w:tcBorders>
          </w:tcPr>
          <w:p>
            <w:pPr>
              <w:spacing w:after="0"/>
              <w:rPr>
                <w:sz w:val="19"/>
                <w:szCs w:val="19"/>
                <w:color w:val="auto"/>
              </w:rPr>
            </w:pPr>
          </w:p>
        </w:tc>
      </w:tr>
      <w:tr>
        <w:trPr>
          <w:trHeight w:val="427"/>
        </w:trPr>
        <w:tc>
          <w:tcPr>
            <w:tcW w:w="2300" w:type="dxa"/>
            <w:vAlign w:val="bottom"/>
          </w:tcPr>
          <w:p>
            <w:pPr>
              <w:spacing w:after="0"/>
              <w:rPr>
                <w:sz w:val="24"/>
                <w:szCs w:val="24"/>
                <w:color w:val="auto"/>
              </w:rPr>
            </w:pPr>
          </w:p>
        </w:tc>
        <w:tc>
          <w:tcPr>
            <w:tcW w:w="8940" w:type="dxa"/>
            <w:vAlign w:val="bottom"/>
          </w:tcPr>
          <w:p>
            <w:pPr>
              <w:ind w:left="3200"/>
              <w:spacing w:after="0"/>
              <w:rPr>
                <w:sz w:val="20"/>
                <w:szCs w:val="20"/>
                <w:color w:val="auto"/>
              </w:rPr>
            </w:pPr>
            <w:r>
              <w:rPr>
                <w:rFonts w:ascii="Arial" w:cs="Arial" w:eastAsia="Arial" w:hAnsi="Arial"/>
                <w:sz w:val="18"/>
                <w:szCs w:val="18"/>
                <w:color w:val="auto"/>
              </w:rPr>
              <w:t>S-5</w:t>
            </w:r>
          </w:p>
        </w:tc>
      </w:tr>
      <w:tr>
        <w:trPr>
          <w:trHeight w:val="228"/>
        </w:trPr>
        <w:tc>
          <w:tcPr>
            <w:tcW w:w="2300" w:type="dxa"/>
            <w:vAlign w:val="bottom"/>
            <w:tcBorders>
              <w:bottom w:val="single" w:sz="8" w:color="808080"/>
            </w:tcBorders>
          </w:tcPr>
          <w:p>
            <w:pPr>
              <w:spacing w:after="0"/>
              <w:rPr>
                <w:sz w:val="19"/>
                <w:szCs w:val="19"/>
                <w:color w:val="auto"/>
              </w:rPr>
            </w:pPr>
          </w:p>
        </w:tc>
        <w:tc>
          <w:tcPr>
            <w:tcW w:w="8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88" w:lineRule="auto"/>
        <w:rPr>
          <w:rFonts w:ascii="Arial" w:cs="Arial" w:eastAsia="Arial" w:hAnsi="Arial"/>
          <w:sz w:val="16"/>
          <w:szCs w:val="16"/>
          <w:i w:val="1"/>
          <w:iCs w:val="1"/>
          <w:color w:val="0000EE"/>
        </w:rPr>
      </w:pPr>
      <w:hyperlink r:id="rId27">
        <w:r>
          <w:rPr>
            <w:rFonts w:ascii="Arial" w:cs="Arial" w:eastAsia="Arial" w:hAnsi="Arial"/>
            <w:sz w:val="16"/>
            <w:szCs w:val="16"/>
            <w:i w:val="1"/>
            <w:iCs w:val="1"/>
            <w:color w:val="auto"/>
          </w:rPr>
          <w:t xml:space="preserve">You should carefully consider the risk factors identified in Part I, Item 1A., "Risk Factors," of our </w:t>
        </w:r>
        <w:r>
          <w:rPr>
            <w:rFonts w:ascii="Arial" w:cs="Arial" w:eastAsia="Arial" w:hAnsi="Arial"/>
            <w:sz w:val="16"/>
            <w:szCs w:val="16"/>
            <w:i w:val="1"/>
            <w:iCs w:val="1"/>
            <w:u w:val="single" w:color="auto"/>
            <w:color w:val="0000EE"/>
          </w:rPr>
          <w:t>Annual Report on Form 10-K for the year ended</w:t>
        </w:r>
      </w:hyperlink>
      <w:r>
        <w:rPr>
          <w:rFonts w:ascii="Arial" w:cs="Arial" w:eastAsia="Arial" w:hAnsi="Arial"/>
          <w:sz w:val="16"/>
          <w:szCs w:val="16"/>
          <w:i w:val="1"/>
          <w:iCs w:val="1"/>
          <w:color w:val="auto"/>
        </w:rPr>
        <w:t xml:space="preserve"> </w:t>
      </w:r>
      <w:hyperlink r:id="rId27">
        <w:r>
          <w:rPr>
            <w:rFonts w:ascii="Arial" w:cs="Arial" w:eastAsia="Arial" w:hAnsi="Arial"/>
            <w:sz w:val="16"/>
            <w:szCs w:val="16"/>
            <w:i w:val="1"/>
            <w:iCs w:val="1"/>
            <w:u w:val="single" w:color="auto"/>
            <w:color w:val="0000EE"/>
          </w:rPr>
          <w:t>December 31, 2019,</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and in Part II Item 1A., "Risk Factors," of our Quarterly Reports on Form 10-Q for the quarters ended</w:t>
        </w:r>
        <w:r>
          <w:rPr>
            <w:rFonts w:ascii="Arial" w:cs="Arial" w:eastAsia="Arial" w:hAnsi="Arial"/>
            <w:sz w:val="16"/>
            <w:szCs w:val="16"/>
            <w:i w:val="1"/>
            <w:iCs w:val="1"/>
            <w:color w:val="0000EE"/>
          </w:rPr>
          <w:t xml:space="preserve"> </w:t>
        </w:r>
      </w:hyperlink>
      <w:hyperlink r:id="rId28">
        <w:r>
          <w:rPr>
            <w:rFonts w:ascii="Arial" w:cs="Arial" w:eastAsia="Arial" w:hAnsi="Arial"/>
            <w:sz w:val="16"/>
            <w:szCs w:val="16"/>
            <w:i w:val="1"/>
            <w:iCs w:val="1"/>
            <w:u w:val="single" w:color="auto"/>
            <w:color w:val="0000EE"/>
          </w:rPr>
          <w:t xml:space="preserve">March 31, 2020 </w:t>
        </w:r>
      </w:hyperlink>
      <w:hyperlink r:id="rId27">
        <w:r>
          <w:rPr>
            <w:rFonts w:ascii="Arial" w:cs="Arial" w:eastAsia="Arial" w:hAnsi="Arial"/>
            <w:sz w:val="16"/>
            <w:szCs w:val="16"/>
            <w:i w:val="1"/>
            <w:iCs w:val="1"/>
            <w:color w:val="000000"/>
          </w:rPr>
          <w:t>and</w:t>
        </w:r>
        <w:r>
          <w:rPr>
            <w:rFonts w:ascii="Arial" w:cs="Arial" w:eastAsia="Arial" w:hAnsi="Arial"/>
            <w:sz w:val="16"/>
            <w:szCs w:val="16"/>
            <w:i w:val="1"/>
            <w:iCs w:val="1"/>
            <w:color w:val="0000EE"/>
          </w:rPr>
          <w:t xml:space="preserve"> </w:t>
        </w:r>
      </w:hyperlink>
      <w:hyperlink r:id="rId29">
        <w:r>
          <w:rPr>
            <w:rFonts w:ascii="Arial" w:cs="Arial" w:eastAsia="Arial" w:hAnsi="Arial"/>
            <w:sz w:val="16"/>
            <w:szCs w:val="16"/>
            <w:i w:val="1"/>
            <w:iCs w:val="1"/>
            <w:u w:val="single" w:color="auto"/>
            <w:color w:val="0000EE"/>
          </w:rPr>
          <w:t>June 30, 2020</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388" w:lineRule="exact"/>
        <w:rPr>
          <w:rFonts w:ascii="Arial" w:cs="Arial" w:eastAsia="Arial" w:hAnsi="Arial"/>
          <w:sz w:val="16"/>
          <w:szCs w:val="16"/>
          <w:i w:val="1"/>
          <w:iCs w:val="1"/>
          <w:color w:val="0000EE"/>
        </w:rPr>
      </w:pPr>
    </w:p>
    <w:p>
      <w:pPr>
        <w:jc w:val="center"/>
        <w:ind w:right="40"/>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5"/>
          <w:szCs w:val="15"/>
          <w:b w:val="1"/>
          <w:bCs w:val="1"/>
          <w:i w:val="1"/>
          <w:iCs w:val="1"/>
          <w:color w:val="auto"/>
        </w:rPr>
        <w:t>Our substantial indebtedness could impair our financial condition and our ability to fulfill our debt obligations, including our obligations under the notes.</w:t>
      </w:r>
    </w:p>
    <w:p>
      <w:pPr>
        <w:spacing w:after="0" w:line="260" w:lineRule="exact"/>
        <w:rPr>
          <w:rFonts w:ascii="Arial" w:cs="Arial" w:eastAsia="Arial" w:hAnsi="Arial"/>
          <w:sz w:val="16"/>
          <w:szCs w:val="16"/>
          <w:i w:val="1"/>
          <w:iCs w:val="1"/>
          <w:color w:val="0000EE"/>
        </w:rPr>
      </w:pPr>
    </w:p>
    <w:p>
      <w:pPr>
        <w:ind w:right="20" w:firstLine="348"/>
        <w:spacing w:after="0" w:line="304" w:lineRule="auto"/>
        <w:rPr>
          <w:sz w:val="20"/>
          <w:szCs w:val="20"/>
          <w:color w:val="auto"/>
        </w:rPr>
      </w:pPr>
      <w:r>
        <w:rPr>
          <w:rFonts w:ascii="Arial" w:cs="Arial" w:eastAsia="Arial" w:hAnsi="Arial"/>
          <w:sz w:val="15"/>
          <w:szCs w:val="15"/>
          <w:color w:val="auto"/>
        </w:rPr>
        <w:t>We have substantial indebtedness. At September 30, 2020, our ratio of total debt to total capitalization was 59%, and we had $10.4 billion of total debt. As of September 30, 2020, after giving effect to (i) the Financing Transactions, as defined and discussed under "Capitalization," and (ii) the offering of the notes</w:t>
      </w:r>
    </w:p>
    <w:p>
      <w:pPr>
        <w:spacing w:after="0" w:line="1" w:lineRule="exact"/>
        <w:rPr>
          <w:rFonts w:ascii="Arial" w:cs="Arial" w:eastAsia="Arial" w:hAnsi="Arial"/>
          <w:sz w:val="16"/>
          <w:szCs w:val="16"/>
          <w:i w:val="1"/>
          <w:iCs w:val="1"/>
          <w:color w:val="0000EE"/>
        </w:rPr>
      </w:pPr>
    </w:p>
    <w:p>
      <w:pPr>
        <w:spacing w:after="0"/>
        <w:tabs>
          <w:tab w:leader="none" w:pos="9160" w:val="left"/>
        </w:tabs>
        <w:rPr>
          <w:sz w:val="20"/>
          <w:szCs w:val="20"/>
          <w:color w:val="auto"/>
        </w:rPr>
      </w:pPr>
      <w:r>
        <w:rPr>
          <w:rFonts w:ascii="Arial" w:cs="Arial" w:eastAsia="Arial" w:hAnsi="Arial"/>
          <w:sz w:val="18"/>
          <w:szCs w:val="18"/>
          <w:color w:val="auto"/>
        </w:rPr>
        <w:t>and the application of the net proceeds as discussed under "Use of Proceeds," our ratio of total debt to capitalization would be</w:t>
      </w:r>
      <w:r>
        <w:rPr>
          <w:sz w:val="20"/>
          <w:szCs w:val="20"/>
          <w:color w:val="auto"/>
        </w:rPr>
        <w:tab/>
      </w:r>
      <w:r>
        <w:rPr>
          <w:rFonts w:ascii="Arial" w:cs="Arial" w:eastAsia="Arial" w:hAnsi="Arial"/>
          <w:sz w:val="16"/>
          <w:szCs w:val="16"/>
          <w:color w:val="auto"/>
        </w:rPr>
        <w:t>% and we would have</w:t>
      </w:r>
    </w:p>
    <w:p>
      <w:pPr>
        <w:spacing w:after="0" w:line="9" w:lineRule="exact"/>
        <w:rPr>
          <w:rFonts w:ascii="Arial" w:cs="Arial" w:eastAsia="Arial" w:hAnsi="Arial"/>
          <w:sz w:val="16"/>
          <w:szCs w:val="16"/>
          <w:i w:val="1"/>
          <w:iCs w:val="1"/>
          <w:color w:val="0000EE"/>
        </w:rPr>
      </w:pPr>
    </w:p>
    <w:p>
      <w:pPr>
        <w:ind w:firstLine="8"/>
        <w:spacing w:after="0" w:line="287" w:lineRule="auto"/>
        <w:tabs>
          <w:tab w:leader="none" w:pos="658" w:val="left"/>
        </w:tabs>
        <w:numPr>
          <w:ilvl w:val="0"/>
          <w:numId w:val="5"/>
        </w:numPr>
        <w:rPr>
          <w:rFonts w:ascii="Arial" w:cs="Arial" w:eastAsia="Arial" w:hAnsi="Arial"/>
          <w:sz w:val="16"/>
          <w:szCs w:val="16"/>
          <w:color w:val="auto"/>
        </w:rPr>
      </w:pPr>
      <w:r>
        <w:rPr>
          <w:rFonts w:ascii="Arial" w:cs="Arial" w:eastAsia="Arial" w:hAnsi="Arial"/>
          <w:sz w:val="16"/>
          <w:szCs w:val="16"/>
          <w:color w:val="auto"/>
        </w:rPr>
        <w:t>billion of total debt. In addition, as of September 30, 2020, we had approximately $797 million of total letters of credit outstanding under our various facilities and certain bi-lateral agreements, including $269 million of such outstanding letters of credit that were issued under and supported by our $3.5 billion revolving credit facility. Our indebtedness that bears interest at a floating rate makes us vulnerable to changes in interest rates. As of September 30, 2020, we had approximately $2.2 billion of debt maturing within the next 12 months, including (i) $600 million of short-term borrowings under our commercial paper program; (ii) $400 million of 4.60% senior notes that mature in March 2021; (iii) $952 million of tax-exempt bonds with term interest rate periods that expire within the next 12 months, which is prior to their scheduled maturities; and (iv) $167 million of other debt with scheduled maturities within the next 12 months, including $63 million of tax-exempt bonds. Our level of indebtedness and the covenants contained in the agreements governing our debt could have important consequences, including:</w:t>
      </w:r>
    </w:p>
    <w:p>
      <w:pPr>
        <w:spacing w:after="0" w:line="191"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21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225" w:lineRule="exact"/>
        <w:rPr>
          <w:rFonts w:ascii="Arial" w:cs="Arial" w:eastAsia="Arial" w:hAnsi="Arial"/>
          <w:sz w:val="16"/>
          <w:szCs w:val="16"/>
          <w:i w:val="1"/>
          <w:iCs w:val="1"/>
          <w:color w:val="0000EE"/>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rFonts w:ascii="Arial" w:cs="Arial" w:eastAsia="Arial" w:hAnsi="Arial"/>
          <w:sz w:val="16"/>
          <w:szCs w:val="16"/>
          <w:i w:val="1"/>
          <w:iCs w:val="1"/>
          <w:color w:val="0000EE"/>
        </w:rPr>
      </w:pPr>
      <w:r>
        <w:rPr>
          <w:rFonts w:ascii="Arial" w:cs="Arial" w:eastAsia="Arial" w:hAnsi="Arial"/>
          <w:sz w:val="16"/>
          <w:szCs w:val="16"/>
          <w:i w:val="1"/>
          <w:iCs w:val="1"/>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are not prohibited under the indenture governing the notes from incurring additional indebtedness. Although our $3.0 billion revolving credit facility and our $3.5 billion revolving credit facility each requires us to comply with a specified ratio of Total Debt to EBITDA (each as defined in our $3.0 billion revolving credit facility and our $3.5 billion revolving credit facility, as applicable), following this offering of notes and the use of proceeds contemplated hereby, we expect to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225" w:lineRule="exact"/>
        <w:rPr>
          <w:sz w:val="20"/>
          <w:szCs w:val="20"/>
          <w:color w:val="auto"/>
        </w:rPr>
      </w:pPr>
    </w:p>
    <w:p>
      <w:pPr>
        <w:ind w:right="100" w:firstLine="341"/>
        <w:spacing w:after="0" w:line="253"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our secured debt.</w:t>
      </w:r>
    </w:p>
    <w:p>
      <w:pPr>
        <w:spacing w:after="0" w:line="225" w:lineRule="exact"/>
        <w:rPr>
          <w:sz w:val="20"/>
          <w:szCs w:val="20"/>
          <w:color w:val="auto"/>
        </w:rPr>
      </w:pPr>
    </w:p>
    <w:p>
      <w:pPr>
        <w:ind w:right="40" w:firstLine="348"/>
        <w:spacing w:after="0" w:line="282" w:lineRule="auto"/>
        <w:rPr>
          <w:sz w:val="20"/>
          <w:szCs w:val="20"/>
          <w:color w:val="auto"/>
        </w:rPr>
      </w:pPr>
      <w:r>
        <w:rPr>
          <w:rFonts w:ascii="Arial" w:cs="Arial" w:eastAsia="Arial" w:hAnsi="Arial"/>
          <w:sz w:val="16"/>
          <w:szCs w:val="16"/>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September 30, 2020 was $226 million. As of September 30, 2020, our operating subsidiaries had</w:t>
      </w:r>
    </w:p>
    <w:p>
      <w:pPr>
        <w:spacing w:after="0" w:line="5"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$2.235 billion of indebtedness and WM Holdings had $248 million of long-term debt (excluding guarantees of $6.076 billion of our senior debt), in each case excluding intercompany loans. For a description of the ranking of the notes, see "Description of Notes—Ranking" in this prospectus supplement.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guarantees of the notes.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effectively have priority with respect to WM Holdings' assets and earnings over the claims of the holders of the notes.</w:t>
      </w:r>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197"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notes of each series will be a new issue of securities. There is no existing active trading market for the notes of any series, and a market may never develop. We do not currently intend to apply for listing of any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210"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expect the net proceeds from the offering of the notes to be $ , after deducting the underwriting discounts and estimated expenses of the offering that we will pay. We intend to use the net proceeds to repay all of the outstanding borrowings under our $3.0 billion revolving credit facility, to redeem our $400 million aggregate principal amount of 4.60% Senior Notes due March 2021, including the payment of accrued and unpaid interest, and for general corporate purposes. We issued a notice of redemption under the indenture governing such 4.60% Senior Notes due March 2021 on November 3, 2020. This prospectus supplement does not constitute a notice of redemption. Pending application of the net proceeds as described immediately above, we may temporarily invest in short-term investments.</w:t>
      </w:r>
    </w:p>
    <w:p>
      <w:pPr>
        <w:spacing w:after="0" w:line="198" w:lineRule="exact"/>
        <w:rPr>
          <w:sz w:val="20"/>
          <w:szCs w:val="20"/>
          <w:color w:val="auto"/>
        </w:rPr>
      </w:pPr>
    </w:p>
    <w:p>
      <w:pPr>
        <w:ind w:right="180" w:firstLine="341"/>
        <w:spacing w:after="0" w:line="254" w:lineRule="auto"/>
        <w:rPr>
          <w:sz w:val="20"/>
          <w:szCs w:val="20"/>
          <w:color w:val="auto"/>
        </w:rPr>
      </w:pPr>
      <w:r>
        <w:rPr>
          <w:rFonts w:ascii="Arial" w:cs="Arial" w:eastAsia="Arial" w:hAnsi="Arial"/>
          <w:sz w:val="18"/>
          <w:szCs w:val="18"/>
          <w:color w:val="auto"/>
        </w:rPr>
        <w:t>As of November 3, 2020, we had $2.13 billion of outstanding borrowings under our $3.0 billion revolving credit facility, all of which were used to pay a portion of the Merger Closing Payments in connection with the closing of the Merger (see "Summary—Recent Developments—Acquisition of Advanced Disposal"). Our $3.0 billion revolving credit facility matures in July 2021, and outstanding borrowings thereunder bear interest quarterly at a rate generally based on LIBOR, plus a spread depending on our debt rating assigned by Moody's and S&amp;P (each as defined below). As of November 3, 2020, such rate was 1.3245% per week.</w:t>
      </w:r>
    </w:p>
    <w:p>
      <w:pPr>
        <w:spacing w:after="0" w:line="201"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Certain affiliates of Barclays Capital Inc., Mizuho Securities USA LLC, BofA Securities, Inc., J.P. Morgan Securities LLC, Scotia Capital (USA) Inc., BNP Paribas Securities Corp., Citigroup Global Markets Inc., Deutsche Bank Securities Inc., MUFG Securities Americas Inc., SMBC Nikko Securities America, Inc. and U.S. Bancorp Investments, Inc., respectively, are lenders to us under our $3.0 billion revolving credit facility and may receive 5% or more of the net proceeds of this offering by reason of the repayment of amounts outstanding thereunder.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are "investment grade rated" (as defined in FINRA Rule 5121). See "Underwriting (Conflicts of Interest)" in this prospectus supplement.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consolidated cash and cash equivalents and consolidated capitalization as of September 30, 2020:</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240" w:hanging="532"/>
        <w:spacing w:after="0" w:line="298"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an as adjusted basis to reflect (i) the borrowings outstanding under our $3.0 billion revolving credit facility and our commercial paper program immediately prior to the closing of the Merger and the use of proceeds therefrom to fund the Merger Closing Payments and (ii) the receipt of cash proceeds from the GFL Divestitures and the use thereof in connection with the closing of the Merger to repay a portion of the foregoing outstanding borrowings under our $3.0 billion revolving credit facility (collectively, the "Financing Transactions"); and</w:t>
      </w:r>
    </w:p>
    <w:p>
      <w:pPr>
        <w:spacing w:after="0" w:line="179"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as further adjusted basis to give effect to the offering of the notes and the application of the net proceeds to (i) repay all of the outstanding borrowings under our $3.0 billion revolving credit facility and (ii) redeem our 4.60% Senior Notes due March 2021. Cash and Cash Equivalents reflects both the payment of accrued and unpaid interest upon such redemption and excess net proceeds that we intend to use for general corporate purposes. See "Use of Proceeds" in this prospectus supplement.</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8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3"/>
              </w:rPr>
              <w:t>September 30, 2020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3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7"/>
              </w:rPr>
              <w:t>As Further</w:t>
            </w:r>
          </w:p>
        </w:tc>
        <w:tc>
          <w:tcPr>
            <w:tcW w:w="160" w:type="dxa"/>
            <w:vAlign w:val="bottom"/>
          </w:tcPr>
          <w:p>
            <w:pPr>
              <w:spacing w:after="0"/>
              <w:rPr>
                <w:sz w:val="11"/>
                <w:szCs w:val="11"/>
                <w:color w:val="auto"/>
              </w:rPr>
            </w:pPr>
          </w:p>
        </w:tc>
      </w:tr>
      <w:tr>
        <w:trPr>
          <w:trHeight w:val="161"/>
        </w:trPr>
        <w:tc>
          <w:tcPr>
            <w:tcW w:w="2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95"/>
              </w:rPr>
              <w:t>Actual</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8"/>
              </w:rPr>
              <w:t>As Adjusted(a)</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Adjusted(a)</w:t>
            </w: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w w:val="83"/>
              </w:rPr>
              <w:t>(Unaudited, Dollars in</w:t>
            </w:r>
          </w:p>
        </w:tc>
        <w:tc>
          <w:tcPr>
            <w:tcW w:w="16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millions)</w:t>
            </w:r>
          </w:p>
        </w:tc>
        <w:tc>
          <w:tcPr>
            <w:tcW w:w="160" w:type="dxa"/>
            <w:vAlign w:val="bottom"/>
          </w:tcPr>
          <w:p>
            <w:pPr>
              <w:spacing w:after="0"/>
              <w:rPr>
                <w:sz w:val="12"/>
                <w:szCs w:val="12"/>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668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42"/>
        </w:trPr>
        <w:tc>
          <w:tcPr>
            <w:tcW w:w="616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Debt:</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Commercial paper program(b)</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1,814</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1,814</w:t>
            </w:r>
          </w:p>
        </w:tc>
      </w:tr>
      <w:tr>
        <w:trPr>
          <w:trHeight w:val="148"/>
        </w:trPr>
        <w:tc>
          <w:tcPr>
            <w:tcW w:w="6160" w:type="dxa"/>
            <w:vAlign w:val="bottom"/>
            <w:gridSpan w:val="2"/>
          </w:tcPr>
          <w:p>
            <w:pPr>
              <w:ind w:left="140"/>
              <w:spacing w:after="0"/>
              <w:rPr>
                <w:sz w:val="20"/>
                <w:szCs w:val="20"/>
                <w:color w:val="auto"/>
              </w:rPr>
            </w:pPr>
            <w:r>
              <w:rPr>
                <w:rFonts w:ascii="Arial" w:cs="Arial" w:eastAsia="Arial" w:hAnsi="Arial"/>
                <w:sz w:val="13"/>
                <w:szCs w:val="13"/>
                <w:color w:val="auto"/>
              </w:rPr>
              <w:t>$3.5 billion revolving credit facility(b)(c)</w:t>
            </w:r>
          </w:p>
        </w:tc>
        <w:tc>
          <w:tcPr>
            <w:tcW w:w="80" w:type="dxa"/>
            <w:vAlign w:val="bottom"/>
          </w:tcPr>
          <w:p>
            <w:pPr>
              <w:spacing w:after="0"/>
              <w:rPr>
                <w:sz w:val="12"/>
                <w:szCs w:val="12"/>
                <w:color w:val="auto"/>
              </w:rPr>
            </w:pPr>
          </w:p>
        </w:tc>
        <w:tc>
          <w:tcPr>
            <w:tcW w:w="64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$3.0 billion revolving credit facility(d)</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2,130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6160" w:type="dxa"/>
            <w:vAlign w:val="bottom"/>
            <w:gridSpan w:val="2"/>
          </w:tcPr>
          <w:p>
            <w:pPr>
              <w:ind w:left="140"/>
              <w:spacing w:after="0"/>
              <w:rPr>
                <w:sz w:val="20"/>
                <w:szCs w:val="20"/>
                <w:color w:val="auto"/>
              </w:rPr>
            </w:pPr>
            <w:r>
              <w:rPr>
                <w:rFonts w:ascii="Arial" w:cs="Arial" w:eastAsia="Arial" w:hAnsi="Arial"/>
                <w:sz w:val="13"/>
                <w:szCs w:val="13"/>
                <w:color w:val="auto"/>
              </w:rPr>
              <w:t>Senior notes, maturing through 2049</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6,365</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6,365</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5,965</w:t>
            </w:r>
          </w:p>
        </w:tc>
      </w:tr>
      <w:tr>
        <w:trPr>
          <w:trHeight w:val="148"/>
        </w:trPr>
        <w:tc>
          <w:tcPr>
            <w:tcW w:w="6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Canadian senior notes, C$500 million maturing September 2026(e)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375</w:t>
            </w:r>
          </w:p>
        </w:tc>
      </w:tr>
      <w:tr>
        <w:trPr>
          <w:trHeight w:val="148"/>
        </w:trPr>
        <w:tc>
          <w:tcPr>
            <w:tcW w:w="6160" w:type="dxa"/>
            <w:vAlign w:val="bottom"/>
            <w:gridSpan w:val="2"/>
          </w:tcPr>
          <w:p>
            <w:pPr>
              <w:ind w:left="420"/>
              <w:spacing w:after="0"/>
              <w:rPr>
                <w:sz w:val="20"/>
                <w:szCs w:val="20"/>
                <w:color w:val="auto"/>
              </w:rPr>
            </w:pPr>
            <w:r>
              <w:rPr>
                <w:rFonts w:ascii="Arial" w:cs="Arial" w:eastAsia="Arial" w:hAnsi="Arial"/>
                <w:sz w:val="13"/>
                <w:szCs w:val="13"/>
                <w:color w:val="auto"/>
              </w:rPr>
              <w:t>% Senior Notes due 2025 offered hereby (including unamortized discount)</w:t>
            </w:r>
          </w:p>
        </w:tc>
        <w:tc>
          <w:tcPr>
            <w:tcW w:w="80" w:type="dxa"/>
            <w:vAlign w:val="bottom"/>
          </w:tcPr>
          <w:p>
            <w:pPr>
              <w:spacing w:after="0"/>
              <w:rPr>
                <w:sz w:val="12"/>
                <w:szCs w:val="12"/>
                <w:color w:val="auto"/>
              </w:rPr>
            </w:pPr>
          </w:p>
        </w:tc>
        <w:tc>
          <w:tcPr>
            <w:tcW w:w="64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61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 Senior Notes due 2028 offered hereby (including unamortized discount)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160" w:type="dxa"/>
            <w:vAlign w:val="bottom"/>
            <w:gridSpan w:val="2"/>
          </w:tcPr>
          <w:p>
            <w:pPr>
              <w:ind w:left="420"/>
              <w:spacing w:after="0"/>
              <w:rPr>
                <w:sz w:val="20"/>
                <w:szCs w:val="20"/>
                <w:color w:val="auto"/>
              </w:rPr>
            </w:pPr>
            <w:r>
              <w:rPr>
                <w:rFonts w:ascii="Arial" w:cs="Arial" w:eastAsia="Arial" w:hAnsi="Arial"/>
                <w:sz w:val="13"/>
                <w:szCs w:val="13"/>
                <w:color w:val="auto"/>
              </w:rPr>
              <w:t>% Senior Notes due 2031 offered hereby (including unamortized discount)</w:t>
            </w:r>
          </w:p>
        </w:tc>
        <w:tc>
          <w:tcPr>
            <w:tcW w:w="80" w:type="dxa"/>
            <w:vAlign w:val="bottom"/>
          </w:tcPr>
          <w:p>
            <w:pPr>
              <w:spacing w:after="0"/>
              <w:rPr>
                <w:sz w:val="12"/>
                <w:szCs w:val="12"/>
                <w:color w:val="auto"/>
              </w:rPr>
            </w:pPr>
          </w:p>
        </w:tc>
        <w:tc>
          <w:tcPr>
            <w:tcW w:w="640" w:type="dxa"/>
            <w:vAlign w:val="bottom"/>
            <w:gridSpan w:val="2"/>
          </w:tcPr>
          <w:p>
            <w:pPr>
              <w:jc w:val="right"/>
              <w:ind w:right="93"/>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61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 Senior Notes due 2050 offered hereby (including unamortized discount)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6160" w:type="dxa"/>
            <w:vAlign w:val="bottom"/>
            <w:gridSpan w:val="2"/>
          </w:tcPr>
          <w:p>
            <w:pPr>
              <w:ind w:left="140"/>
              <w:spacing w:after="0"/>
              <w:rPr>
                <w:sz w:val="20"/>
                <w:szCs w:val="20"/>
                <w:color w:val="auto"/>
              </w:rPr>
            </w:pPr>
            <w:r>
              <w:rPr>
                <w:rFonts w:ascii="Arial" w:cs="Arial" w:eastAsia="Arial" w:hAnsi="Arial"/>
                <w:sz w:val="13"/>
                <w:szCs w:val="13"/>
                <w:color w:val="auto"/>
              </w:rPr>
              <w:t>Tax-exempt bonds, maturing through 2048(f)</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2,491</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2,491</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2,491</w:t>
            </w:r>
          </w:p>
        </w:tc>
      </w:tr>
      <w:tr>
        <w:trPr>
          <w:trHeight w:val="148"/>
        </w:trPr>
        <w:tc>
          <w:tcPr>
            <w:tcW w:w="6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Financing leases and other, maturing through 2071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651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651</w:t>
            </w:r>
          </w:p>
        </w:tc>
      </w:tr>
      <w:tr>
        <w:trPr>
          <w:trHeight w:val="149"/>
        </w:trPr>
        <w:tc>
          <w:tcPr>
            <w:tcW w:w="6160" w:type="dxa"/>
            <w:vAlign w:val="bottom"/>
            <w:gridSpan w:val="2"/>
          </w:tcPr>
          <w:p>
            <w:pPr>
              <w:ind w:left="140"/>
              <w:spacing w:after="0"/>
              <w:rPr>
                <w:sz w:val="20"/>
                <w:szCs w:val="20"/>
                <w:color w:val="auto"/>
              </w:rPr>
            </w:pPr>
            <w:r>
              <w:rPr>
                <w:rFonts w:ascii="Arial" w:cs="Arial" w:eastAsia="Arial" w:hAnsi="Arial"/>
                <w:sz w:val="13"/>
                <w:szCs w:val="13"/>
                <w:color w:val="auto"/>
              </w:rPr>
              <w:t>Debt issuance costs, discounts and other(g)</w:t>
            </w:r>
          </w:p>
        </w:tc>
        <w:tc>
          <w:tcPr>
            <w:tcW w:w="80" w:type="dxa"/>
            <w:vAlign w:val="bottom"/>
          </w:tcPr>
          <w:p>
            <w:pPr>
              <w:spacing w:after="0"/>
              <w:rPr>
                <w:sz w:val="12"/>
                <w:szCs w:val="12"/>
                <w:color w:val="auto"/>
              </w:rPr>
            </w:pPr>
          </w:p>
        </w:tc>
        <w:tc>
          <w:tcPr>
            <w:tcW w:w="640" w:type="dxa"/>
            <w:vAlign w:val="bottom"/>
            <w:gridSpan w:val="2"/>
          </w:tcPr>
          <w:p>
            <w:pPr>
              <w:jc w:val="right"/>
              <w:ind w:right="53"/>
              <w:spacing w:after="0"/>
              <w:rPr>
                <w:sz w:val="20"/>
                <w:szCs w:val="20"/>
                <w:color w:val="auto"/>
              </w:rPr>
            </w:pPr>
            <w:r>
              <w:rPr>
                <w:rFonts w:ascii="Arial" w:cs="Arial" w:eastAsia="Arial" w:hAnsi="Arial"/>
                <w:sz w:val="13"/>
                <w:szCs w:val="13"/>
                <w:color w:val="auto"/>
              </w:rPr>
              <w:t>(60)</w:t>
            </w:r>
          </w:p>
        </w:tc>
        <w:tc>
          <w:tcPr>
            <w:tcW w:w="3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(60)</w:t>
            </w:r>
          </w:p>
        </w:tc>
      </w:tr>
      <w:tr>
        <w:trPr>
          <w:trHeight w:val="20"/>
        </w:trPr>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13,766</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42"/>
        </w:trPr>
        <w:tc>
          <w:tcPr>
            <w:tcW w:w="616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Equity:</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Waste Management, Inc. Stockholders' Equity: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6160" w:type="dxa"/>
            <w:vAlign w:val="bottom"/>
            <w:gridSpan w:val="2"/>
          </w:tcPr>
          <w:p>
            <w:pPr>
              <w:ind w:left="14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2"/>
                <w:szCs w:val="12"/>
                <w:color w:val="auto"/>
              </w:rPr>
            </w:pP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r>
      <w:tr>
        <w:trPr>
          <w:trHeight w:val="148"/>
        </w:trPr>
        <w:tc>
          <w:tcPr>
            <w:tcW w:w="6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5,104</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5,104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5,104</w:t>
            </w:r>
          </w:p>
        </w:tc>
      </w:tr>
      <w:tr>
        <w:trPr>
          <w:trHeight w:val="149"/>
        </w:trPr>
        <w:tc>
          <w:tcPr>
            <w:tcW w:w="6160" w:type="dxa"/>
            <w:vAlign w:val="bottom"/>
            <w:gridSpan w:val="2"/>
          </w:tcPr>
          <w:p>
            <w:pPr>
              <w:ind w:left="140"/>
              <w:spacing w:after="0"/>
              <w:rPr>
                <w:sz w:val="20"/>
                <w:szCs w:val="20"/>
                <w:color w:val="auto"/>
              </w:rPr>
            </w:pPr>
            <w:r>
              <w:rPr>
                <w:rFonts w:ascii="Arial" w:cs="Arial" w:eastAsia="Arial" w:hAnsi="Arial"/>
                <w:sz w:val="13"/>
                <w:szCs w:val="13"/>
                <w:color w:val="auto"/>
              </w:rPr>
              <w:t>Retained earnings</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10,952</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10,952</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10,952</w:t>
            </w:r>
          </w:p>
        </w:tc>
      </w:tr>
      <w:tr>
        <w:trPr>
          <w:trHeight w:val="148"/>
        </w:trPr>
        <w:tc>
          <w:tcPr>
            <w:tcW w:w="6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(16)</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r>
      <w:tr>
        <w:trPr>
          <w:trHeight w:val="148"/>
        </w:trPr>
        <w:tc>
          <w:tcPr>
            <w:tcW w:w="6160" w:type="dxa"/>
            <w:vAlign w:val="bottom"/>
            <w:gridSpan w:val="2"/>
          </w:tcPr>
          <w:p>
            <w:pPr>
              <w:ind w:left="140"/>
              <w:spacing w:after="0"/>
              <w:rPr>
                <w:sz w:val="20"/>
                <w:szCs w:val="20"/>
                <w:color w:val="auto"/>
              </w:rPr>
            </w:pPr>
            <w:r>
              <w:rPr>
                <w:rFonts w:ascii="Arial" w:cs="Arial" w:eastAsia="Arial" w:hAnsi="Arial"/>
                <w:sz w:val="13"/>
                <w:szCs w:val="13"/>
                <w:color w:val="auto"/>
              </w:rPr>
              <w:t>Treasury stock at cost, 207,695,158 shares</w:t>
            </w:r>
          </w:p>
        </w:tc>
        <w:tc>
          <w:tcPr>
            <w:tcW w:w="80" w:type="dxa"/>
            <w:vAlign w:val="bottom"/>
          </w:tcPr>
          <w:p>
            <w:pPr>
              <w:spacing w:after="0"/>
              <w:rPr>
                <w:sz w:val="12"/>
                <w:szCs w:val="12"/>
                <w:color w:val="auto"/>
              </w:rPr>
            </w:pPr>
          </w:p>
        </w:tc>
        <w:tc>
          <w:tcPr>
            <w:tcW w:w="640" w:type="dxa"/>
            <w:vAlign w:val="bottom"/>
            <w:gridSpan w:val="2"/>
          </w:tcPr>
          <w:p>
            <w:pPr>
              <w:jc w:val="right"/>
              <w:ind w:right="53"/>
              <w:spacing w:after="0"/>
              <w:rPr>
                <w:sz w:val="20"/>
                <w:szCs w:val="20"/>
                <w:color w:val="auto"/>
              </w:rPr>
            </w:pPr>
            <w:r>
              <w:rPr>
                <w:rFonts w:ascii="Arial" w:cs="Arial" w:eastAsia="Arial" w:hAnsi="Arial"/>
                <w:sz w:val="13"/>
                <w:szCs w:val="13"/>
                <w:color w:val="auto"/>
              </w:rPr>
              <w:t>(8,891)</w:t>
            </w:r>
          </w:p>
        </w:tc>
        <w:tc>
          <w:tcPr>
            <w:tcW w:w="3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(8,891)</w:t>
            </w:r>
          </w:p>
        </w:tc>
        <w:tc>
          <w:tcPr>
            <w:tcW w:w="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(8,891)</w:t>
            </w:r>
          </w:p>
        </w:tc>
      </w:tr>
      <w:tr>
        <w:trPr>
          <w:trHeight w:val="20"/>
        </w:trPr>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616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3"/>
                <w:szCs w:val="13"/>
                <w:color w:val="auto"/>
              </w:rPr>
              <w:t>Total Waste Management, Inc. stockholders' equity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7,155</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7,155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7,155</w:t>
            </w:r>
          </w:p>
        </w:tc>
      </w:tr>
      <w:tr>
        <w:trPr>
          <w:trHeight w:val="149"/>
        </w:trPr>
        <w:tc>
          <w:tcPr>
            <w:tcW w:w="6160" w:type="dxa"/>
            <w:vAlign w:val="bottom"/>
            <w:gridSpan w:val="2"/>
          </w:tcPr>
          <w:p>
            <w:pPr>
              <w:ind w:left="20"/>
              <w:spacing w:after="0"/>
              <w:rPr>
                <w:sz w:val="20"/>
                <w:szCs w:val="20"/>
                <w:color w:val="auto"/>
              </w:rPr>
            </w:pPr>
            <w:r>
              <w:rPr>
                <w:rFonts w:ascii="Arial" w:cs="Arial" w:eastAsia="Arial" w:hAnsi="Arial"/>
                <w:sz w:val="13"/>
                <w:szCs w:val="13"/>
                <w:color w:val="auto"/>
              </w:rPr>
              <w:t>Noncontrolling interests</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r>
      <w:tr>
        <w:trPr>
          <w:trHeight w:val="20"/>
        </w:trPr>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616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3"/>
                <w:szCs w:val="13"/>
                <w:color w:val="auto"/>
              </w:rPr>
              <w:t>Total equity</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7,157</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7,157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7,157</w:t>
            </w:r>
          </w:p>
        </w:tc>
      </w:tr>
      <w:tr>
        <w:trPr>
          <w:trHeight w:val="20"/>
        </w:trPr>
        <w:tc>
          <w:tcPr>
            <w:tcW w:w="23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60" w:type="dxa"/>
            <w:vAlign w:val="bottom"/>
            <w:gridSpan w:val="2"/>
          </w:tcPr>
          <w:p>
            <w:pPr>
              <w:ind w:left="140"/>
              <w:spacing w:after="0"/>
              <w:rPr>
                <w:sz w:val="20"/>
                <w:szCs w:val="20"/>
                <w:color w:val="auto"/>
              </w:rPr>
            </w:pPr>
            <w:r>
              <w:rPr>
                <w:rFonts w:ascii="Arial" w:cs="Arial" w:eastAsia="Arial" w:hAnsi="Arial"/>
                <w:sz w:val="13"/>
                <w:szCs w:val="13"/>
                <w:color w:val="auto"/>
              </w:rPr>
              <w:t>Total debt and equity</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17,579</w:t>
            </w:r>
          </w:p>
        </w:tc>
        <w:tc>
          <w:tcPr>
            <w:tcW w:w="160" w:type="dxa"/>
            <w:vAlign w:val="bottom"/>
          </w:tcPr>
          <w:p>
            <w:pPr>
              <w:spacing w:after="0"/>
              <w:rPr>
                <w:sz w:val="18"/>
                <w:szCs w:val="18"/>
                <w:color w:val="auto"/>
              </w:rPr>
            </w:pP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20,923</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02"/>
        </w:trPr>
        <w:tc>
          <w:tcPr>
            <w:tcW w:w="238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jc w:val="both"/>
        <w:ind w:left="1680" w:right="60" w:hanging="549"/>
        <w:spacing w:after="0" w:line="288" w:lineRule="auto"/>
        <w:tabs>
          <w:tab w:leader="none" w:pos="1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Does not give pro forma effect to either the closing of the Merger or the GFL Divestitures, other than to reflect the Financing Transactions described above. In connection with the closing of the Merger, Advanced Disposal's Amended and Restated Credit Agreement, including all commitments, liens and guarantees in respect thereof, was terminated, and all outstanding borrowings thereunder, including under the Term Loan B facility, were repaid in full, as was an outstanding promissory note of Advanced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right="120"/>
        <w:spacing w:after="0" w:line="247" w:lineRule="auto"/>
        <w:rPr>
          <w:sz w:val="20"/>
          <w:szCs w:val="20"/>
          <w:color w:val="auto"/>
        </w:rPr>
      </w:pPr>
      <w:r>
        <w:rPr>
          <w:rFonts w:ascii="Arial" w:cs="Arial" w:eastAsia="Arial" w:hAnsi="Arial"/>
          <w:sz w:val="13"/>
          <w:szCs w:val="13"/>
          <w:color w:val="auto"/>
        </w:rPr>
        <w:t>Disposal. On the closing date of the Merger, we issued a notice of redemption to the holders of Advanced Disposal's outstanding $425 million aggregate principal amount of 5.625% Senior Notes due 2024 (the "ADS Notes"), stating that all outstanding ADS Notes would be redeemed upon the terms and conditions set forth in such notice, and immediately thereafter, we deposited funds sufficient to fund such redemption in full with the trustee for the ADS Notes, thereby satisfying and discharging substantially all of Advanced Disposal's obligations under the indenture governing the ADS Notes. This prospectus supplement does not constitute a notice of redemption under the indenture governing the ADS Notes.</w:t>
      </w:r>
    </w:p>
    <w:p>
      <w:pPr>
        <w:spacing w:after="0" w:line="176" w:lineRule="exact"/>
        <w:rPr>
          <w:sz w:val="20"/>
          <w:szCs w:val="20"/>
          <w:color w:val="auto"/>
        </w:rPr>
      </w:pPr>
    </w:p>
    <w:p>
      <w:pPr>
        <w:ind w:left="1680" w:right="20" w:hanging="549"/>
        <w:spacing w:after="0" w:line="245" w:lineRule="auto"/>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$3.5 billion revolving credit facility expires in November 2024 and is our primary source of letter of credit capacity. Our remaining committed letter of credit capacity is provided under facilities with terms extending through September 2021. As of September 30, 2020, we had $600 million of outstanding borrowings under our commercial paper program, which is fully supported by our $3.5 billion revolving credit facility. Additionally, as of September 30, 2020, we had no borrowings under, and $269 million of letters of credit issued under and supported by, our $3.5 billion revolving credit facility, leaving unused and available credit capacity under this facility of $2.6 billion. As of November 3, 2020, we had $1.814 billion of outstanding borrowings under our commercial paper program, all of which were used to pay a portion of the Merger Closing Payments (see "Summary—Recent Developments—Acquisition of Advanced Disposal").</w:t>
      </w:r>
    </w:p>
    <w:p>
      <w:pPr>
        <w:spacing w:after="0" w:line="110" w:lineRule="exact"/>
        <w:rPr>
          <w:rFonts w:ascii="Arial" w:cs="Arial" w:eastAsia="Arial" w:hAnsi="Arial"/>
          <w:sz w:val="13"/>
          <w:szCs w:val="13"/>
          <w:color w:val="auto"/>
        </w:rPr>
      </w:pPr>
    </w:p>
    <w:p>
      <w:pPr>
        <w:ind w:left="1680" w:right="40" w:hanging="549"/>
        <w:spacing w:after="0" w:line="250" w:lineRule="auto"/>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$3.5 billion revolving credit facility provides us with credit capacity to be used for cash borrowings, including borrowings in Canadian dollars up to the U.S. dollar equivalent of $375 million, to support letters of credit and to support our commercial paper program. The rates we pay for outstanding U.S. or Canadian loans are generally based on LIBOR or CDOR, respectively, plus a spread depending on our debt rating assigned by Moody's and S&amp;P (each as defined below). WM Holdings guarantees all of the obligations under our $3.5 billion revolving credit facility.</w:t>
      </w:r>
    </w:p>
    <w:p>
      <w:pPr>
        <w:spacing w:after="0" w:line="106" w:lineRule="exact"/>
        <w:rPr>
          <w:rFonts w:ascii="Arial" w:cs="Arial" w:eastAsia="Arial" w:hAnsi="Arial"/>
          <w:sz w:val="13"/>
          <w:szCs w:val="13"/>
          <w:color w:val="auto"/>
        </w:rPr>
      </w:pPr>
    </w:p>
    <w:p>
      <w:pPr>
        <w:ind w:left="1680" w:hanging="549"/>
        <w:spacing w:after="0" w:line="245" w:lineRule="auto"/>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$3.0 billion revolving credit facility provides us the option to convert outstanding balances into a term loan maturing no later than the first anniversary of the maturity date, subject to the payment of a fee and notifying the administrative agent at least 15 days prior to the original maturity date. WM Holdings guarantees all the obligations under the $3.0 billion revolving credit facility. The rates we pay for outstanding loans are generally based on LIBOR, plus a spread depending on our debt rating assigned by Moody's and S&amp;P (each as defined below). As of September 30, 2020, we had no borrowings under our $3.0 billion revolving credit facility. As of November 3, 2020, we had $2.13 billion of outstanding borrowings under our $3.0 billion revolving credit facility, all of which were used to pay a portion of the Merger Closing Payments (see "Summary—Recent Developments—Acquisition of Advanced Disposal").</w:t>
      </w:r>
    </w:p>
    <w:p>
      <w:pPr>
        <w:spacing w:after="0" w:line="110" w:lineRule="exact"/>
        <w:rPr>
          <w:rFonts w:ascii="Arial" w:cs="Arial" w:eastAsia="Arial" w:hAnsi="Arial"/>
          <w:sz w:val="13"/>
          <w:szCs w:val="13"/>
          <w:color w:val="auto"/>
        </w:rPr>
      </w:pPr>
    </w:p>
    <w:p>
      <w:pPr>
        <w:ind w:left="1680" w:right="60" w:hanging="549"/>
        <w:spacing w:after="0" w:line="317" w:lineRule="auto"/>
        <w:tabs>
          <w:tab w:leader="none" w:pos="168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September 2019, Waste Management of Canada Corporation, our indirect wholly owned subsidiary, issued C$500 million, or $375 million based on the conversion rate as of September 30, 2020, of 2.6% senior notes due September 23, 2026, all of which are fully and unconditionally guaranteed on a senior unsecured basis by us and WM Holdings.</w:t>
      </w:r>
    </w:p>
    <w:p>
      <w:pPr>
        <w:spacing w:after="0" w:line="67" w:lineRule="exact"/>
        <w:rPr>
          <w:rFonts w:ascii="Arial" w:cs="Arial" w:eastAsia="Arial" w:hAnsi="Arial"/>
          <w:sz w:val="12"/>
          <w:szCs w:val="12"/>
          <w:color w:val="auto"/>
        </w:rPr>
      </w:pPr>
    </w:p>
    <w:p>
      <w:pPr>
        <w:jc w:val="both"/>
        <w:ind w:left="1680" w:right="280" w:hanging="549"/>
        <w:spacing w:after="0" w:line="256" w:lineRule="auto"/>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02" w:lineRule="exact"/>
        <w:rPr>
          <w:rFonts w:ascii="Arial" w:cs="Arial" w:eastAsia="Arial" w:hAnsi="Arial"/>
          <w:sz w:val="13"/>
          <w:szCs w:val="13"/>
          <w:color w:val="auto"/>
        </w:rPr>
      </w:pPr>
    </w:p>
    <w:p>
      <w:pPr>
        <w:ind w:left="1680" w:right="20" w:hanging="549"/>
        <w:spacing w:after="0" w:line="274" w:lineRule="auto"/>
        <w:tabs>
          <w:tab w:leader="none" w:pos="16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As Adjusted and As Further Adjusted columns with respect to this line item do not include any debt issuance costs or unamortized discounts associated with the 2025 notes, the 2028 notes, the 2031 notes or the 2050 notes.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tabs>
          <w:tab w:leader="none" w:pos="2080" w:val="left"/>
          <w:tab w:leader="none" w:pos="5040" w:val="left"/>
          <w:tab w:leader="none" w:pos="5820" w:val="left"/>
          <w:tab w:leader="none" w:pos="8240" w:val="left"/>
          <w:tab w:leader="none" w:pos="902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of our senior notes, consisting of $</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8"/>
          <w:szCs w:val="18"/>
          <w:color w:val="auto"/>
        </w:rPr>
        <w:t>% senior notes due 2025, $</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5"/>
          <w:szCs w:val="15"/>
          <w:color w:val="auto"/>
        </w:rPr>
        <w:t>% senior notes due 2028,</w:t>
      </w:r>
    </w:p>
    <w:p>
      <w:pPr>
        <w:spacing w:after="0" w:line="15" w:lineRule="exact"/>
        <w:rPr>
          <w:sz w:val="20"/>
          <w:szCs w:val="20"/>
          <w:color w:val="auto"/>
        </w:rPr>
      </w:pPr>
    </w:p>
    <w:p>
      <w:pPr>
        <w:spacing w:after="0"/>
        <w:tabs>
          <w:tab w:leader="none" w:pos="600" w:val="left"/>
          <w:tab w:leader="none" w:pos="1380" w:val="left"/>
          <w:tab w:leader="none" w:pos="4060" w:val="left"/>
          <w:tab w:leader="none" w:pos="4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8"/>
          <w:szCs w:val="18"/>
          <w:color w:val="auto"/>
        </w:rPr>
        <w:t>% senior notes due 2031 and $</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5"/>
          <w:szCs w:val="15"/>
          <w:color w:val="auto"/>
        </w:rPr>
        <w:t>% senior notes due 2050. The notes of each series will be issued under and pursuant to an</w:t>
      </w:r>
    </w:p>
    <w:p>
      <w:pPr>
        <w:spacing w:after="0" w:line="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Indenture dated as of September 10, 1997, between us and The Bank of New York Mellon Trust Company, N.A. (the current successor to the initial trustee, Texas Commerce Bank National Association), as Trustee (the "Trustee"). The 2025 notes, the 2028 notes, the 2031 notes and the 2050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201"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5"/>
          <w:szCs w:val="15"/>
          <w:color w:val="auto"/>
        </w:rPr>
        <w:t>Each series of notes will:</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constitute a new and separate series of debt securities issued under the Indenture and will be initially limited to an aggregate principal amount as</w:t>
      </w:r>
    </w:p>
    <w:p>
      <w:pPr>
        <w:spacing w:after="0" w:line="50" w:lineRule="exact"/>
        <w:rPr>
          <w:sz w:val="20"/>
          <w:szCs w:val="20"/>
          <w:color w:val="auto"/>
        </w:rPr>
      </w:pPr>
    </w:p>
    <w:p>
      <w:pPr>
        <w:ind w:left="1080"/>
        <w:spacing w:after="0"/>
        <w:tabs>
          <w:tab w:leader="none" w:pos="2300" w:val="left"/>
          <w:tab w:leader="none" w:pos="5000" w:val="left"/>
          <w:tab w:leader="none" w:pos="7700" w:val="left"/>
          <w:tab w:leader="none" w:pos="10660" w:val="left"/>
        </w:tabs>
        <w:rPr>
          <w:sz w:val="20"/>
          <w:szCs w:val="20"/>
          <w:color w:val="auto"/>
        </w:rPr>
      </w:pPr>
      <w:r>
        <w:rPr>
          <w:rFonts w:ascii="Arial" w:cs="Arial" w:eastAsia="Arial" w:hAnsi="Arial"/>
          <w:sz w:val="18"/>
          <w:szCs w:val="18"/>
          <w:color w:val="auto"/>
        </w:rPr>
        <w:t>follows: $</w:t>
      </w:r>
      <w:r>
        <w:rPr>
          <w:sz w:val="20"/>
          <w:szCs w:val="20"/>
          <w:color w:val="auto"/>
        </w:rPr>
        <w:tab/>
      </w:r>
      <w:r>
        <w:rPr>
          <w:rFonts w:ascii="Arial" w:cs="Arial" w:eastAsia="Arial" w:hAnsi="Arial"/>
          <w:sz w:val="18"/>
          <w:szCs w:val="18"/>
          <w:color w:val="auto"/>
        </w:rPr>
        <w:t>in the case of the 2025 notes, $</w:t>
      </w:r>
      <w:r>
        <w:rPr>
          <w:sz w:val="20"/>
          <w:szCs w:val="20"/>
          <w:color w:val="auto"/>
        </w:rPr>
        <w:tab/>
      </w:r>
      <w:r>
        <w:rPr>
          <w:rFonts w:ascii="Arial" w:cs="Arial" w:eastAsia="Arial" w:hAnsi="Arial"/>
          <w:sz w:val="18"/>
          <w:szCs w:val="18"/>
          <w:color w:val="auto"/>
        </w:rPr>
        <w:t>in the case of the 2028 notes, $</w:t>
      </w:r>
      <w:r>
        <w:rPr>
          <w:sz w:val="20"/>
          <w:szCs w:val="20"/>
          <w:color w:val="auto"/>
        </w:rPr>
        <w:tab/>
      </w:r>
      <w:r>
        <w:rPr>
          <w:rFonts w:ascii="Arial" w:cs="Arial" w:eastAsia="Arial" w:hAnsi="Arial"/>
          <w:sz w:val="18"/>
          <w:szCs w:val="18"/>
          <w:color w:val="auto"/>
        </w:rPr>
        <w:t>in the case of the 2031 notes and $</w:t>
      </w:r>
      <w:r>
        <w:rPr>
          <w:sz w:val="20"/>
          <w:szCs w:val="20"/>
          <w:color w:val="auto"/>
        </w:rPr>
        <w:tab/>
      </w:r>
      <w:r>
        <w:rPr>
          <w:rFonts w:ascii="Arial" w:cs="Arial" w:eastAsia="Arial" w:hAnsi="Arial"/>
          <w:sz w:val="16"/>
          <w:szCs w:val="16"/>
          <w:color w:val="auto"/>
        </w:rPr>
        <w:t>in the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case of the 2050 notes;</w:t>
      </w:r>
    </w:p>
    <w:p>
      <w:pPr>
        <w:spacing w:after="0" w:line="219" w:lineRule="exact"/>
        <w:rPr>
          <w:sz w:val="20"/>
          <w:szCs w:val="20"/>
          <w:color w:val="auto"/>
        </w:rPr>
      </w:pPr>
    </w:p>
    <w:p>
      <w:pPr>
        <w:ind w:left="540"/>
        <w:spacing w:after="0"/>
        <w:tabs>
          <w:tab w:leader="none" w:pos="1060" w:val="left"/>
          <w:tab w:leader="none" w:pos="2480" w:val="left"/>
          <w:tab w:leader="none" w:pos="5800" w:val="left"/>
          <w:tab w:leader="none" w:pos="9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mature on</w:t>
      </w:r>
      <w:r>
        <w:rPr>
          <w:sz w:val="20"/>
          <w:szCs w:val="20"/>
          <w:color w:val="auto"/>
        </w:rPr>
        <w:tab/>
      </w:r>
      <w:r>
        <w:rPr>
          <w:rFonts w:ascii="Arial" w:cs="Arial" w:eastAsia="Arial" w:hAnsi="Arial"/>
          <w:sz w:val="18"/>
          <w:szCs w:val="18"/>
          <w:color w:val="auto"/>
        </w:rPr>
        <w:t>, 2025, in the case of the 2025 notes,</w:t>
      </w:r>
      <w:r>
        <w:rPr>
          <w:sz w:val="20"/>
          <w:szCs w:val="20"/>
          <w:color w:val="auto"/>
        </w:rPr>
        <w:tab/>
      </w:r>
      <w:r>
        <w:rPr>
          <w:rFonts w:ascii="Arial" w:cs="Arial" w:eastAsia="Arial" w:hAnsi="Arial"/>
          <w:sz w:val="18"/>
          <w:szCs w:val="18"/>
          <w:color w:val="auto"/>
        </w:rPr>
        <w:t>, 2028, in the case of the 2028 notes,</w:t>
      </w:r>
      <w:r>
        <w:rPr>
          <w:sz w:val="20"/>
          <w:szCs w:val="20"/>
          <w:color w:val="auto"/>
        </w:rPr>
        <w:tab/>
      </w:r>
      <w:r>
        <w:rPr>
          <w:rFonts w:ascii="Arial" w:cs="Arial" w:eastAsia="Arial" w:hAnsi="Arial"/>
          <w:sz w:val="15"/>
          <w:szCs w:val="15"/>
          <w:color w:val="auto"/>
        </w:rPr>
        <w:t>, 2031, in the case of the 2031</w:t>
      </w:r>
    </w:p>
    <w:p>
      <w:pPr>
        <w:spacing w:after="0" w:line="29" w:lineRule="exact"/>
        <w:rPr>
          <w:sz w:val="20"/>
          <w:szCs w:val="20"/>
          <w:color w:val="auto"/>
        </w:rPr>
      </w:pPr>
    </w:p>
    <w:p>
      <w:pPr>
        <w:ind w:left="1080"/>
        <w:spacing w:after="0"/>
        <w:tabs>
          <w:tab w:leader="none" w:pos="2480" w:val="left"/>
        </w:tabs>
        <w:rPr>
          <w:sz w:val="20"/>
          <w:szCs w:val="20"/>
          <w:color w:val="auto"/>
        </w:rPr>
      </w:pPr>
      <w:r>
        <w:rPr>
          <w:rFonts w:ascii="Arial" w:cs="Arial" w:eastAsia="Arial" w:hAnsi="Arial"/>
          <w:sz w:val="18"/>
          <w:szCs w:val="18"/>
          <w:color w:val="auto"/>
        </w:rPr>
        <w:t>notes, and</w:t>
      </w:r>
      <w:r>
        <w:rPr>
          <w:sz w:val="20"/>
          <w:szCs w:val="20"/>
          <w:color w:val="auto"/>
        </w:rPr>
        <w:tab/>
      </w:r>
      <w:r>
        <w:rPr>
          <w:rFonts w:ascii="Arial" w:cs="Arial" w:eastAsia="Arial" w:hAnsi="Arial"/>
          <w:sz w:val="15"/>
          <w:szCs w:val="15"/>
          <w:color w:val="auto"/>
        </w:rPr>
        <w:t>, 2050, in the case of the 2050 notes;</w:t>
      </w:r>
    </w:p>
    <w:p>
      <w:pPr>
        <w:spacing w:after="0" w:line="232"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238"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ectPr>
          <w:pgSz w:w="11900" w:h="16838" w:orient="portrait"/>
          <w:cols w:equalWidth="0" w:num="1">
            <w:col w:w="11240"/>
          </w:cols>
          <w:pgMar w:left="320" w:top="131" w:right="33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Interest.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will:</w:t>
      </w:r>
    </w:p>
    <w:p>
      <w:pPr>
        <w:spacing w:after="0" w:line="252" w:lineRule="exact"/>
        <w:rPr>
          <w:sz w:val="20"/>
          <w:szCs w:val="20"/>
          <w:color w:val="auto"/>
        </w:rPr>
      </w:pPr>
    </w:p>
    <w:p>
      <w:pPr>
        <w:spacing w:after="0"/>
        <w:tabs>
          <w:tab w:leader="none" w:pos="3000" w:val="left"/>
          <w:tab w:leader="none" w:pos="7060" w:val="left"/>
        </w:tabs>
        <w:rPr>
          <w:sz w:val="20"/>
          <w:szCs w:val="20"/>
          <w:color w:val="auto"/>
        </w:rPr>
      </w:pPr>
      <w:r>
        <w:rPr>
          <w:rFonts w:ascii="Arial" w:cs="Arial" w:eastAsia="Arial" w:hAnsi="Arial"/>
          <w:sz w:val="18"/>
          <w:szCs w:val="18"/>
          <w:color w:val="auto"/>
        </w:rPr>
        <w:t>accrue on the 2025 notes at the rate of</w:t>
      </w:r>
      <w:r>
        <w:rPr>
          <w:sz w:val="20"/>
          <w:szCs w:val="20"/>
          <w:color w:val="auto"/>
        </w:rPr>
        <w:tab/>
      </w:r>
      <w:r>
        <w:rPr>
          <w:rFonts w:ascii="Arial" w:cs="Arial" w:eastAsia="Arial" w:hAnsi="Arial"/>
          <w:sz w:val="18"/>
          <w:szCs w:val="18"/>
          <w:color w:val="auto"/>
        </w:rPr>
        <w:t>% per annum, accrue on the 2028 notes at the rate of</w:t>
      </w:r>
      <w:r>
        <w:rPr>
          <w:sz w:val="20"/>
          <w:szCs w:val="20"/>
          <w:color w:val="auto"/>
        </w:rPr>
        <w:tab/>
      </w:r>
      <w:r>
        <w:rPr>
          <w:rFonts w:ascii="Arial" w:cs="Arial" w:eastAsia="Arial" w:hAnsi="Arial"/>
          <w:sz w:val="15"/>
          <w:szCs w:val="15"/>
          <w:color w:val="auto"/>
        </w:rPr>
        <w:t>% per annum, accrue on the 2031 notes at</w:t>
      </w:r>
    </w:p>
    <w:p>
      <w:pPr>
        <w:spacing w:after="0" w:line="15" w:lineRule="exact"/>
        <w:rPr>
          <w:sz w:val="20"/>
          <w:szCs w:val="20"/>
          <w:color w:val="auto"/>
        </w:rPr>
      </w:pPr>
    </w:p>
    <w:p>
      <w:pPr>
        <w:spacing w:after="0"/>
        <w:tabs>
          <w:tab w:leader="none" w:pos="1060" w:val="left"/>
          <w:tab w:leader="none" w:pos="5340" w:val="left"/>
        </w:tabs>
        <w:rPr>
          <w:sz w:val="20"/>
          <w:szCs w:val="20"/>
          <w:color w:val="auto"/>
        </w:rPr>
      </w:pPr>
      <w:r>
        <w:rPr>
          <w:rFonts w:ascii="Arial" w:cs="Arial" w:eastAsia="Arial" w:hAnsi="Arial"/>
          <w:sz w:val="18"/>
          <w:szCs w:val="18"/>
          <w:color w:val="auto"/>
        </w:rPr>
        <w:t>the rate of</w:t>
      </w:r>
      <w:r>
        <w:rPr>
          <w:sz w:val="20"/>
          <w:szCs w:val="20"/>
          <w:color w:val="auto"/>
        </w:rPr>
        <w:tab/>
      </w:r>
      <w:r>
        <w:rPr>
          <w:rFonts w:ascii="Arial" w:cs="Arial" w:eastAsia="Arial" w:hAnsi="Arial"/>
          <w:sz w:val="18"/>
          <w:szCs w:val="18"/>
          <w:color w:val="auto"/>
        </w:rPr>
        <w:t>% per annum and accrue on the 2050 notes at the rate of</w:t>
      </w:r>
      <w:r>
        <w:rPr>
          <w:sz w:val="20"/>
          <w:szCs w:val="20"/>
          <w:color w:val="auto"/>
        </w:rPr>
        <w:tab/>
      </w:r>
      <w:r>
        <w:rPr>
          <w:rFonts w:ascii="Arial" w:cs="Arial" w:eastAsia="Arial" w:hAnsi="Arial"/>
          <w:sz w:val="16"/>
          <w:szCs w:val="16"/>
          <w:color w:val="auto"/>
        </w:rPr>
        <w:t>% per annum;</w:t>
      </w:r>
    </w:p>
    <w:p>
      <w:pPr>
        <w:spacing w:after="0" w:line="232"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accrue from</w:t>
      </w:r>
      <w:r>
        <w:rPr>
          <w:sz w:val="20"/>
          <w:szCs w:val="20"/>
          <w:color w:val="auto"/>
        </w:rPr>
        <w:tab/>
      </w:r>
      <w:r>
        <w:rPr>
          <w:rFonts w:ascii="Arial" w:cs="Arial" w:eastAsia="Arial" w:hAnsi="Arial"/>
          <w:sz w:val="15"/>
          <w:szCs w:val="15"/>
          <w:color w:val="auto"/>
        </w:rPr>
        <w:t>, 2020 or the most recent interest payment date;</w:t>
      </w:r>
    </w:p>
    <w:p>
      <w:pPr>
        <w:spacing w:after="0" w:line="239" w:lineRule="exact"/>
        <w:rPr>
          <w:sz w:val="20"/>
          <w:szCs w:val="20"/>
          <w:color w:val="auto"/>
        </w:rPr>
      </w:pPr>
    </w:p>
    <w:p>
      <w:pPr>
        <w:spacing w:after="0"/>
        <w:tabs>
          <w:tab w:leader="none" w:pos="4200" w:val="left"/>
          <w:tab w:leader="none" w:pos="5140" w:val="left"/>
          <w:tab w:leader="none" w:pos="7720" w:val="left"/>
        </w:tabs>
        <w:rPr>
          <w:sz w:val="20"/>
          <w:szCs w:val="20"/>
          <w:color w:val="auto"/>
        </w:rPr>
      </w:pPr>
      <w:r>
        <w:rPr>
          <w:rFonts w:ascii="Arial" w:cs="Arial" w:eastAsia="Arial" w:hAnsi="Arial"/>
          <w:sz w:val="18"/>
          <w:szCs w:val="18"/>
          <w:color w:val="auto"/>
        </w:rPr>
        <w:t>be payable in cash semi-annually in arrears (i)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5"/>
          <w:szCs w:val="15"/>
          <w:color w:val="auto"/>
        </w:rPr>
        <w:t>, 2021, in the case of the 2025</w:t>
      </w:r>
    </w:p>
    <w:p>
      <w:pPr>
        <w:spacing w:after="0" w:line="15" w:lineRule="exact"/>
        <w:rPr>
          <w:sz w:val="20"/>
          <w:szCs w:val="20"/>
          <w:color w:val="auto"/>
        </w:rPr>
      </w:pPr>
    </w:p>
    <w:p>
      <w:pPr>
        <w:spacing w:after="0"/>
        <w:tabs>
          <w:tab w:leader="none" w:pos="3280" w:val="left"/>
          <w:tab w:leader="none" w:pos="4240" w:val="left"/>
          <w:tab w:leader="none" w:pos="6800" w:val="left"/>
        </w:tabs>
        <w:rPr>
          <w:sz w:val="20"/>
          <w:szCs w:val="20"/>
          <w:color w:val="auto"/>
        </w:rPr>
      </w:pPr>
      <w:r>
        <w:rPr>
          <w:rFonts w:ascii="Arial" w:cs="Arial" w:eastAsia="Arial" w:hAnsi="Arial"/>
          <w:sz w:val="18"/>
          <w:szCs w:val="18"/>
          <w:color w:val="auto"/>
        </w:rPr>
        <w:t>notes and the 2050 notes, and (ii)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5"/>
          <w:szCs w:val="15"/>
          <w:color w:val="auto"/>
        </w:rPr>
        <w:t>, 2021, in the case of the 2028 notes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2031 notes;</w:t>
      </w:r>
    </w:p>
    <w:p>
      <w:pPr>
        <w:spacing w:after="0" w:line="2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13613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2">
            <w:col w:w="940" w:space="140"/>
            <w:col w:w="10160"/>
          </w:cols>
          <w:pgMar w:left="320" w:top="131" w:right="339" w:bottom="1440" w:gutter="0" w:footer="0" w:header="0"/>
          <w:type w:val="continuous"/>
        </w:sectPr>
      </w:pPr>
    </w:p>
    <w:bookmarkStart w:id="15" w:name="page16"/>
    <w:bookmarkEnd w:id="1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240"/>
          </w:cols>
          <w:pgMar w:left="320" w:top="131" w:right="33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be payable to holders of record (i) on the 2025 notes and the 2050 notes, and (ii) on the</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hanging="341"/>
        <w:spacing w:after="0" w:line="304" w:lineRule="auto"/>
        <w:rPr>
          <w:sz w:val="20"/>
          <w:szCs w:val="20"/>
          <w:color w:val="auto"/>
        </w:rPr>
      </w:pPr>
      <w:r>
        <w:rPr>
          <w:rFonts w:ascii="Arial" w:cs="Arial" w:eastAsia="Arial" w:hAnsi="Arial"/>
          <w:sz w:val="15"/>
          <w:szCs w:val="15"/>
          <w:color w:val="auto"/>
        </w:rPr>
        <w:t>immediately preceding the related interest payment dates, in the case of the immediately preceding the related interest payment dates, in the case of the</w:t>
      </w:r>
    </w:p>
    <w:p>
      <w:pPr>
        <w:spacing w:after="0" w:line="1" w:lineRule="exact"/>
        <w:rPr>
          <w:sz w:val="20"/>
          <w:szCs w:val="20"/>
          <w:color w:val="auto"/>
        </w:rPr>
      </w:pPr>
    </w:p>
    <w:p>
      <w:pPr>
        <w:sectPr>
          <w:pgSz w:w="11900" w:h="16838" w:orient="portrait"/>
          <w:cols w:equalWidth="0" w:num="5">
            <w:col w:w="600" w:space="480"/>
            <w:col w:w="3220" w:space="360"/>
            <w:col w:w="240" w:space="100"/>
            <w:col w:w="260" w:space="700"/>
            <w:col w:w="5280"/>
          </w:cols>
          <w:pgMar w:left="320" w:top="131" w:right="339" w:bottom="1440" w:gutter="0" w:footer="0" w:header="0"/>
          <w:type w:val="continuous"/>
        </w:sectPr>
      </w:pPr>
    </w:p>
    <w:p>
      <w:pPr>
        <w:ind w:left="1080"/>
        <w:spacing w:after="0"/>
        <w:rPr>
          <w:sz w:val="20"/>
          <w:szCs w:val="20"/>
          <w:color w:val="auto"/>
        </w:rPr>
      </w:pPr>
      <w:r>
        <w:rPr>
          <w:rFonts w:ascii="Arial" w:cs="Arial" w:eastAsia="Arial" w:hAnsi="Arial"/>
          <w:sz w:val="15"/>
          <w:szCs w:val="15"/>
          <w:color w:val="auto"/>
        </w:rPr>
        <w:t>2028 notes and the 2031 notes; and</w:t>
      </w:r>
    </w:p>
    <w:p>
      <w:pPr>
        <w:sectPr>
          <w:pgSz w:w="11900" w:h="16838" w:orient="portrait"/>
          <w:cols w:equalWidth="0" w:num="1">
            <w:col w:w="11240"/>
          </w:cols>
          <w:pgMar w:left="320" w:top="131" w:right="339" w:bottom="1440" w:gutter="0" w:footer="0" w:header="0"/>
          <w:type w:val="continuous"/>
        </w:sectPr>
      </w:pPr>
    </w:p>
    <w:p>
      <w:pPr>
        <w:spacing w:after="0" w:line="280"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pacing w:after="0" w:line="197" w:lineRule="exact"/>
        <w:rPr>
          <w:sz w:val="20"/>
          <w:szCs w:val="20"/>
          <w:color w:val="auto"/>
        </w:rPr>
      </w:pPr>
    </w:p>
    <w:p>
      <w:pPr>
        <w:ind w:right="260" w:firstLine="351"/>
        <w:spacing w:after="0" w:line="323" w:lineRule="auto"/>
        <w:rPr>
          <w:sz w:val="20"/>
          <w:szCs w:val="20"/>
          <w:color w:val="auto"/>
        </w:rPr>
      </w:pPr>
      <w:r>
        <w:rPr>
          <w:rFonts w:ascii="Arial" w:cs="Arial" w:eastAsia="Arial" w:hAnsi="Arial"/>
          <w:sz w:val="15"/>
          <w:szCs w:val="15"/>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5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Before the applicable Par Call Date for each series of notes, the notes of each series will be redeemable and repayable, at our option, at any time in whole, or from time to time in part, at a price equal to the greater of:</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sum, as calculated by us, of the present values of the remaining scheduled payments of principal and interest on the notes of the applicable</w:t>
      </w:r>
    </w:p>
    <w:p>
      <w:pPr>
        <w:spacing w:after="0" w:line="50" w:lineRule="exact"/>
        <w:rPr>
          <w:sz w:val="20"/>
          <w:szCs w:val="20"/>
          <w:color w:val="auto"/>
        </w:rPr>
      </w:pPr>
    </w:p>
    <w:p>
      <w:pPr>
        <w:ind w:left="1080" w:right="160"/>
        <w:spacing w:after="0" w:line="300" w:lineRule="auto"/>
        <w:rPr>
          <w:sz w:val="20"/>
          <w:szCs w:val="20"/>
          <w:color w:val="auto"/>
        </w:rPr>
      </w:pPr>
      <w:r>
        <w:rPr>
          <w:rFonts w:ascii="Arial" w:cs="Arial" w:eastAsia="Arial" w:hAnsi="Arial"/>
          <w:sz w:val="15"/>
          <w:szCs w:val="15"/>
          <w:color w:val="auto"/>
        </w:rPr>
        <w:t>series to be redeemed that would be due if such notes matured on the applicable Par Call Date (exclusive of interest accrued to the date of redemption) discounted to the date of redemption on a semi-annual basis (assuming a 360-day year consisting of twelve 30-day months) at the</w:t>
      </w:r>
    </w:p>
    <w:p>
      <w:pPr>
        <w:sectPr>
          <w:pgSz w:w="11900" w:h="16838" w:orient="portrait"/>
          <w:cols w:equalWidth="0" w:num="1">
            <w:col w:w="11240"/>
          </w:cols>
          <w:pgMar w:left="320" w:top="131" w:right="339" w:bottom="1440" w:gutter="0" w:footer="0" w:header="0"/>
          <w:type w:val="continuous"/>
        </w:sectPr>
      </w:pPr>
    </w:p>
    <w:p>
      <w:pPr>
        <w:spacing w:after="0" w:line="1" w:lineRule="exact"/>
        <w:rPr>
          <w:sz w:val="20"/>
          <w:szCs w:val="20"/>
          <w:color w:val="auto"/>
        </w:rPr>
      </w:pPr>
    </w:p>
    <w:p>
      <w:pPr>
        <w:ind w:left="1080" w:right="160"/>
        <w:spacing w:after="0" w:line="260" w:lineRule="auto"/>
        <w:rPr>
          <w:sz w:val="20"/>
          <w:szCs w:val="20"/>
          <w:color w:val="auto"/>
        </w:rPr>
      </w:pPr>
      <w:r>
        <w:rPr>
          <w:rFonts w:ascii="Arial" w:cs="Arial" w:eastAsia="Arial" w:hAnsi="Arial"/>
          <w:sz w:val="18"/>
          <w:szCs w:val="18"/>
          <w:color w:val="auto"/>
        </w:rPr>
        <w:t>applicable Treasury Yield plus basis points for the 2025 notes, basis points for the 2028 notes, basis points for the 2031 notes and basis points for the 2050 notes;</w:t>
      </w:r>
    </w:p>
    <w:p>
      <w:pPr>
        <w:sectPr>
          <w:pgSz w:w="11900" w:h="16838" w:orient="portrait"/>
          <w:cols w:equalWidth="0" w:num="1">
            <w:col w:w="11240"/>
          </w:cols>
          <w:pgMar w:left="320" w:top="131" w:right="33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On or after the applicable Par Call Date for each series of notes, the notes of each series will be redeemable and repayable, at our option, at any time in whole, or from time to time in part, at a price equal to 100% of the principal amount of the notes of the applicable series to be redeemed plus accrued interest on the notes of the applicable series to be redeemed to the date of redemption.</w:t>
      </w:r>
    </w:p>
    <w:p>
      <w:pPr>
        <w:spacing w:after="0" w:line="194"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Notes called for redemption become due on the date fixed for redemption. Notices of redemption will be mailed at least 10 but not more than 60 days before the redemption date to each holder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or by any other method the Trustee deems fair and appropriate (or in the case of notes represented by a note in global form, by such method as DTC may require).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225"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Treasury Yield</w:t>
      </w:r>
      <w:r>
        <w:rPr>
          <w:rFonts w:ascii="Arial" w:cs="Arial" w:eastAsia="Arial" w:hAnsi="Arial"/>
          <w:sz w:val="15"/>
          <w:szCs w:val="15"/>
          <w:color w:val="auto"/>
        </w:rPr>
        <w:t>" means, with respect to any redemption date applicable to the notes of a series,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4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an Independent Investment Banker as having a maturity comparable to the remaining term of the notes of the series to be redeemed, calculated as if the maturity date of such notes were the applicable Par Call Date (the "Remaining Life"), that would be utilized, at the time of selection and in accordance with customary financial practice, in pricing new issues of corporate debt securities of comparable maturity to the Remaining Life of the notes of such series.</w:t>
      </w:r>
    </w:p>
    <w:p>
      <w:pPr>
        <w:spacing w:after="0" w:line="16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us to act as the Independent Investment Banker from time to time.</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(i) , 2025 (one month prior to the maturity date), in the case of the 2025 notes, (ii) , 2028 (two months prior to the maturity date), in the case of the 2028 notes, (iii) , 2030 (three months prior to the maturity date), in the case of the 2031 notes, and (iv) , 2050 (six months prior to the maturity date), in the case of the 2050 notes.</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Barclays Capital Inc., Mizuho Securities USA LLC, BofA Securities, Inc., J.P. Morgan Securities LLC and Scotia Capital (USA) Inc. (and their respective successors or affiliates),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of a series, an average, as determined by the Independent Investment Banker, of the bid and asked prices for the Comparable Treasury Issue for such notes (expressed in each case as a percentage of its principal amount) quoted in writing to the Independent Investment Banker by the Reference Treasury Dealer at 5:00 p.m., New York City time, on the third business day preceding such redemption date.</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Except as set forth above under "—Optional Redemption," the notes will not be redeemable by us prior to maturity and will not be entitled to the benefit of any sinking fund.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Each series of notes will be subject to legal defeasance and to covenant defeasance as provided under "Description of the Debt Securities—Provisions Applicable to Each Indenture—Defeasance" in the accompanying prospectus.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right="100" w:firstLine="351"/>
        <w:spacing w:after="0" w:line="331" w:lineRule="auto"/>
        <w:rPr>
          <w:sz w:val="20"/>
          <w:szCs w:val="20"/>
          <w:color w:val="auto"/>
        </w:rPr>
      </w:pPr>
      <w:r>
        <w:rPr>
          <w:rFonts w:ascii="Arial" w:cs="Arial" w:eastAsia="Arial" w:hAnsi="Arial"/>
          <w:sz w:val="16"/>
          <w:szCs w:val="16"/>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141" w:lineRule="exact"/>
        <w:rPr>
          <w:sz w:val="20"/>
          <w:szCs w:val="20"/>
          <w:color w:val="auto"/>
        </w:rPr>
      </w:pPr>
    </w:p>
    <w:p>
      <w:pPr>
        <w:ind w:left="1240" w:hanging="341"/>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20" w:firstLine="359"/>
        <w:spacing w:after="0" w:line="259" w:lineRule="auto"/>
        <w:tabs>
          <w:tab w:leader="none" w:pos="17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93" w:lineRule="exact"/>
        <w:rPr>
          <w:rFonts w:ascii="Arial" w:cs="Arial" w:eastAsia="Arial" w:hAnsi="Arial"/>
          <w:sz w:val="18"/>
          <w:szCs w:val="18"/>
          <w:color w:val="auto"/>
        </w:rPr>
      </w:pPr>
    </w:p>
    <w:p>
      <w:pPr>
        <w:ind w:left="1080" w:right="60" w:firstLine="359"/>
        <w:spacing w:after="0" w:line="288" w:lineRule="auto"/>
        <w:tabs>
          <w:tab w:leader="none" w:pos="1767"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177" w:lineRule="exact"/>
        <w:rPr>
          <w:rFonts w:ascii="Arial" w:cs="Arial" w:eastAsia="Arial" w:hAnsi="Arial"/>
          <w:sz w:val="16"/>
          <w:szCs w:val="16"/>
          <w:color w:val="auto"/>
        </w:rPr>
      </w:pPr>
    </w:p>
    <w:p>
      <w:pPr>
        <w:ind w:left="1240" w:hanging="341"/>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of that series; and</w:t>
      </w:r>
    </w:p>
    <w:p>
      <w:pPr>
        <w:spacing w:after="0" w:line="225" w:lineRule="exact"/>
        <w:rPr>
          <w:rFonts w:ascii="Arial" w:cs="Arial" w:eastAsia="Arial" w:hAnsi="Arial"/>
          <w:sz w:val="18"/>
          <w:szCs w:val="18"/>
          <w:color w:val="auto"/>
        </w:rPr>
      </w:pPr>
    </w:p>
    <w:p>
      <w:pPr>
        <w:ind w:left="540" w:right="320" w:firstLine="359"/>
        <w:spacing w:after="0" w:line="268" w:lineRule="auto"/>
        <w:tabs>
          <w:tab w:leader="none" w:pos="12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97" w:lineRule="exact"/>
        <w:rPr>
          <w:sz w:val="20"/>
          <w:szCs w:val="20"/>
          <w:color w:val="auto"/>
        </w:rPr>
      </w:pPr>
    </w:p>
    <w:p>
      <w:pPr>
        <w:ind w:right="300" w:firstLine="348"/>
        <w:spacing w:after="0" w:line="369" w:lineRule="auto"/>
        <w:rPr>
          <w:sz w:val="20"/>
          <w:szCs w:val="20"/>
          <w:color w:val="auto"/>
        </w:rPr>
      </w:pPr>
      <w:r>
        <w:rPr>
          <w:rFonts w:ascii="Arial" w:cs="Arial" w:eastAsia="Arial" w:hAnsi="Arial"/>
          <w:sz w:val="15"/>
          <w:szCs w:val="15"/>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Provisions Applicable Solely to Senior Debt Securities" in the accompanying prospectus.</w:t>
      </w:r>
    </w:p>
    <w:p>
      <w:pPr>
        <w:spacing w:after="0" w:line="178"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September 30, 2020, our operating subsidiaries had $2.235 billion of indebtedness and WM Holdings had $248 million of long-term debt (excluding guarantees of $6.076 billion of our senior debt), in each case excluding intercompany loans.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WM Holdings will unconditionally guarantee our obligations under the notes of each series.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97"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of that series; or</w:t>
      </w:r>
    </w:p>
    <w:p>
      <w:pPr>
        <w:spacing w:after="0" w:line="238"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$3.5 billion revolving credit facility and under its $3.0 billion revolving credit facility (in each case, or any replacement or new principal credit facility). Our $3.5 billion revolving credit facility and our $3.0 billion revolving credit facility each currently states that WM Holdings' guarantees under such facility can only be released with the written consent of each of the lenders that is a party thereto.</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 of Control Offer</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If a change of control triggering event occurs, unless we have exercised our option to redeem the notes of any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8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20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69"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225"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25" w:lineRule="exact"/>
        <w:rPr>
          <w:sz w:val="20"/>
          <w:szCs w:val="20"/>
          <w:color w:val="auto"/>
        </w:rPr>
      </w:pPr>
    </w:p>
    <w:p>
      <w:pPr>
        <w:ind w:right="100" w:firstLine="351"/>
        <w:spacing w:after="0" w:line="331" w:lineRule="auto"/>
        <w:rPr>
          <w:sz w:val="20"/>
          <w:szCs w:val="20"/>
          <w:color w:val="auto"/>
        </w:rPr>
      </w:pPr>
      <w:r>
        <w:rPr>
          <w:rFonts w:ascii="Arial" w:cs="Arial" w:eastAsia="Arial" w:hAnsi="Arial"/>
          <w:sz w:val="16"/>
          <w:szCs w:val="16"/>
          <w:color w:val="auto"/>
        </w:rPr>
        <w:t>For a description of these covenants, see "Description of the Debt Securities—Provisions Applicable to Each Indenture—Consolidation, Merger and Sale of Assets" and "—Provisions Applicable Solely to Senior Debt Securities—Restrictive Covenants" in the accompanying prospectus.</w:t>
      </w: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Further Issuances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from time to time, without notice or the consent of the holders of any series of the notes, create and issue further notes ranking equally and ratably with the notes of any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Book-Entry Systems</w:t>
      </w:r>
    </w:p>
    <w:p>
      <w:pPr>
        <w:spacing w:after="0" w:line="231"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66"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94" w:lineRule="exact"/>
        <w:rPr>
          <w:sz w:val="20"/>
          <w:szCs w:val="20"/>
          <w:color w:val="auto"/>
        </w:rPr>
      </w:pPr>
    </w:p>
    <w:p>
      <w:pPr>
        <w:ind w:right="20" w:firstLine="341"/>
        <w:spacing w:after="0" w:line="254"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20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DTC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and the underwriters as follows:</w:t>
      </w:r>
    </w:p>
    <w:p>
      <w:pPr>
        <w:spacing w:after="0" w:line="239" w:lineRule="exact"/>
        <w:rPr>
          <w:sz w:val="20"/>
          <w:szCs w:val="20"/>
          <w:color w:val="auto"/>
        </w:rPr>
      </w:pPr>
    </w:p>
    <w:p>
      <w:pPr>
        <w:ind w:left="1080" w:right="80" w:hanging="532"/>
        <w:spacing w:after="0" w:line="331"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Commercial Code, and a "clearing agency" registered pursuant to the provisions of the Exchange Act.</w:t>
      </w:r>
    </w:p>
    <w:p>
      <w:pPr>
        <w:spacing w:after="0" w:line="239" w:lineRule="exact"/>
        <w:rPr>
          <w:sz w:val="20"/>
          <w:szCs w:val="20"/>
          <w:color w:val="auto"/>
        </w:rPr>
      </w:pPr>
    </w:p>
    <w:p>
      <w:pPr>
        <w:ind w:left="1080" w:right="2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187"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6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94"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4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60"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7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DTC may discontinue providing its service as securities depositary with respect to the notes of any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97" w:lineRule="exact"/>
        <w:rPr>
          <w:sz w:val="20"/>
          <w:szCs w:val="20"/>
          <w:color w:val="auto"/>
        </w:rPr>
      </w:pPr>
    </w:p>
    <w:p>
      <w:pPr>
        <w:jc w:val="both"/>
        <w:ind w:right="440" w:firstLine="351"/>
        <w:spacing w:after="0" w:line="306" w:lineRule="auto"/>
        <w:rPr>
          <w:sz w:val="20"/>
          <w:szCs w:val="20"/>
          <w:color w:val="auto"/>
        </w:rPr>
      </w:pPr>
      <w:r>
        <w:rPr>
          <w:rFonts w:ascii="Arial" w:cs="Arial" w:eastAsia="Arial" w:hAnsi="Arial"/>
          <w:sz w:val="16"/>
          <w:szCs w:val="16"/>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60"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Euroclear</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6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relationship with a Euroclear participant, either directly or indirectly. Euroclear is an indirect DTC participant.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Euroclear Operator is a Belgian bank, which is regulated and examined by the Belgian Banking Commission and the National Bank of Belgium.</w:t>
      </w:r>
    </w:p>
    <w:p>
      <w:pPr>
        <w:spacing w:after="0" w:line="248"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60"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86" w:lineRule="exact"/>
        <w:rPr>
          <w:sz w:val="20"/>
          <w:szCs w:val="20"/>
          <w:color w:val="auto"/>
        </w:rPr>
      </w:pPr>
    </w:p>
    <w:p>
      <w:pPr>
        <w:jc w:val="both"/>
        <w:ind w:right="120" w:firstLine="351"/>
        <w:spacing w:after="0" w:line="294" w:lineRule="auto"/>
        <w:rPr>
          <w:sz w:val="20"/>
          <w:szCs w:val="20"/>
          <w:color w:val="auto"/>
        </w:rPr>
      </w:pPr>
      <w:r>
        <w:rPr>
          <w:rFonts w:ascii="Arial" w:cs="Arial" w:eastAsia="Arial" w:hAnsi="Arial"/>
          <w:sz w:val="16"/>
          <w:szCs w:val="16"/>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6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69" w:lineRule="exact"/>
        <w:rPr>
          <w:sz w:val="20"/>
          <w:szCs w:val="20"/>
          <w:color w:val="auto"/>
        </w:rPr>
      </w:pPr>
    </w:p>
    <w:p>
      <w:pPr>
        <w:ind w:right="20" w:firstLine="344"/>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Clearstream</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72"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6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6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69" w:lineRule="exact"/>
        <w:rPr>
          <w:sz w:val="20"/>
          <w:szCs w:val="20"/>
          <w:color w:val="auto"/>
        </w:rPr>
      </w:pPr>
    </w:p>
    <w:p>
      <w:pPr>
        <w:ind w:right="140" w:firstLine="344"/>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Discussion</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non-U.S. holders who purchase the notes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72"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real estate investment trusts and regulated investment companies, employee stock ownership plans,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or persons who hold the notes as a hedge or who hedge the interest rate on the notes. In addition, this discussion does not address any aspect of the Medicare tax on certain investment income, non-income taxation (such as estate and gift taxes) or state, local or foreign taxation.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77"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20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4"/>
        <w:spacing w:after="0" w:line="268"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199" w:lineRule="exact"/>
        <w:rPr>
          <w:sz w:val="20"/>
          <w:szCs w:val="20"/>
          <w:color w:val="auto"/>
        </w:rPr>
      </w:pPr>
    </w:p>
    <w:p>
      <w:pPr>
        <w:ind w:left="1080" w:right="80" w:hanging="532"/>
        <w:spacing w:after="0" w:line="33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16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38"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Payments of Additional Amounts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may be required to make payments of additional amounts to holders of the notes under certain circumstances, including those described under "Description of Notes—Optional Redemption" or "Description of Notes—Change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Our position is binding on you unless you disclose your contrary position in the manner required by applicable Treasury regulations. Our determination is not, however,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Interest on the Notes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Subject to the discussion of backup withholding and FATCA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221"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do not own, actually or constructively, 10% or more of the total combined voting power of all classes of our stock entitled to vote; and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you are not a "controlled foreign corporation" that is related to us through actual or constructive stock ownership (as provided in the Code).</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"—Income or Gain Effectively Connected with a U.S. Trade or Business."</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Sale, Redemption, Exchange, Retirement or Other Taxable Disposition of Notes</w:t>
      </w:r>
    </w:p>
    <w:p>
      <w:pPr>
        <w:spacing w:after="0" w:line="231" w:lineRule="exact"/>
        <w:rPr>
          <w:sz w:val="20"/>
          <w:szCs w:val="20"/>
          <w:color w:val="auto"/>
        </w:rPr>
      </w:pPr>
    </w:p>
    <w:p>
      <w:pPr>
        <w:ind w:right="380" w:firstLine="351"/>
        <w:spacing w:after="0" w:line="331" w:lineRule="auto"/>
        <w:rPr>
          <w:sz w:val="20"/>
          <w:szCs w:val="20"/>
          <w:color w:val="auto"/>
        </w:rPr>
      </w:pPr>
      <w:r>
        <w:rPr>
          <w:rFonts w:ascii="Arial" w:cs="Arial" w:eastAsia="Arial" w:hAnsi="Arial"/>
          <w:sz w:val="16"/>
          <w:szCs w:val="16"/>
          <w:color w:val="auto"/>
        </w:rPr>
        <w:t>Subject to the discussion of backup withholding and FATCA (as defined herein) withholding requirements discussed below, you generally will not be subject to U.S. federal income tax on any gain realized on the sale, redemption, exchange, retirement or other taxable disposition of a note unless:</w:t>
      </w:r>
    </w:p>
    <w:p>
      <w:pPr>
        <w:spacing w:after="0" w:line="168" w:lineRule="exact"/>
        <w:rPr>
          <w:sz w:val="20"/>
          <w:szCs w:val="20"/>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you are described in the first bullet point above, you will be subject to the treatment described below in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97" w:lineRule="exact"/>
        <w:rPr>
          <w:sz w:val="20"/>
          <w:szCs w:val="20"/>
          <w:color w:val="auto"/>
        </w:rPr>
      </w:pPr>
    </w:p>
    <w:p>
      <w:pPr>
        <w:ind w:right="180" w:firstLine="341"/>
        <w:spacing w:after="0" w:line="331" w:lineRule="auto"/>
        <w:rPr>
          <w:sz w:val="20"/>
          <w:szCs w:val="20"/>
          <w:color w:val="auto"/>
        </w:rPr>
      </w:pPr>
      <w:r>
        <w:rPr>
          <w:rFonts w:ascii="Arial" w:cs="Arial" w:eastAsia="Arial" w:hAnsi="Arial"/>
          <w:sz w:val="16"/>
          <w:szCs w:val="16"/>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"—Interest on the Notes."</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94"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Backup withholding (currently at a rate of 24%) generally will not apply to payments of interest on a note to you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16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19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is a foreign person that derives 50% or more of its gross income for certain periods from the conduct of a trade or business in the United States;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86" w:lineRule="exact"/>
        <w:rPr>
          <w:sz w:val="20"/>
          <w:szCs w:val="20"/>
          <w:color w:val="auto"/>
        </w:rPr>
      </w:pPr>
    </w:p>
    <w:p>
      <w:pPr>
        <w:ind w:right="180" w:firstLine="344"/>
        <w:spacing w:after="0" w:line="331" w:lineRule="auto"/>
        <w:rPr>
          <w:sz w:val="20"/>
          <w:szCs w:val="20"/>
          <w:color w:val="auto"/>
        </w:rPr>
      </w:pPr>
      <w:r>
        <w:rPr>
          <w:rFonts w:ascii="Arial" w:cs="Arial" w:eastAsia="Arial" w:hAnsi="Arial"/>
          <w:sz w:val="16"/>
          <w:szCs w:val="16"/>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Accounts Tax Compliance Act</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Withholding taxes under Sections 1471 through 1474 of the Code (commonly referred to as the Foreign Account Tax Compliance Act, or "FATCA") may apply to certain types of payments made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 (iii) 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175"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 (CONFLICTS OF INTEREST)</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Barclays Capital Inc., Mizuho Securities USA LLC, BofA Securities, Inc., J.P. Morgan Securities LLC and Scotia Capital (USA) Inc. are acting as joint book-running managers of the offering and as representatives of the underwriters named below.</w:t>
      </w:r>
    </w:p>
    <w:p>
      <w:pPr>
        <w:spacing w:after="0" w:line="186" w:lineRule="exact"/>
        <w:rPr>
          <w:sz w:val="20"/>
          <w:szCs w:val="20"/>
          <w:color w:val="auto"/>
        </w:rPr>
      </w:pPr>
    </w:p>
    <w:p>
      <w:pPr>
        <w:jc w:val="both"/>
        <w:ind w:firstLine="351"/>
        <w:spacing w:after="0" w:line="369" w:lineRule="auto"/>
        <w:rPr>
          <w:sz w:val="20"/>
          <w:szCs w:val="20"/>
          <w:color w:val="auto"/>
        </w:rPr>
      </w:pPr>
      <w:r>
        <w:rPr>
          <w:rFonts w:ascii="Arial" w:cs="Arial" w:eastAsia="Arial" w:hAnsi="Arial"/>
          <w:sz w:val="15"/>
          <w:szCs w:val="15"/>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12"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8"/>
              </w:rPr>
              <w:t>Principal</w:t>
            </w:r>
          </w:p>
        </w:tc>
        <w:tc>
          <w:tcPr>
            <w:tcW w:w="16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Principal</w:t>
            </w:r>
          </w:p>
        </w:tc>
      </w:tr>
      <w:tr>
        <w:trPr>
          <w:trHeight w:val="148"/>
        </w:trPr>
        <w:tc>
          <w:tcPr>
            <w:tcW w:w="8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c>
          <w:tcPr>
            <w:tcW w:w="1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5"/>
              </w:rPr>
              <w:t>Amount of</w:t>
            </w:r>
          </w:p>
        </w:tc>
        <w:tc>
          <w:tcPr>
            <w:tcW w:w="160" w:type="dxa"/>
            <w:vAlign w:val="bottom"/>
          </w:tcPr>
          <w:p>
            <w:pPr>
              <w:spacing w:after="0"/>
              <w:rPr>
                <w:sz w:val="12"/>
                <w:szCs w:val="12"/>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Amount of</w:t>
            </w:r>
          </w:p>
        </w:tc>
      </w:tr>
      <w:tr>
        <w:trPr>
          <w:trHeight w:val="161"/>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Underwriters</w:t>
            </w:r>
          </w:p>
        </w:tc>
        <w:tc>
          <w:tcPr>
            <w:tcW w:w="43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2025 Notes</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2028 Notes</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2031 Notes</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2050 Notes</w:t>
            </w:r>
          </w:p>
        </w:tc>
        <w:tc>
          <w:tcPr>
            <w:tcW w:w="160" w:type="dxa"/>
            <w:vAlign w:val="bottom"/>
          </w:tcPr>
          <w:p>
            <w:pPr>
              <w:spacing w:after="0"/>
              <w:rPr>
                <w:sz w:val="14"/>
                <w:szCs w:val="14"/>
                <w:color w:val="auto"/>
              </w:rPr>
            </w:pPr>
          </w:p>
        </w:tc>
      </w:tr>
      <w:tr>
        <w:trPr>
          <w:trHeight w:val="20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Barclays Capital Inc.</w:t>
            </w:r>
          </w:p>
        </w:tc>
        <w:tc>
          <w:tcPr>
            <w:tcW w:w="80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Mizuho Securities USA LLC</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BofA Securities, Inc.</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J.P. Morgan Securities LLC</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Scotia Capital (USA) Inc.</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BNP Paribas Securities Corp.</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Citigroup Global Markets Inc.</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Deutsche Bank Securities Inc.</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MUFG Securities Americas Inc.</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SMBC Nikko Securities America, Inc.</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Bancorp Investments, Inc.</w:t>
            </w: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51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624"/>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ind w:right="647"/>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ind w:right="647"/>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65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propose to offer the notes of each series directly to the public at the public offering price set forth on the cover page of this prospectus</w:t>
      </w:r>
    </w:p>
    <w:p>
      <w:pPr>
        <w:spacing w:after="0" w:line="38"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supplement and may offer the notes of each series to dealers at the public offering price less a concession not to exceed % of the principal amount of the 2025 notes, % of the principal amount of the 2028 notes, % of the principal amount of the 2031 notes and % of the principal amount of the 2050 notes. The underwriters may allow, and dealers may reallow, a concession not to exceed % of the principal amount of the 2025 notes, % of the principal amount of the 2028 notes, % of the principal amount of the 2031 notes and % of the principal amount of the 2050 notes on sales to other</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dealers. After the initial offering of the notes to the public, the representatives may change the public offering price and other selling terms applicable to the notes of any series. The offering of the notes by the underwriters is subject to receipt and acceptance and subject to the underwriters' right to reject any order in whole or in part.</w:t>
      </w:r>
    </w:p>
    <w:p>
      <w:pPr>
        <w:spacing w:after="0" w:line="19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8"/>
        <w:spacing w:after="0" w:line="331"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41" w:lineRule="exact"/>
        <w:rPr>
          <w:sz w:val="20"/>
          <w:szCs w:val="20"/>
          <w:color w:val="auto"/>
        </w:rPr>
      </w:pPr>
    </w:p>
    <w:p>
      <w:pPr>
        <w:jc w:val="both"/>
        <w:ind w:right="60" w:firstLine="341"/>
        <w:spacing w:after="0" w:line="335" w:lineRule="auto"/>
        <w:rPr>
          <w:sz w:val="20"/>
          <w:szCs w:val="20"/>
          <w:color w:val="auto"/>
        </w:rPr>
      </w:pPr>
      <w:r>
        <w:rPr>
          <w:rFonts w:ascii="Arial" w:cs="Arial" w:eastAsia="Arial" w:hAnsi="Arial"/>
          <w:sz w:val="15"/>
          <w:szCs w:val="15"/>
          <w:color w:val="auto"/>
        </w:rPr>
        <w:t>Any of these activities may have the effect of preventing or retarding a decline in the market price of any series of notes. They may also cause the price of any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(not including the underwriting discounts) for this offering will be $4.36 million.</w:t>
      </w:r>
    </w:p>
    <w:p>
      <w:pPr>
        <w:spacing w:after="0" w:line="225" w:lineRule="exact"/>
        <w:rPr>
          <w:sz w:val="20"/>
          <w:szCs w:val="20"/>
          <w:color w:val="auto"/>
        </w:rPr>
      </w:pPr>
    </w:p>
    <w:p>
      <w:pPr>
        <w:ind w:right="280" w:firstLine="348"/>
        <w:spacing w:after="0" w:line="331"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14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 2020, which is the seventh business day following the date of pricing of the notes (such settlement being referred to as "T+7").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four business days will be required, by virtue of the fact that the notes initially will settle in T+7, to specify an alternate settlement cycle at the time of any such trade to prevent failed settlement and should consult their own advisers.</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Relationships</w:t>
      </w:r>
    </w:p>
    <w:p>
      <w:pPr>
        <w:spacing w:after="0" w:line="231"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Certain of the underwriters or one of their respective affiliates are lenders under our $3.0 billion revolving credit facility and our $3.5 billion revolving credit facility, and are dealers under our commercial paper program. In addition, certain of the underwriters or their affiliates may be holders of our 4.60% Senior Notes due March 2021 and, accordingly, may receive a portion of the proceeds of this offering pursuant to the repayment thereof with the proceeds of this offering. Certain of the underwriters or one of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9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may hold, or recommend to clients that they acquire, long and/or short positions in such securities and instruments.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Conflicts of Interest</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Certain affiliates of Barclays Capital Inc., Mizuho Securities USA LLC, BofA Securities, Inc., J.P. Morgan Securities LLC, Scotia Capital (USA) Inc., BNP Paribas Securities Corp., Citigroup Global Markets Inc., Deutsche Bank Securities Inc., MUFG Securities Americas Inc., SMBC Nikko Securities America, Inc. and U.S. Bancorp Investments, Inc., respectively, are lenders to us under our $3.0 billion revolving credit facility and may receive 5% or more of the net proceeds of this offering by reason of the repayment of amounts outstanding thereunder. Accordingly, such underwriters are deemed to have a "conflict of interest" within the meaning of FINRA Rule 5121, and this offering will be conducted in accordance with FINRA Rule 5121. No underwriter with a "conflict of interest" will confirm sales to any account over which it exercises discretion without the specific written approval of the account holder. Pursuant to FINRA Rule 5121(a)(1)(C), the appointment of a "qualified independent underwriter" is not necessary in connection with this offering as the notes offered are "investment grade rated" (as defined in FINRA Rule 5121).</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w:t>
      </w:r>
    </w:p>
    <w:p>
      <w:pPr>
        <w:spacing w:after="0" w:line="225" w:lineRule="exact"/>
        <w:rPr>
          <w:sz w:val="20"/>
          <w:szCs w:val="20"/>
          <w:color w:val="auto"/>
        </w:rPr>
      </w:pPr>
    </w:p>
    <w:p>
      <w:pPr>
        <w:ind w:left="1240" w:hanging="351"/>
        <w:spacing w:after="0"/>
        <w:tabs>
          <w:tab w:leader="none" w:pos="1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does not constitute a product disclosure document or a prospectus under Chapter 6D.2 of the Corporations Act 2001 (Cth) (the "Corporations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8" w:lineRule="exact"/>
        <w:rPr>
          <w:rFonts w:ascii="Arial" w:cs="Arial" w:eastAsia="Arial" w:hAnsi="Arial"/>
          <w:sz w:val="16"/>
          <w:szCs w:val="16"/>
          <w:color w:val="auto"/>
        </w:rPr>
      </w:pPr>
    </w:p>
    <w:p>
      <w:pPr>
        <w:ind w:left="540" w:right="120" w:firstLine="359"/>
        <w:spacing w:after="0" w:line="259" w:lineRule="auto"/>
        <w:tabs>
          <w:tab w:leader="none" w:pos="12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93" w:lineRule="exact"/>
        <w:rPr>
          <w:rFonts w:ascii="Arial" w:cs="Arial" w:eastAsia="Arial" w:hAnsi="Arial"/>
          <w:sz w:val="18"/>
          <w:szCs w:val="18"/>
          <w:color w:val="auto"/>
        </w:rPr>
      </w:pPr>
    </w:p>
    <w:p>
      <w:pPr>
        <w:ind w:left="540" w:right="20" w:firstLine="359"/>
        <w:spacing w:after="0" w:line="369" w:lineRule="auto"/>
        <w:tabs>
          <w:tab w:leader="none" w:pos="1227" w:val="left"/>
        </w:tabs>
        <w:numPr>
          <w:ilvl w:val="0"/>
          <w:numId w:val="25"/>
        </w:numPr>
        <w:rPr>
          <w:rFonts w:ascii="Arial" w:cs="Arial" w:eastAsia="Arial" w:hAnsi="Arial"/>
          <w:sz w:val="15"/>
          <w:szCs w:val="15"/>
          <w:color w:val="auto"/>
        </w:rPr>
      </w:pPr>
      <w:r>
        <w:rPr>
          <w:rFonts w:ascii="Arial" w:cs="Arial" w:eastAsia="Arial" w:hAnsi="Arial"/>
          <w:sz w:val="15"/>
          <w:szCs w:val="15"/>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17" w:lineRule="exact"/>
        <w:rPr>
          <w:rFonts w:ascii="Arial" w:cs="Arial" w:eastAsia="Arial" w:hAnsi="Arial"/>
          <w:sz w:val="15"/>
          <w:szCs w:val="15"/>
          <w:color w:val="auto"/>
        </w:rPr>
      </w:pPr>
    </w:p>
    <w:p>
      <w:pPr>
        <w:ind w:left="540" w:right="560" w:firstLine="359"/>
        <w:spacing w:after="0" w:line="268" w:lineRule="auto"/>
        <w:tabs>
          <w:tab w:leader="none" w:pos="12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66"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the securities legislation of the purchaser's province or territory for particulars of these rights or consult with a legal advisor.</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Neither this prospectus supplement nor the accompanying base prospectus is a prospectus for the purposes of the European Union's Regulation (EU) 2017/1129 (the "Prospectus Regulation").</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the United Kingdom. For the purposes of this provision: (a) a retail investor means a person who is one (or more) of: (i) a retail client as defined in point (11) of Article 4(1) of Directive 2014/65/EU (as amended, "MiFID II"); or (ii) a customer within the meaning of Directive (EU) 2016/97 (the Insurance Distribution Directive),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 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1" w:lineRule="exact"/>
        <w:rPr>
          <w:sz w:val="20"/>
          <w:szCs w:val="20"/>
          <w:color w:val="auto"/>
        </w:rPr>
      </w:pPr>
    </w:p>
    <w:p>
      <w:pPr>
        <w:ind w:right="20" w:firstLine="348"/>
        <w:spacing w:after="0" w:line="331" w:lineRule="auto"/>
        <w:rPr>
          <w:sz w:val="20"/>
          <w:szCs w:val="20"/>
          <w:color w:val="auto"/>
        </w:rPr>
      </w:pPr>
      <w:r>
        <w:rPr>
          <w:rFonts w:ascii="Arial" w:cs="Arial" w:eastAsia="Arial" w:hAnsi="Arial"/>
          <w:sz w:val="16"/>
          <w:szCs w:val="16"/>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25" w:lineRule="exact"/>
        <w:rPr>
          <w:sz w:val="20"/>
          <w:szCs w:val="20"/>
          <w:color w:val="auto"/>
        </w:rPr>
      </w:pPr>
    </w:p>
    <w:p>
      <w:pPr>
        <w:ind w:left="540" w:firstLine="349"/>
        <w:spacing w:after="0" w:line="268" w:lineRule="auto"/>
        <w:tabs>
          <w:tab w:leader="none" w:pos="1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5" w:lineRule="exact"/>
        <w:rPr>
          <w:rFonts w:ascii="Arial" w:cs="Arial" w:eastAsia="Arial" w:hAnsi="Arial"/>
          <w:sz w:val="18"/>
          <w:szCs w:val="18"/>
          <w:color w:val="auto"/>
        </w:rPr>
      </w:pPr>
    </w:p>
    <w:p>
      <w:pPr>
        <w:ind w:left="540" w:right="120" w:firstLine="359"/>
        <w:spacing w:after="0" w:line="256" w:lineRule="auto"/>
        <w:tabs>
          <w:tab w:leader="none" w:pos="1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96" w:lineRule="exact"/>
        <w:rPr>
          <w:rFonts w:ascii="Arial" w:cs="Arial" w:eastAsia="Arial" w:hAnsi="Arial"/>
          <w:sz w:val="18"/>
          <w:szCs w:val="18"/>
          <w:color w:val="auto"/>
        </w:rPr>
      </w:pPr>
    </w:p>
    <w:p>
      <w:pPr>
        <w:ind w:left="1080" w:right="220" w:firstLine="447"/>
        <w:spacing w:after="0" w:line="268" w:lineRule="auto"/>
        <w:tabs>
          <w:tab w:leader="none" w:pos="177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800" w:hanging="361"/>
        <w:spacing w:after="0"/>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780" w:hanging="341"/>
        <w:spacing w:after="0"/>
        <w:tabs>
          <w:tab w:leader="none" w:pos="17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080" w:right="440" w:firstLine="403"/>
        <w:spacing w:after="0" w:line="268" w:lineRule="auto"/>
        <w:tabs>
          <w:tab w:leader="none" w:pos="1767"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Korea</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7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communication of this prospectus supplement and the accompanying base prospectus and any other document or materials relating to the issue of the notes offered hereby is not being made, and such documents and/or materials have not been approved, by an authorized person for the purposes of Section 21 of the UK's Financial Services and Markets Act 2000, as amended (the "FSMA"). Accordingly, such documents and/or materials are not being distributed to, and must not be passed on to, the general public in the UK. In the United Kingdom, this prospectus supplement and the accompanying base prospectus are being distributed only to, and are directed only at, and any offer subsequently made may only be directed at persons who are non-retail investors (being persons who are not retail investors as described above) (i) who have professional experience in matters relating to investments falling within Article 19 (5) of the Financial Services and Markets Act 2000 (Financial Promotion) Order 2005, as amended (the "Order") and/or (ii) who are high net worth bodies corporate, unincorporated associations or partnerships or trustees of high value trusts falling within Article 49(2)(a) to (d) of the Order (all such persons together being referred to as "relevant persons"). This prospectus supplement and accompanying base prospectus must not be acted on or relied on in the United Kingdom by persons who are not relevant persons. In the United Kingdom, any investment or investment activity to which this prospectus supplement and the accompanying base prospectus relate is only available to, and will be engaged in with, relevant persons. Any invitation or inducement to engage in investment activity (within the meaning of Section 21 of the FSMA) in connection with the issue or sale of the notes may only be communicated or caused to be communicated in circumstances in which Section 21(1) of the FSMA does not apply to us or NuStar Energy L.P.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6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Arab Emirates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Gibson, Dunn &amp; Crutcher LLP, Houston, Texas.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4" w:lineRule="auto"/>
        <w:rPr>
          <w:rFonts w:ascii="Arial" w:cs="Arial" w:eastAsia="Arial" w:hAnsi="Arial"/>
          <w:sz w:val="18"/>
          <w:szCs w:val="18"/>
          <w:color w:val="0000EE"/>
        </w:rPr>
      </w:pPr>
      <w:hyperlink r:id="rId27">
        <w:r>
          <w:rPr>
            <w:rFonts w:ascii="Arial" w:cs="Arial" w:eastAsia="Arial" w:hAnsi="Arial"/>
            <w:sz w:val="18"/>
            <w:szCs w:val="18"/>
            <w:color w:val="auto"/>
          </w:rPr>
          <w:t xml:space="preserve">The consolidated financial statements of Waste Management, Inc. appearing in Waste Management, Inc.'s </w:t>
        </w:r>
        <w:r>
          <w:rPr>
            <w:rFonts w:ascii="Arial" w:cs="Arial" w:eastAsia="Arial" w:hAnsi="Arial"/>
            <w:sz w:val="18"/>
            <w:szCs w:val="18"/>
            <w:u w:val="single" w:color="auto"/>
            <w:color w:val="0000EE"/>
          </w:rPr>
          <w:t>Annual Report (Form 10-K) for the year ended</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December 31, 2019,</w:t>
        </w:r>
        <w:r>
          <w:rPr>
            <w:rFonts w:ascii="Arial" w:cs="Arial" w:eastAsia="Arial" w:hAnsi="Arial"/>
            <w:sz w:val="18"/>
            <w:szCs w:val="18"/>
            <w:color w:val="0000EE"/>
          </w:rPr>
          <w:t xml:space="preserve"> </w:t>
        </w:r>
        <w:r>
          <w:rPr>
            <w:rFonts w:ascii="Arial" w:cs="Arial" w:eastAsia="Arial" w:hAnsi="Arial"/>
            <w:sz w:val="18"/>
            <w:szCs w:val="18"/>
            <w:color w:val="000000"/>
          </w:rPr>
          <w:t xml:space="preserve">and the effectiveness of Waste Management, Inc.'s internal control over financial reporting as of December 31, 2019, have been audited </w:t>
        </w:r>
      </w:hyperlink>
      <w:r>
        <w:rPr>
          <w:rFonts w:ascii="Arial" w:cs="Arial" w:eastAsia="Arial" w:hAnsi="Arial"/>
          <w:sz w:val="18"/>
          <w:szCs w:val="18"/>
          <w:color w:val="0000EE"/>
        </w:rPr>
        <w:t xml:space="preserve">by </w:t>
      </w:r>
      <w:r>
        <w:rPr>
          <w:rFonts w:ascii="Arial" w:cs="Arial" w:eastAsia="Arial" w:hAnsi="Arial"/>
          <w:sz w:val="18"/>
          <w:szCs w:val="18"/>
          <w:color w:val="000000"/>
        </w:rPr>
        <w:t>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5" w:lineRule="exact"/>
        <w:rPr>
          <w:sz w:val="20"/>
          <w:szCs w:val="20"/>
          <w:color w:val="auto"/>
        </w:rPr>
      </w:pPr>
    </w:p>
    <w:p>
      <w:pPr>
        <w:jc w:val="both"/>
        <w:ind w:right="200" w:firstLine="351"/>
        <w:spacing w:after="0" w:line="262"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9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65"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7480" w:type="dxa"/>
            <w:vAlign w:val="bottom"/>
            <w:gridSpan w:val="2"/>
          </w:tcPr>
          <w:p>
            <w:pPr>
              <w:ind w:left="20"/>
              <w:spacing w:after="0"/>
              <w:rPr>
                <w:sz w:val="20"/>
                <w:szCs w:val="20"/>
                <w:color w:val="auto"/>
              </w:rPr>
            </w:pPr>
            <w:r>
              <w:rPr>
                <w:rFonts w:ascii="Arial" w:cs="Arial" w:eastAsia="Arial" w:hAnsi="Arial"/>
                <w:sz w:val="13"/>
                <w:szCs w:val="13"/>
                <w:b w:val="1"/>
                <w:bCs w:val="1"/>
                <w:color w:val="auto"/>
              </w:rPr>
              <w:t>SEC Filing (Our SEC File Number is 1-12154)</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96"/>
              </w:rPr>
              <w:t>Date Filed</w:t>
            </w:r>
          </w:p>
        </w:tc>
      </w:tr>
      <w:tr>
        <w:trPr>
          <w:trHeight w:val="20"/>
        </w:trPr>
        <w:tc>
          <w:tcPr>
            <w:tcW w:w="268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209"/>
        </w:trPr>
        <w:tc>
          <w:tcPr>
            <w:tcW w:w="748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Annual Report on Form 10-K for the year ended December 31, 2019</w:t>
              </w:r>
            </w:hyperlink>
          </w:p>
        </w:tc>
        <w:tc>
          <w:tcPr>
            <w:tcW w:w="1500" w:type="dxa"/>
            <w:vAlign w:val="bottom"/>
            <w:shd w:val="clear" w:color="auto" w:fill="CCEEFF"/>
          </w:tcPr>
          <w:p>
            <w:pPr>
              <w:jc w:val="center"/>
              <w:spacing w:after="0"/>
              <w:rPr>
                <w:rFonts w:ascii="Arial" w:cs="Arial" w:eastAsia="Arial" w:hAnsi="Arial"/>
                <w:sz w:val="18"/>
                <w:szCs w:val="18"/>
                <w:u w:val="single" w:color="auto"/>
                <w:color w:val="0000EE"/>
                <w:w w:val="86"/>
              </w:rPr>
            </w:pPr>
            <w:hyperlink r:id="rId27">
              <w:r>
                <w:rPr>
                  <w:rFonts w:ascii="Arial" w:cs="Arial" w:eastAsia="Arial" w:hAnsi="Arial"/>
                  <w:sz w:val="18"/>
                  <w:szCs w:val="18"/>
                  <w:u w:val="single" w:color="auto"/>
                  <w:color w:val="0000EE"/>
                  <w:w w:val="86"/>
                </w:rPr>
                <w:t>February 13, 2020</w:t>
              </w:r>
            </w:hyperlink>
          </w:p>
        </w:tc>
      </w:tr>
      <w:tr>
        <w:trPr>
          <w:trHeight w:val="216"/>
        </w:trPr>
        <w:tc>
          <w:tcPr>
            <w:tcW w:w="7480" w:type="dxa"/>
            <w:vAlign w:val="bottom"/>
            <w:gridSpan w:val="2"/>
          </w:tcPr>
          <w:p>
            <w:pPr>
              <w:ind w:left="20"/>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Current Report on Form 8-K</w:t>
              </w:r>
            </w:hyperlink>
          </w:p>
        </w:tc>
        <w:tc>
          <w:tcPr>
            <w:tcW w:w="1500" w:type="dxa"/>
            <w:vAlign w:val="bottom"/>
          </w:tcPr>
          <w:p>
            <w:pPr>
              <w:jc w:val="center"/>
              <w:spacing w:after="0"/>
              <w:rPr>
                <w:rFonts w:ascii="Arial" w:cs="Arial" w:eastAsia="Arial" w:hAnsi="Arial"/>
                <w:sz w:val="18"/>
                <w:szCs w:val="18"/>
                <w:u w:val="single" w:color="auto"/>
                <w:color w:val="0000EE"/>
                <w:w w:val="86"/>
              </w:rPr>
            </w:pPr>
            <w:hyperlink r:id="rId61">
              <w:r>
                <w:rPr>
                  <w:rFonts w:ascii="Arial" w:cs="Arial" w:eastAsia="Arial" w:hAnsi="Arial"/>
                  <w:sz w:val="18"/>
                  <w:szCs w:val="18"/>
                  <w:u w:val="single" w:color="auto"/>
                  <w:color w:val="0000EE"/>
                  <w:w w:val="86"/>
                </w:rPr>
                <w:t>February 25, 2020</w:t>
              </w:r>
            </w:hyperlink>
          </w:p>
        </w:tc>
      </w:tr>
      <w:tr>
        <w:trPr>
          <w:trHeight w:val="216"/>
        </w:trPr>
        <w:tc>
          <w:tcPr>
            <w:tcW w:w="748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Current Report on Form 8-K</w:t>
              </w:r>
            </w:hyperlink>
          </w:p>
        </w:tc>
        <w:tc>
          <w:tcPr>
            <w:tcW w:w="1500" w:type="dxa"/>
            <w:vAlign w:val="bottom"/>
            <w:shd w:val="clear" w:color="auto" w:fill="CCEEFF"/>
          </w:tcPr>
          <w:p>
            <w:pPr>
              <w:jc w:val="center"/>
              <w:spacing w:after="0"/>
              <w:rPr>
                <w:rFonts w:ascii="Arial" w:cs="Arial" w:eastAsia="Arial" w:hAnsi="Arial"/>
                <w:sz w:val="18"/>
                <w:szCs w:val="18"/>
                <w:u w:val="single" w:color="auto"/>
                <w:color w:val="0000EE"/>
                <w:w w:val="89"/>
              </w:rPr>
            </w:pPr>
            <w:hyperlink r:id="rId62">
              <w:r>
                <w:rPr>
                  <w:rFonts w:ascii="Arial" w:cs="Arial" w:eastAsia="Arial" w:hAnsi="Arial"/>
                  <w:sz w:val="18"/>
                  <w:szCs w:val="18"/>
                  <w:u w:val="single" w:color="auto"/>
                  <w:color w:val="0000EE"/>
                  <w:w w:val="89"/>
                </w:rPr>
                <w:t>March 18, 2020</w:t>
              </w:r>
            </w:hyperlink>
          </w:p>
        </w:tc>
      </w:tr>
      <w:tr>
        <w:trPr>
          <w:trHeight w:val="216"/>
        </w:trPr>
        <w:tc>
          <w:tcPr>
            <w:tcW w:w="7480" w:type="dxa"/>
            <w:vAlign w:val="bottom"/>
            <w:gridSpan w:val="2"/>
          </w:tcPr>
          <w:p>
            <w:pPr>
              <w:ind w:left="20"/>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Current Report on Form 8-K/A</w:t>
              </w:r>
            </w:hyperlink>
          </w:p>
        </w:tc>
        <w:tc>
          <w:tcPr>
            <w:tcW w:w="1500" w:type="dxa"/>
            <w:vAlign w:val="bottom"/>
          </w:tcPr>
          <w:p>
            <w:pPr>
              <w:jc w:val="center"/>
              <w:spacing w:after="0"/>
              <w:rPr>
                <w:rFonts w:ascii="Arial" w:cs="Arial" w:eastAsia="Arial" w:hAnsi="Arial"/>
                <w:sz w:val="18"/>
                <w:szCs w:val="18"/>
                <w:u w:val="single" w:color="auto"/>
                <w:color w:val="0000EE"/>
                <w:w w:val="92"/>
              </w:rPr>
            </w:pPr>
            <w:hyperlink r:id="rId63">
              <w:r>
                <w:rPr>
                  <w:rFonts w:ascii="Arial" w:cs="Arial" w:eastAsia="Arial" w:hAnsi="Arial"/>
                  <w:sz w:val="18"/>
                  <w:szCs w:val="18"/>
                  <w:u w:val="single" w:color="auto"/>
                  <w:color w:val="0000EE"/>
                  <w:w w:val="92"/>
                </w:rPr>
                <w:t>April 2, 2020</w:t>
              </w:r>
            </w:hyperlink>
          </w:p>
        </w:tc>
      </w:tr>
      <w:tr>
        <w:trPr>
          <w:trHeight w:val="216"/>
        </w:trPr>
        <w:tc>
          <w:tcPr>
            <w:tcW w:w="748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Current Report on Form 8-K</w:t>
              </w:r>
            </w:hyperlink>
          </w:p>
        </w:tc>
        <w:tc>
          <w:tcPr>
            <w:tcW w:w="1500" w:type="dxa"/>
            <w:vAlign w:val="bottom"/>
            <w:shd w:val="clear" w:color="auto" w:fill="CCEEFF"/>
          </w:tcPr>
          <w:p>
            <w:pPr>
              <w:jc w:val="center"/>
              <w:spacing w:after="0"/>
              <w:rPr>
                <w:rFonts w:ascii="Arial" w:cs="Arial" w:eastAsia="Arial" w:hAnsi="Arial"/>
                <w:sz w:val="18"/>
                <w:szCs w:val="18"/>
                <w:u w:val="single" w:color="auto"/>
                <w:color w:val="0000EE"/>
                <w:w w:val="89"/>
              </w:rPr>
            </w:pPr>
            <w:hyperlink r:id="rId64">
              <w:r>
                <w:rPr>
                  <w:rFonts w:ascii="Arial" w:cs="Arial" w:eastAsia="Arial" w:hAnsi="Arial"/>
                  <w:sz w:val="18"/>
                  <w:szCs w:val="18"/>
                  <w:u w:val="single" w:color="auto"/>
                  <w:color w:val="0000EE"/>
                  <w:w w:val="89"/>
                </w:rPr>
                <w:t>May 15, 2020</w:t>
              </w:r>
            </w:hyperlink>
          </w:p>
        </w:tc>
      </w:tr>
      <w:tr>
        <w:trPr>
          <w:trHeight w:val="216"/>
        </w:trPr>
        <w:tc>
          <w:tcPr>
            <w:tcW w:w="7480" w:type="dxa"/>
            <w:vAlign w:val="bottom"/>
            <w:gridSpan w:val="2"/>
          </w:tcPr>
          <w:p>
            <w:pPr>
              <w:ind w:left="20"/>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Current Report on Form 8-K</w:t>
              </w:r>
            </w:hyperlink>
          </w:p>
        </w:tc>
        <w:tc>
          <w:tcPr>
            <w:tcW w:w="1500" w:type="dxa"/>
            <w:vAlign w:val="bottom"/>
          </w:tcPr>
          <w:p>
            <w:pPr>
              <w:jc w:val="center"/>
              <w:spacing w:after="0"/>
              <w:rPr>
                <w:rFonts w:ascii="Arial" w:cs="Arial" w:eastAsia="Arial" w:hAnsi="Arial"/>
                <w:sz w:val="18"/>
                <w:szCs w:val="18"/>
                <w:u w:val="single" w:color="auto"/>
                <w:color w:val="0000EE"/>
                <w:w w:val="85"/>
              </w:rPr>
            </w:pPr>
            <w:hyperlink r:id="rId65">
              <w:r>
                <w:rPr>
                  <w:rFonts w:ascii="Arial" w:cs="Arial" w:eastAsia="Arial" w:hAnsi="Arial"/>
                  <w:sz w:val="18"/>
                  <w:szCs w:val="18"/>
                  <w:u w:val="single" w:color="auto"/>
                  <w:color w:val="0000EE"/>
                  <w:w w:val="85"/>
                </w:rPr>
                <w:t>June 24, 2020</w:t>
              </w:r>
            </w:hyperlink>
          </w:p>
        </w:tc>
      </w:tr>
      <w:tr>
        <w:trPr>
          <w:trHeight w:val="216"/>
        </w:trPr>
        <w:tc>
          <w:tcPr>
            <w:tcW w:w="748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Current Report on Form 8-K</w:t>
              </w:r>
            </w:hyperlink>
          </w:p>
        </w:tc>
        <w:tc>
          <w:tcPr>
            <w:tcW w:w="1500" w:type="dxa"/>
            <w:vAlign w:val="bottom"/>
            <w:shd w:val="clear" w:color="auto" w:fill="CCEEFF"/>
          </w:tcPr>
          <w:p>
            <w:pPr>
              <w:jc w:val="center"/>
              <w:spacing w:after="0"/>
              <w:rPr>
                <w:rFonts w:ascii="Arial" w:cs="Arial" w:eastAsia="Arial" w:hAnsi="Arial"/>
                <w:sz w:val="18"/>
                <w:szCs w:val="18"/>
                <w:u w:val="single" w:color="auto"/>
                <w:color w:val="0000EE"/>
                <w:w w:val="89"/>
              </w:rPr>
            </w:pPr>
            <w:hyperlink r:id="rId66">
              <w:r>
                <w:rPr>
                  <w:rFonts w:ascii="Arial" w:cs="Arial" w:eastAsia="Arial" w:hAnsi="Arial"/>
                  <w:sz w:val="18"/>
                  <w:szCs w:val="18"/>
                  <w:u w:val="single" w:color="auto"/>
                  <w:color w:val="0000EE"/>
                  <w:w w:val="89"/>
                </w:rPr>
                <w:t>July 15, 2020</w:t>
              </w:r>
            </w:hyperlink>
          </w:p>
        </w:tc>
      </w:tr>
      <w:tr>
        <w:trPr>
          <w:trHeight w:val="216"/>
        </w:trPr>
        <w:tc>
          <w:tcPr>
            <w:tcW w:w="7480" w:type="dxa"/>
            <w:vAlign w:val="bottom"/>
            <w:gridSpan w:val="2"/>
          </w:tcPr>
          <w:p>
            <w:pPr>
              <w:ind w:left="20"/>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Current Report on Form 8-K</w:t>
              </w:r>
            </w:hyperlink>
          </w:p>
        </w:tc>
        <w:tc>
          <w:tcPr>
            <w:tcW w:w="1500" w:type="dxa"/>
            <w:vAlign w:val="bottom"/>
          </w:tcPr>
          <w:p>
            <w:pPr>
              <w:jc w:val="center"/>
              <w:spacing w:after="0"/>
              <w:rPr>
                <w:rFonts w:ascii="Arial" w:cs="Arial" w:eastAsia="Arial" w:hAnsi="Arial"/>
                <w:sz w:val="18"/>
                <w:szCs w:val="18"/>
                <w:u w:val="single" w:color="auto"/>
                <w:color w:val="0000EE"/>
                <w:w w:val="89"/>
              </w:rPr>
            </w:pPr>
            <w:hyperlink r:id="rId67">
              <w:r>
                <w:rPr>
                  <w:rFonts w:ascii="Arial" w:cs="Arial" w:eastAsia="Arial" w:hAnsi="Arial"/>
                  <w:sz w:val="18"/>
                  <w:szCs w:val="18"/>
                  <w:u w:val="single" w:color="auto"/>
                  <w:color w:val="0000EE"/>
                  <w:w w:val="89"/>
                </w:rPr>
                <w:t>July 30, 2020</w:t>
              </w:r>
            </w:hyperlink>
          </w:p>
        </w:tc>
      </w:tr>
      <w:tr>
        <w:trPr>
          <w:trHeight w:val="216"/>
        </w:trPr>
        <w:tc>
          <w:tcPr>
            <w:tcW w:w="748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Current Report on Form 8-K</w:t>
              </w:r>
            </w:hyperlink>
          </w:p>
        </w:tc>
        <w:tc>
          <w:tcPr>
            <w:tcW w:w="1500" w:type="dxa"/>
            <w:vAlign w:val="bottom"/>
            <w:shd w:val="clear" w:color="auto" w:fill="CCEEFF"/>
          </w:tcPr>
          <w:p>
            <w:pPr>
              <w:jc w:val="center"/>
              <w:spacing w:after="0"/>
              <w:rPr>
                <w:rFonts w:ascii="Arial" w:cs="Arial" w:eastAsia="Arial" w:hAnsi="Arial"/>
                <w:sz w:val="18"/>
                <w:szCs w:val="18"/>
                <w:u w:val="single" w:color="auto"/>
                <w:color w:val="0000EE"/>
                <w:w w:val="85"/>
              </w:rPr>
            </w:pPr>
            <w:hyperlink r:id="rId68">
              <w:r>
                <w:rPr>
                  <w:rFonts w:ascii="Arial" w:cs="Arial" w:eastAsia="Arial" w:hAnsi="Arial"/>
                  <w:sz w:val="18"/>
                  <w:szCs w:val="18"/>
                  <w:u w:val="single" w:color="auto"/>
                  <w:color w:val="0000EE"/>
                  <w:w w:val="85"/>
                </w:rPr>
                <w:t>September 25, 2020</w:t>
              </w:r>
            </w:hyperlink>
          </w:p>
        </w:tc>
      </w:tr>
      <w:tr>
        <w:trPr>
          <w:trHeight w:val="216"/>
        </w:trPr>
        <w:tc>
          <w:tcPr>
            <w:tcW w:w="7480" w:type="dxa"/>
            <w:vAlign w:val="bottom"/>
            <w:gridSpan w:val="2"/>
          </w:tcPr>
          <w:p>
            <w:pPr>
              <w:ind w:left="2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Current Report on Form 8-K</w:t>
              </w:r>
            </w:hyperlink>
          </w:p>
        </w:tc>
        <w:tc>
          <w:tcPr>
            <w:tcW w:w="1500" w:type="dxa"/>
            <w:vAlign w:val="bottom"/>
          </w:tcPr>
          <w:p>
            <w:pPr>
              <w:jc w:val="center"/>
              <w:spacing w:after="0"/>
              <w:rPr>
                <w:rFonts w:ascii="Arial" w:cs="Arial" w:eastAsia="Arial" w:hAnsi="Arial"/>
                <w:sz w:val="18"/>
                <w:szCs w:val="18"/>
                <w:u w:val="single" w:color="auto"/>
                <w:color w:val="0000EE"/>
                <w:w w:val="87"/>
              </w:rPr>
            </w:pPr>
            <w:hyperlink r:id="rId69">
              <w:r>
                <w:rPr>
                  <w:rFonts w:ascii="Arial" w:cs="Arial" w:eastAsia="Arial" w:hAnsi="Arial"/>
                  <w:sz w:val="18"/>
                  <w:szCs w:val="18"/>
                  <w:u w:val="single" w:color="auto"/>
                  <w:color w:val="0000EE"/>
                  <w:w w:val="87"/>
                </w:rPr>
                <w:t>October 30, 2020</w:t>
              </w:r>
            </w:hyperlink>
          </w:p>
        </w:tc>
      </w:tr>
      <w:tr>
        <w:trPr>
          <w:trHeight w:val="216"/>
        </w:trPr>
        <w:tc>
          <w:tcPr>
            <w:tcW w:w="748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Current Report on Form 8-K</w:t>
              </w:r>
            </w:hyperlink>
          </w:p>
        </w:tc>
        <w:tc>
          <w:tcPr>
            <w:tcW w:w="1500" w:type="dxa"/>
            <w:vAlign w:val="bottom"/>
            <w:shd w:val="clear" w:color="auto" w:fill="CCEEFF"/>
          </w:tcPr>
          <w:p>
            <w:pPr>
              <w:jc w:val="center"/>
              <w:spacing w:after="0"/>
              <w:rPr>
                <w:rFonts w:ascii="Arial" w:cs="Arial" w:eastAsia="Arial" w:hAnsi="Arial"/>
                <w:sz w:val="18"/>
                <w:szCs w:val="18"/>
                <w:u w:val="single" w:color="auto"/>
                <w:color w:val="0000EE"/>
                <w:w w:val="89"/>
              </w:rPr>
            </w:pPr>
            <w:hyperlink r:id="rId70">
              <w:r>
                <w:rPr>
                  <w:rFonts w:ascii="Arial" w:cs="Arial" w:eastAsia="Arial" w:hAnsi="Arial"/>
                  <w:sz w:val="18"/>
                  <w:szCs w:val="18"/>
                  <w:u w:val="single" w:color="auto"/>
                  <w:color w:val="0000EE"/>
                  <w:w w:val="89"/>
                </w:rPr>
                <w:t>November 3, 2020</w:t>
              </w:r>
            </w:hyperlink>
          </w:p>
        </w:tc>
      </w:tr>
      <w:tr>
        <w:trPr>
          <w:trHeight w:val="216"/>
        </w:trPr>
        <w:tc>
          <w:tcPr>
            <w:tcW w:w="7480" w:type="dxa"/>
            <w:vAlign w:val="bottom"/>
            <w:gridSpan w:val="2"/>
          </w:tcPr>
          <w:p>
            <w:pPr>
              <w:ind w:left="20"/>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Quarterly Report on Form 10-Q for the period ended March 31, 2020</w:t>
              </w:r>
            </w:hyperlink>
          </w:p>
        </w:tc>
        <w:tc>
          <w:tcPr>
            <w:tcW w:w="1500" w:type="dxa"/>
            <w:vAlign w:val="bottom"/>
          </w:tcPr>
          <w:p>
            <w:pPr>
              <w:jc w:val="center"/>
              <w:spacing w:after="0"/>
              <w:rPr>
                <w:rFonts w:ascii="Arial" w:cs="Arial" w:eastAsia="Arial" w:hAnsi="Arial"/>
                <w:sz w:val="18"/>
                <w:szCs w:val="18"/>
                <w:u w:val="single" w:color="auto"/>
                <w:color w:val="0000EE"/>
                <w:w w:val="88"/>
              </w:rPr>
            </w:pPr>
            <w:hyperlink r:id="rId28">
              <w:r>
                <w:rPr>
                  <w:rFonts w:ascii="Arial" w:cs="Arial" w:eastAsia="Arial" w:hAnsi="Arial"/>
                  <w:sz w:val="18"/>
                  <w:szCs w:val="18"/>
                  <w:u w:val="single" w:color="auto"/>
                  <w:color w:val="0000EE"/>
                  <w:w w:val="88"/>
                </w:rPr>
                <w:t>May 6, 2020</w:t>
              </w:r>
            </w:hyperlink>
          </w:p>
        </w:tc>
      </w:tr>
      <w:tr>
        <w:trPr>
          <w:trHeight w:val="216"/>
        </w:trPr>
        <w:tc>
          <w:tcPr>
            <w:tcW w:w="7480" w:type="dxa"/>
            <w:vAlign w:val="bottom"/>
            <w:gridSpan w:val="2"/>
            <w:shd w:val="clear" w:color="auto" w:fill="CCEEFF"/>
          </w:tcPr>
          <w:p>
            <w:pPr>
              <w:ind w:left="20"/>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Quarterly Report on Form 10-Q for the period ended June 30, 2020</w:t>
              </w:r>
            </w:hyperlink>
          </w:p>
        </w:tc>
        <w:tc>
          <w:tcPr>
            <w:tcW w:w="1500" w:type="dxa"/>
            <w:vAlign w:val="bottom"/>
            <w:shd w:val="clear" w:color="auto" w:fill="CCEEFF"/>
          </w:tcPr>
          <w:p>
            <w:pPr>
              <w:jc w:val="center"/>
              <w:spacing w:after="0"/>
              <w:rPr>
                <w:rFonts w:ascii="Arial" w:cs="Arial" w:eastAsia="Arial" w:hAnsi="Arial"/>
                <w:sz w:val="18"/>
                <w:szCs w:val="18"/>
                <w:u w:val="single" w:color="auto"/>
                <w:color w:val="0000EE"/>
                <w:w w:val="89"/>
              </w:rPr>
            </w:pPr>
            <w:hyperlink r:id="rId29">
              <w:r>
                <w:rPr>
                  <w:rFonts w:ascii="Arial" w:cs="Arial" w:eastAsia="Arial" w:hAnsi="Arial"/>
                  <w:sz w:val="18"/>
                  <w:szCs w:val="18"/>
                  <w:u w:val="single" w:color="auto"/>
                  <w:color w:val="0000EE"/>
                  <w:w w:val="89"/>
                </w:rPr>
                <w:t>July 30, 2020</w:t>
              </w:r>
            </w:hyperlink>
          </w:p>
        </w:tc>
      </w:tr>
      <w:tr>
        <w:trPr>
          <w:trHeight w:val="216"/>
        </w:trPr>
        <w:tc>
          <w:tcPr>
            <w:tcW w:w="7480" w:type="dxa"/>
            <w:vAlign w:val="bottom"/>
            <w:gridSpan w:val="2"/>
          </w:tcPr>
          <w:p>
            <w:pPr>
              <w:ind w:left="20"/>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Quarterly Report on Form 10-Q for the period ended September 30, 2020</w:t>
              </w:r>
            </w:hyperlink>
          </w:p>
        </w:tc>
        <w:tc>
          <w:tcPr>
            <w:tcW w:w="1500" w:type="dxa"/>
            <w:vAlign w:val="bottom"/>
          </w:tcPr>
          <w:p>
            <w:pPr>
              <w:jc w:val="center"/>
              <w:spacing w:after="0"/>
              <w:rPr>
                <w:rFonts w:ascii="Arial" w:cs="Arial" w:eastAsia="Arial" w:hAnsi="Arial"/>
                <w:sz w:val="18"/>
                <w:szCs w:val="18"/>
                <w:u w:val="single" w:color="auto"/>
                <w:color w:val="0000EE"/>
                <w:w w:val="89"/>
              </w:rPr>
            </w:pPr>
            <w:hyperlink r:id="rId71">
              <w:r>
                <w:rPr>
                  <w:rFonts w:ascii="Arial" w:cs="Arial" w:eastAsia="Arial" w:hAnsi="Arial"/>
                  <w:sz w:val="18"/>
                  <w:szCs w:val="18"/>
                  <w:u w:val="single" w:color="auto"/>
                  <w:color w:val="0000EE"/>
                  <w:w w:val="89"/>
                </w:rPr>
                <w:t>November 2, 2020</w:t>
              </w:r>
            </w:hyperlink>
          </w:p>
        </w:tc>
      </w:tr>
      <w:tr>
        <w:trPr>
          <w:trHeight w:val="208"/>
        </w:trPr>
        <w:tc>
          <w:tcPr>
            <w:tcW w:w="7480" w:type="dxa"/>
            <w:vAlign w:val="bottom"/>
            <w:gridSpan w:val="2"/>
            <w:shd w:val="clear" w:color="auto" w:fill="CCEEFF"/>
          </w:tcPr>
          <w:p>
            <w:pPr>
              <w:ind w:left="20"/>
              <w:spacing w:after="0"/>
              <w:rPr>
                <w:rFonts w:ascii="Arial" w:cs="Arial" w:eastAsia="Arial" w:hAnsi="Arial"/>
                <w:sz w:val="18"/>
                <w:szCs w:val="18"/>
                <w:color w:val="auto"/>
                <w:w w:val="96"/>
              </w:rPr>
            </w:pPr>
            <w:r>
              <w:rPr>
                <w:rFonts w:ascii="Arial" w:cs="Arial" w:eastAsia="Arial" w:hAnsi="Arial"/>
                <w:sz w:val="18"/>
                <w:szCs w:val="18"/>
                <w:color w:val="auto"/>
                <w:w w:val="96"/>
              </w:rPr>
              <w:t xml:space="preserve">The portions of our </w:t>
            </w:r>
            <w:hyperlink r:id="rId72">
              <w:r>
                <w:rPr>
                  <w:rFonts w:ascii="Arial" w:cs="Arial" w:eastAsia="Arial" w:hAnsi="Arial"/>
                  <w:sz w:val="18"/>
                  <w:szCs w:val="18"/>
                  <w:u w:val="single" w:color="auto"/>
                  <w:color w:val="0000EE"/>
                  <w:w w:val="96"/>
                </w:rPr>
                <w:t>proxy statement for our 2020 annual meeting of stockholders</w:t>
              </w:r>
              <w:r>
                <w:rPr>
                  <w:rFonts w:ascii="Arial" w:cs="Arial" w:eastAsia="Arial" w:hAnsi="Arial"/>
                  <w:sz w:val="18"/>
                  <w:szCs w:val="18"/>
                  <w:u w:val="single" w:color="auto"/>
                  <w:color w:val="auto"/>
                  <w:w w:val="96"/>
                </w:rPr>
                <w:t xml:space="preserve"> </w:t>
              </w:r>
            </w:hyperlink>
            <w:r>
              <w:rPr>
                <w:rFonts w:ascii="Arial" w:cs="Arial" w:eastAsia="Arial" w:hAnsi="Arial"/>
                <w:sz w:val="18"/>
                <w:szCs w:val="18"/>
                <w:color w:val="auto"/>
                <w:w w:val="96"/>
              </w:rPr>
              <w:t>incorporated by</w:t>
            </w:r>
          </w:p>
        </w:tc>
        <w:tc>
          <w:tcPr>
            <w:tcW w:w="1500" w:type="dxa"/>
            <w:vAlign w:val="bottom"/>
            <w:shd w:val="clear" w:color="auto" w:fill="CCEEFF"/>
          </w:tcPr>
          <w:p>
            <w:pPr>
              <w:spacing w:after="0"/>
              <w:rPr>
                <w:sz w:val="18"/>
                <w:szCs w:val="18"/>
                <w:color w:val="auto"/>
              </w:rPr>
            </w:pPr>
          </w:p>
        </w:tc>
      </w:tr>
      <w:tr>
        <w:trPr>
          <w:trHeight w:val="224"/>
        </w:trPr>
        <w:tc>
          <w:tcPr>
            <w:tcW w:w="7480" w:type="dxa"/>
            <w:vAlign w:val="bottom"/>
            <w:gridSpan w:val="2"/>
            <w:shd w:val="clear" w:color="auto" w:fill="CCEEFF"/>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reference in </w:t>
            </w:r>
            <w:hyperlink r:id="rId27">
              <w:r>
                <w:rPr>
                  <w:rFonts w:ascii="Arial" w:cs="Arial" w:eastAsia="Arial" w:hAnsi="Arial"/>
                  <w:sz w:val="18"/>
                  <w:szCs w:val="18"/>
                  <w:u w:val="single" w:color="auto"/>
                  <w:color w:val="0000EE"/>
                </w:rPr>
                <w:t>our Annual Report on Form 10-K for the year ended December 31, 2019</w:t>
              </w:r>
            </w:hyperlink>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27, 2020</w:t>
            </w:r>
          </w:p>
        </w:tc>
      </w:tr>
    </w:tbl>
    <w:p>
      <w:pPr>
        <w:spacing w:after="0" w:line="208"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201" w:lineRule="exact"/>
        <w:rPr>
          <w:sz w:val="20"/>
          <w:szCs w:val="20"/>
          <w:color w:val="auto"/>
        </w:rPr>
      </w:pPr>
    </w:p>
    <w:p>
      <w:pPr>
        <w:jc w:val="both"/>
        <w:ind w:firstLine="344"/>
        <w:spacing w:after="0" w:line="306"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www.wm.com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151765</wp:posOffset>
            </wp:positionV>
            <wp:extent cx="2597150" cy="960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259715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WASTE MANAGEMENT,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GUARANTEES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06" w:lineRule="exact"/>
        <w:rPr>
          <w:sz w:val="20"/>
          <w:szCs w:val="20"/>
          <w:color w:val="auto"/>
        </w:rPr>
      </w:pPr>
    </w:p>
    <w:p>
      <w:pPr>
        <w:jc w:val="both"/>
        <w:ind w:firstLine="351"/>
        <w:spacing w:after="0" w:line="260" w:lineRule="auto"/>
        <w:rPr>
          <w:sz w:val="20"/>
          <w:szCs w:val="20"/>
          <w:color w:val="auto"/>
        </w:rPr>
      </w:pPr>
      <w:r>
        <w:rPr>
          <w:rFonts w:ascii="Arial" w:cs="Arial" w:eastAsia="Arial" w:hAnsi="Arial"/>
          <w:sz w:val="21"/>
          <w:szCs w:val="21"/>
          <w:b w:val="1"/>
          <w:bCs w:val="1"/>
          <w:color w:val="auto"/>
        </w:rPr>
        <w:t>Investing in our securities involves risks. See "</w:t>
      </w:r>
      <w:r>
        <w:rPr>
          <w:rFonts w:ascii="Arial" w:cs="Arial" w:eastAsia="Arial" w:hAnsi="Arial"/>
          <w:sz w:val="21"/>
          <w:szCs w:val="21"/>
          <w:b w:val="1"/>
          <w:bCs w:val="1"/>
          <w:i w:val="1"/>
          <w:iCs w:val="1"/>
          <w:color w:val="auto"/>
        </w:rPr>
        <w:t>Risk Factors</w:t>
      </w:r>
      <w:r>
        <w:rPr>
          <w:rFonts w:ascii="Arial" w:cs="Arial" w:eastAsia="Arial" w:hAnsi="Arial"/>
          <w:sz w:val="21"/>
          <w:szCs w:val="21"/>
          <w:b w:val="1"/>
          <w:bCs w:val="1"/>
          <w:color w:val="auto"/>
        </w:rPr>
        <w:t>" on page 6 of this prospectus, the risk factors included in our periodic reports that we file with the Securities and Exchange Commission and incorporated by reference herein and the applicable prospectus supplement before you invest in our securities.</w:t>
      </w:r>
    </w:p>
    <w:p>
      <w:pPr>
        <w:spacing w:after="0" w:line="17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prospectus is dated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6580" w:type="dxa"/>
            <w:vAlign w:val="bottom"/>
          </w:tcPr>
          <w:p>
            <w:pPr>
              <w:jc w:val="right"/>
              <w:ind w:right="4612"/>
              <w:spacing w:after="0"/>
              <w:rPr>
                <w:sz w:val="20"/>
                <w:szCs w:val="20"/>
                <w:color w:val="auto"/>
              </w:rPr>
            </w:pPr>
            <w:r>
              <w:rPr>
                <w:rFonts w:ascii="Arial" w:cs="Arial" w:eastAsia="Arial" w:hAnsi="Arial"/>
                <w:sz w:val="18"/>
                <w:szCs w:val="18"/>
                <w:b w:val="1"/>
                <w:bCs w:val="1"/>
                <w:color w:val="auto"/>
                <w:w w:val="95"/>
              </w:rPr>
              <w:t>TABLE OF CONTENTS</w:t>
            </w:r>
          </w:p>
        </w:tc>
      </w:tr>
      <w:tr>
        <w:trPr>
          <w:trHeight w:val="426"/>
        </w:trPr>
        <w:tc>
          <w:tcPr>
            <w:tcW w:w="4660" w:type="dxa"/>
            <w:vAlign w:val="bottom"/>
          </w:tcPr>
          <w:p>
            <w:pPr>
              <w:ind w:left="11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Forward-Looking Statements</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1</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About this Prospectus</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w w:val="88"/>
              </w:rPr>
            </w:pPr>
            <w:hyperlink w:anchor="page47">
              <w:r>
                <w:rPr>
                  <w:rFonts w:ascii="Arial" w:cs="Arial" w:eastAsia="Arial" w:hAnsi="Arial"/>
                  <w:sz w:val="18"/>
                  <w:szCs w:val="18"/>
                  <w:u w:val="single" w:color="auto"/>
                  <w:color w:val="0000EE"/>
                  <w:w w:val="88"/>
                </w:rPr>
                <w:t>Incorporation of Certain Documents by Reference</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5</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More Information</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6</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The Company</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6</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Risk Factors</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6</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Use of Proceeds</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6</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Description of Debt Securities</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7</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Description of Guarantees</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15</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Description of Capital Stock</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17</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Description of Other Securities</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18</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Plan of Distribution</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19</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Selling Securityholders</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20</w:t>
              </w:r>
            </w:hyperlink>
          </w:p>
        </w:tc>
      </w:tr>
      <w:tr>
        <w:trPr>
          <w:trHeight w:val="216"/>
        </w:trPr>
        <w:tc>
          <w:tcPr>
            <w:tcW w:w="4660" w:type="dxa"/>
            <w:vAlign w:val="bottom"/>
          </w:tcPr>
          <w:p>
            <w:pPr>
              <w:ind w:left="11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Legal Matters</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20</w:t>
              </w:r>
            </w:hyperlink>
          </w:p>
        </w:tc>
      </w:tr>
      <w:tr>
        <w:trPr>
          <w:trHeight w:val="222"/>
        </w:trPr>
        <w:tc>
          <w:tcPr>
            <w:tcW w:w="4660" w:type="dxa"/>
            <w:vAlign w:val="bottom"/>
          </w:tcPr>
          <w:p>
            <w:pPr>
              <w:ind w:left="11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Experts</w:t>
              </w:r>
            </w:hyperlink>
          </w:p>
        </w:tc>
        <w:tc>
          <w:tcPr>
            <w:tcW w:w="6580" w:type="dxa"/>
            <w:vAlign w:val="bottom"/>
          </w:tcPr>
          <w:p>
            <w:pPr>
              <w:jc w:val="right"/>
              <w:ind w:right="1032"/>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20</w:t>
              </w:r>
            </w:hyperlink>
          </w:p>
        </w:tc>
      </w:tr>
      <w:tr>
        <w:trPr>
          <w:trHeight w:val="120"/>
        </w:trPr>
        <w:tc>
          <w:tcPr>
            <w:tcW w:w="4660" w:type="dxa"/>
            <w:vAlign w:val="bottom"/>
            <w:tcBorders>
              <w:bottom w:val="single" w:sz="8" w:color="808080"/>
            </w:tcBorders>
          </w:tcPr>
          <w:p>
            <w:pPr>
              <w:spacing w:after="0"/>
              <w:rPr>
                <w:sz w:val="10"/>
                <w:szCs w:val="10"/>
                <w:color w:val="auto"/>
              </w:rPr>
            </w:pPr>
          </w:p>
        </w:tc>
        <w:tc>
          <w:tcPr>
            <w:tcW w:w="6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2018 as updated by our subsequent quarterly reports on Form 10-Q and other filings we make with the Securities and Exchange Commission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185" w:lineRule="exact"/>
        <w:rPr>
          <w:sz w:val="20"/>
          <w:szCs w:val="20"/>
          <w:color w:val="auto"/>
        </w:rPr>
      </w:pPr>
    </w:p>
    <w:p>
      <w:pPr>
        <w:ind w:left="1080" w:right="2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pricing strategy may have negative effects on volumes, and inability to execute our pricing strategy while retaining and attracting customers may negatively affect our average yield on our collection and disposal business;</w:t>
      </w:r>
    </w:p>
    <w:p>
      <w:pPr>
        <w:spacing w:after="0" w:line="220"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210"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207"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including our planned acquisition of Advanced Disposal Services, Inc. ("Advanced Disposal"), which could adversely impact our growth strategy, earnings and cash flow;</w:t>
      </w:r>
    </w:p>
    <w:p>
      <w:pPr>
        <w:spacing w:after="0" w:line="220" w:lineRule="exact"/>
        <w:rPr>
          <w:rFonts w:ascii="Arial" w:cs="Arial" w:eastAsia="Arial" w:hAnsi="Arial"/>
          <w:sz w:val="18"/>
          <w:szCs w:val="18"/>
          <w:color w:val="auto"/>
        </w:rPr>
      </w:pPr>
    </w:p>
    <w:p>
      <w:pPr>
        <w:ind w:left="1080" w:right="180" w:hanging="532"/>
        <w:spacing w:after="0" w:line="33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integration of acquisitions, including our planned acquisition of Advanced Disposal, and/or new service offerings could increase our exposure to environmental liabilities for past operations and the risk of inadvertent noncompliance with laws and regulations;</w:t>
      </w:r>
    </w:p>
    <w:p>
      <w:pPr>
        <w:spacing w:after="0" w:line="154"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legal, regulatory and other matters may affect the timing of our ability to complete our planned acquisition of Advanced Disposal, if at all, which may negatively affect the trading prices of our stock and our future business and financial results;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22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199"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207" w:lineRule="exact"/>
        <w:rPr>
          <w:rFonts w:ascii="Arial" w:cs="Arial" w:eastAsia="Arial" w:hAnsi="Arial"/>
          <w:sz w:val="18"/>
          <w:szCs w:val="18"/>
          <w:color w:val="auto"/>
        </w:rPr>
      </w:pPr>
    </w:p>
    <w:p>
      <w:pPr>
        <w:ind w:left="1080" w:right="460" w:hanging="532"/>
        <w:spacing w:after="0" w:line="30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significant portion of the recycled fiber we market has been shipped to export markets across the globe, particularly China; changes in international or domestic regulations and restrictions or tariffs on American or foreign imports and exports, including actions taken by the Chinese government, could continue to increase operating expense, result in excess supply and drive down prices;</w:t>
      </w:r>
    </w:p>
    <w:p>
      <w:pPr>
        <w:spacing w:after="0" w:line="187"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energy and environmental services organization;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to the regulatory framework related to renewable fuel standards could affect our financial performance as a renewable fuel producer;</w:t>
      </w:r>
    </w:p>
    <w:p>
      <w:pPr>
        <w:spacing w:after="0" w:line="261"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22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99" w:lineRule="exact"/>
        <w:rPr>
          <w:rFonts w:ascii="Arial" w:cs="Arial" w:eastAsia="Arial" w:hAnsi="Arial"/>
          <w:sz w:val="18"/>
          <w:szCs w:val="18"/>
          <w:color w:val="auto"/>
        </w:rPr>
      </w:pPr>
    </w:p>
    <w:p>
      <w:pPr>
        <w:ind w:left="1080" w:right="180" w:hanging="532"/>
        <w:spacing w:after="0" w:line="33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154"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22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207"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33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167"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212" w:lineRule="exact"/>
        <w:rPr>
          <w:rFonts w:ascii="Arial" w:cs="Arial" w:eastAsia="Arial" w:hAnsi="Arial"/>
          <w:sz w:val="18"/>
          <w:szCs w:val="18"/>
          <w:color w:val="auto"/>
        </w:rPr>
      </w:pPr>
    </w:p>
    <w:p>
      <w:pPr>
        <w:ind w:left="1080" w:right="140" w:hanging="532"/>
        <w:spacing w:after="0" w:line="331"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154" w:lineRule="exact"/>
        <w:rPr>
          <w:rFonts w:ascii="Arial" w:cs="Arial" w:eastAsia="Arial" w:hAnsi="Arial"/>
          <w:sz w:val="16"/>
          <w:szCs w:val="16"/>
          <w:color w:val="auto"/>
        </w:rPr>
      </w:pPr>
    </w:p>
    <w:p>
      <w:pPr>
        <w:ind w:left="1080" w:right="2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must commit substantial resources to prevent, detect, and address the risk of cybersecurity incidents. Our preventative measures and incident response efforts may not be effective in all cases, and a cybersecurity incident could result in business disruption, direct financial loss, negative publicity, brand damage, violation of privacy laws, loss of customers, potential litigation and liability and competitive disadvantage;</w:t>
      </w:r>
    </w:p>
    <w:p>
      <w:pPr>
        <w:spacing w:after="0" w:line="173" w:lineRule="exact"/>
        <w:rPr>
          <w:rFonts w:ascii="Arial" w:cs="Arial" w:eastAsia="Arial" w:hAnsi="Arial"/>
          <w:sz w:val="16"/>
          <w:szCs w:val="16"/>
          <w:color w:val="auto"/>
        </w:rPr>
      </w:pPr>
    </w:p>
    <w:p>
      <w:pPr>
        <w:jc w:val="both"/>
        <w:ind w:left="1080" w:right="32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238"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82"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199" w:lineRule="exact"/>
        <w:rPr>
          <w:rFonts w:ascii="Arial" w:cs="Arial" w:eastAsia="Arial" w:hAnsi="Arial"/>
          <w:sz w:val="18"/>
          <w:szCs w:val="18"/>
          <w:color w:val="auto"/>
        </w:rPr>
      </w:pPr>
    </w:p>
    <w:p>
      <w:pPr>
        <w:ind w:left="1080" w:right="280" w:hanging="532"/>
        <w:spacing w:after="0" w:line="369"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144" w:lineRule="exact"/>
        <w:rPr>
          <w:rFonts w:ascii="Arial" w:cs="Arial" w:eastAsia="Arial" w:hAnsi="Arial"/>
          <w:sz w:val="15"/>
          <w:szCs w:val="15"/>
          <w:color w:val="auto"/>
        </w:rPr>
      </w:pPr>
    </w:p>
    <w:p>
      <w:pPr>
        <w:ind w:left="1080" w:right="6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33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67" w:lineRule="exact"/>
        <w:rPr>
          <w:rFonts w:ascii="Arial" w:cs="Arial" w:eastAsia="Arial" w:hAnsi="Arial"/>
          <w:sz w:val="16"/>
          <w:szCs w:val="16"/>
          <w:color w:val="auto"/>
        </w:rPr>
      </w:pPr>
    </w:p>
    <w:p>
      <w:pPr>
        <w:ind w:left="1080" w:right="360" w:hanging="532"/>
        <w:spacing w:after="0" w:line="331"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154" w:lineRule="exact"/>
        <w:rPr>
          <w:rFonts w:ascii="Arial" w:cs="Arial" w:eastAsia="Arial" w:hAnsi="Arial"/>
          <w:sz w:val="16"/>
          <w:szCs w:val="16"/>
          <w:color w:val="auto"/>
        </w:rPr>
      </w:pPr>
    </w:p>
    <w:p>
      <w:pPr>
        <w:ind w:left="1080" w:right="120" w:hanging="532"/>
        <w:spacing w:after="0" w:line="317" w:lineRule="auto"/>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170" w:lineRule="exact"/>
        <w:rPr>
          <w:rFonts w:ascii="Arial" w:cs="Arial" w:eastAsia="Arial" w:hAnsi="Arial"/>
          <w:sz w:val="15"/>
          <w:szCs w:val="15"/>
          <w:color w:val="auto"/>
        </w:rPr>
      </w:pPr>
    </w:p>
    <w:p>
      <w:pPr>
        <w:ind w:left="1080" w:right="4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252"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22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238" w:lineRule="exact"/>
        <w:rPr>
          <w:rFonts w:ascii="Arial" w:cs="Arial" w:eastAsia="Arial" w:hAnsi="Arial"/>
          <w:sz w:val="18"/>
          <w:szCs w:val="18"/>
          <w:color w:val="auto"/>
        </w:rPr>
      </w:pPr>
    </w:p>
    <w:p>
      <w:pPr>
        <w:jc w:val="center"/>
        <w:ind w:left="5580" w:right="1500" w:hanging="5032"/>
        <w:spacing w:after="0" w:line="518" w:lineRule="auto"/>
        <w:tabs>
          <w:tab w:leader="none" w:pos="10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66"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60"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6"/>
              </w:rPr>
              <w:t>SEC Filing (Our SEC File Number is 1-12154)</w:t>
            </w:r>
          </w:p>
        </w:tc>
        <w:tc>
          <w:tcPr>
            <w:tcW w:w="7160" w:type="dxa"/>
            <w:vAlign w:val="bottom"/>
            <w:gridSpan w:val="3"/>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Date Filed</w:t>
            </w:r>
          </w:p>
        </w:tc>
      </w:tr>
      <w:tr>
        <w:trPr>
          <w:trHeight w:val="209"/>
        </w:trPr>
        <w:tc>
          <w:tcPr>
            <w:tcW w:w="9840" w:type="dxa"/>
            <w:vAlign w:val="bottom"/>
            <w:gridSpan w:val="5"/>
            <w:shd w:val="clear" w:color="auto" w:fill="CCEEFF"/>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Annual Report on Form 10-K for the year ended December 31, 2018</w:t>
              </w:r>
            </w:hyperlink>
          </w:p>
        </w:tc>
        <w:tc>
          <w:tcPr>
            <w:tcW w:w="1400" w:type="dxa"/>
            <w:vAlign w:val="bottom"/>
            <w:shd w:val="clear" w:color="auto" w:fill="CCEEFF"/>
          </w:tcPr>
          <w:p>
            <w:pPr>
              <w:jc w:val="center"/>
              <w:spacing w:after="0"/>
              <w:rPr>
                <w:rFonts w:ascii="Arial" w:cs="Arial" w:eastAsia="Arial" w:hAnsi="Arial"/>
                <w:sz w:val="18"/>
                <w:szCs w:val="18"/>
                <w:u w:val="single" w:color="auto"/>
                <w:color w:val="0000EE"/>
                <w:w w:val="88"/>
              </w:rPr>
            </w:pPr>
            <w:hyperlink r:id="rId82">
              <w:r>
                <w:rPr>
                  <w:rFonts w:ascii="Arial" w:cs="Arial" w:eastAsia="Arial" w:hAnsi="Arial"/>
                  <w:sz w:val="18"/>
                  <w:szCs w:val="18"/>
                  <w:u w:val="single" w:color="auto"/>
                  <w:color w:val="0000EE"/>
                  <w:w w:val="88"/>
                </w:rPr>
                <w:t>February 14, 2019</w:t>
              </w:r>
            </w:hyperlink>
          </w:p>
        </w:tc>
      </w:tr>
      <w:tr>
        <w:trPr>
          <w:trHeight w:val="216"/>
        </w:trPr>
        <w:tc>
          <w:tcPr>
            <w:tcW w:w="9840" w:type="dxa"/>
            <w:vAlign w:val="bottom"/>
            <w:gridSpan w:val="5"/>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Quarterly Report on Form 10-Q for the quarter ended March 31, 2019</w:t>
              </w:r>
            </w:hyperlink>
          </w:p>
        </w:tc>
        <w:tc>
          <w:tcPr>
            <w:tcW w:w="1400" w:type="dxa"/>
            <w:vAlign w:val="bottom"/>
          </w:tcPr>
          <w:p>
            <w:pPr>
              <w:jc w:val="center"/>
              <w:spacing w:after="0"/>
              <w:rPr>
                <w:rFonts w:ascii="Arial" w:cs="Arial" w:eastAsia="Arial" w:hAnsi="Arial"/>
                <w:sz w:val="18"/>
                <w:szCs w:val="18"/>
                <w:u w:val="single" w:color="auto"/>
                <w:color w:val="0000EE"/>
                <w:w w:val="91"/>
              </w:rPr>
            </w:pPr>
            <w:hyperlink r:id="rId83">
              <w:r>
                <w:rPr>
                  <w:rFonts w:ascii="Arial" w:cs="Arial" w:eastAsia="Arial" w:hAnsi="Arial"/>
                  <w:sz w:val="18"/>
                  <w:szCs w:val="18"/>
                  <w:u w:val="single" w:color="auto"/>
                  <w:color w:val="0000EE"/>
                  <w:w w:val="91"/>
                </w:rPr>
                <w:t>April 25, 2019</w:t>
              </w:r>
            </w:hyperlink>
          </w:p>
        </w:tc>
      </w:tr>
      <w:tr>
        <w:trPr>
          <w:trHeight w:val="216"/>
        </w:trPr>
        <w:tc>
          <w:tcPr>
            <w:tcW w:w="9840" w:type="dxa"/>
            <w:vAlign w:val="bottom"/>
            <w:gridSpan w:val="5"/>
            <w:shd w:val="clear" w:color="auto" w:fill="CCEEFF"/>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Current Report on Form 8-K</w:t>
              </w:r>
            </w:hyperlink>
          </w:p>
        </w:tc>
        <w:tc>
          <w:tcPr>
            <w:tcW w:w="1400" w:type="dxa"/>
            <w:vAlign w:val="bottom"/>
            <w:shd w:val="clear" w:color="auto" w:fill="CCEEFF"/>
          </w:tcPr>
          <w:p>
            <w:pPr>
              <w:jc w:val="center"/>
              <w:spacing w:after="0"/>
              <w:rPr>
                <w:rFonts w:ascii="Arial" w:cs="Arial" w:eastAsia="Arial" w:hAnsi="Arial"/>
                <w:sz w:val="18"/>
                <w:szCs w:val="18"/>
                <w:u w:val="single" w:color="auto"/>
                <w:color w:val="0000EE"/>
                <w:w w:val="88"/>
              </w:rPr>
            </w:pPr>
            <w:hyperlink r:id="rId84">
              <w:r>
                <w:rPr>
                  <w:rFonts w:ascii="Arial" w:cs="Arial" w:eastAsia="Arial" w:hAnsi="Arial"/>
                  <w:sz w:val="18"/>
                  <w:szCs w:val="18"/>
                  <w:u w:val="single" w:color="auto"/>
                  <w:color w:val="0000EE"/>
                  <w:w w:val="88"/>
                </w:rPr>
                <w:t>February 25, 2019</w:t>
              </w:r>
            </w:hyperlink>
          </w:p>
        </w:tc>
      </w:tr>
      <w:tr>
        <w:trPr>
          <w:trHeight w:val="216"/>
        </w:trPr>
        <w:tc>
          <w:tcPr>
            <w:tcW w:w="9840" w:type="dxa"/>
            <w:vAlign w:val="bottom"/>
            <w:gridSpan w:val="5"/>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Current Report on Form 8-K</w:t>
              </w:r>
            </w:hyperlink>
          </w:p>
        </w:tc>
        <w:tc>
          <w:tcPr>
            <w:tcW w:w="1400" w:type="dxa"/>
            <w:vAlign w:val="bottom"/>
          </w:tcPr>
          <w:p>
            <w:pPr>
              <w:jc w:val="center"/>
              <w:spacing w:after="0"/>
              <w:rPr>
                <w:rFonts w:ascii="Arial" w:cs="Arial" w:eastAsia="Arial" w:hAnsi="Arial"/>
                <w:sz w:val="18"/>
                <w:szCs w:val="18"/>
                <w:u w:val="single" w:color="auto"/>
                <w:color w:val="0000EE"/>
                <w:w w:val="91"/>
              </w:rPr>
            </w:pPr>
            <w:hyperlink r:id="rId85">
              <w:r>
                <w:rPr>
                  <w:rFonts w:ascii="Arial" w:cs="Arial" w:eastAsia="Arial" w:hAnsi="Arial"/>
                  <w:sz w:val="18"/>
                  <w:szCs w:val="18"/>
                  <w:u w:val="single" w:color="auto"/>
                  <w:color w:val="0000EE"/>
                  <w:w w:val="91"/>
                </w:rPr>
                <w:t>April 15, 2019</w:t>
              </w:r>
            </w:hyperlink>
          </w:p>
        </w:tc>
      </w:tr>
      <w:tr>
        <w:trPr>
          <w:trHeight w:val="175"/>
        </w:trPr>
        <w:tc>
          <w:tcPr>
            <w:tcW w:w="9840" w:type="dxa"/>
            <w:vAlign w:val="bottom"/>
            <w:gridSpan w:val="5"/>
            <w:shd w:val="clear" w:color="auto" w:fill="CCEEFF"/>
          </w:tcPr>
          <w:p>
            <w:pPr>
              <w:spacing w:after="0" w:line="17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The portions of our proxy statement for our 2019 annual meeting of stockholders incorporated by reference in our Annual Report on</w:t>
              </w:r>
            </w:hyperlink>
          </w:p>
        </w:tc>
        <w:tc>
          <w:tcPr>
            <w:tcW w:w="1400" w:type="dxa"/>
            <w:vAlign w:val="bottom"/>
            <w:shd w:val="clear" w:color="auto" w:fill="CCEEFF"/>
          </w:tcPr>
          <w:p>
            <w:pPr>
              <w:spacing w:after="0"/>
              <w:rPr>
                <w:sz w:val="15"/>
                <w:szCs w:val="15"/>
                <w:color w:val="auto"/>
              </w:rPr>
            </w:pPr>
          </w:p>
        </w:tc>
      </w:tr>
      <w:tr>
        <w:trPr>
          <w:trHeight w:val="217"/>
        </w:trPr>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354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w w:val="88"/>
              </w:rPr>
            </w:pPr>
            <w:hyperlink r:id="rId86">
              <w:r>
                <w:rPr>
                  <w:rFonts w:ascii="Arial" w:cs="Arial" w:eastAsia="Arial" w:hAnsi="Arial"/>
                  <w:sz w:val="18"/>
                  <w:szCs w:val="18"/>
                  <w:color w:val="0000EE"/>
                  <w:w w:val="88"/>
                </w:rPr>
                <w:t>Form 10-K for the year ended December 31, 2018</w:t>
              </w:r>
            </w:hyperlink>
          </w:p>
        </w:tc>
        <w:tc>
          <w:tcPr>
            <w:tcW w:w="5580" w:type="dxa"/>
            <w:vAlign w:val="bottom"/>
            <w:tcBorders>
              <w:top w:val="single" w:sz="8" w:color="0000EE"/>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jc w:val="center"/>
              <w:spacing w:after="0" w:line="196" w:lineRule="exact"/>
              <w:rPr>
                <w:rFonts w:ascii="Arial" w:cs="Arial" w:eastAsia="Arial" w:hAnsi="Arial"/>
                <w:sz w:val="18"/>
                <w:szCs w:val="18"/>
                <w:u w:val="single" w:color="auto"/>
                <w:color w:val="0000EE"/>
                <w:w w:val="89"/>
              </w:rPr>
            </w:pPr>
            <w:hyperlink r:id="rId86">
              <w:r>
                <w:rPr>
                  <w:rFonts w:ascii="Arial" w:cs="Arial" w:eastAsia="Arial" w:hAnsi="Arial"/>
                  <w:sz w:val="18"/>
                  <w:szCs w:val="18"/>
                  <w:u w:val="single" w:color="auto"/>
                  <w:color w:val="0000EE"/>
                  <w:w w:val="89"/>
                </w:rPr>
                <w:t>March 27, 2019</w:t>
              </w:r>
            </w:hyperlink>
          </w:p>
        </w:tc>
      </w:tr>
      <w:tr>
        <w:trPr>
          <w:trHeight w:val="222"/>
        </w:trPr>
        <w:tc>
          <w:tcPr>
            <w:tcW w:w="9840" w:type="dxa"/>
            <w:vAlign w:val="bottom"/>
            <w:gridSpan w:val="5"/>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Description of our Common Stock on Form 8-B, as we may update that description from time to time</w:t>
              </w:r>
            </w:hyperlink>
          </w:p>
        </w:tc>
        <w:tc>
          <w:tcPr>
            <w:tcW w:w="1400" w:type="dxa"/>
            <w:vAlign w:val="bottom"/>
          </w:tcPr>
          <w:p>
            <w:pPr>
              <w:jc w:val="center"/>
              <w:spacing w:after="0"/>
              <w:rPr>
                <w:rFonts w:ascii="Arial" w:cs="Arial" w:eastAsia="Arial" w:hAnsi="Arial"/>
                <w:sz w:val="18"/>
                <w:szCs w:val="18"/>
                <w:u w:val="single" w:color="auto"/>
                <w:color w:val="0000EE"/>
                <w:w w:val="89"/>
              </w:rPr>
            </w:pPr>
            <w:hyperlink r:id="rId87">
              <w:r>
                <w:rPr>
                  <w:rFonts w:ascii="Arial" w:cs="Arial" w:eastAsia="Arial" w:hAnsi="Arial"/>
                  <w:sz w:val="18"/>
                  <w:szCs w:val="18"/>
                  <w:u w:val="single" w:color="auto"/>
                  <w:color w:val="0000EE"/>
                  <w:w w:val="89"/>
                </w:rPr>
                <w:t>July 13, 1995</w:t>
              </w:r>
            </w:hyperlink>
          </w:p>
        </w:tc>
      </w:tr>
    </w:tbl>
    <w:p>
      <w:pPr>
        <w:spacing w:after="0" w:line="20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69" w:lineRule="exact"/>
        <w:rPr>
          <w:sz w:val="20"/>
          <w:szCs w:val="20"/>
          <w:color w:val="auto"/>
        </w:rPr>
      </w:pPr>
    </w:p>
    <w:p>
      <w:pPr>
        <w:ind w:right="60" w:firstLine="344"/>
        <w:spacing w:after="0" w:line="268" w:lineRule="auto"/>
        <w:rPr>
          <w:sz w:val="20"/>
          <w:szCs w:val="20"/>
          <w:color w:val="auto"/>
        </w:rPr>
      </w:pPr>
      <w:r>
        <w:rPr>
          <w:rFonts w:ascii="Arial" w:cs="Arial" w:eastAsia="Arial" w:hAnsi="Arial"/>
          <w:sz w:val="18"/>
          <w:szCs w:val="18"/>
          <w:color w:val="auto"/>
        </w:rPr>
        <w:t>You may obtain copies of any of these filings through Waste Management, the SEC or the SEC's internet site as described below. Documents incorporated by reference are available without charge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 xml:space="preserve">requesting them in writing or by telephone using the contact information below and may be accessed through the Investor Relations section of </w:t>
      </w:r>
      <w:r>
        <w:rPr>
          <w:rFonts w:ascii="Arial" w:cs="Arial" w:eastAsia="Arial" w:hAnsi="Arial"/>
          <w:sz w:val="15"/>
          <w:szCs w:val="15"/>
          <w:i w:val="1"/>
          <w:iCs w:val="1"/>
          <w:color w:val="auto"/>
        </w:rPr>
        <w:t>www.wm.com.</w:t>
      </w: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713-512-6200</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that contains information we have filed electronically with the SEC, which you can access over the internet at </w:t>
      </w:r>
      <w:r>
        <w:rPr>
          <w:rFonts w:ascii="Arial" w:cs="Arial" w:eastAsia="Arial" w:hAnsi="Arial"/>
          <w:sz w:val="18"/>
          <w:szCs w:val="18"/>
          <w:i w:val="1"/>
          <w:iCs w:val="1"/>
          <w:color w:val="auto"/>
        </w:rPr>
        <w:t>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internet site discussed above.</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69"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 xml:space="preserve">Our principal executive offices are located at 1001 Fannin Street, Houston, Texas 77002 and our telephone number is (713) 512-6200. Our internet address is </w:t>
      </w:r>
      <w:r>
        <w:rPr>
          <w:rFonts w:ascii="Arial" w:cs="Arial" w:eastAsia="Arial" w:hAnsi="Arial"/>
          <w:sz w:val="18"/>
          <w:szCs w:val="18"/>
          <w:i w:val="1"/>
          <w:iCs w:val="1"/>
          <w:color w:val="auto"/>
        </w:rPr>
        <w:t>www.wm.com.</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DEBT SECURITIES</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69"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debt or securities that we may issue. We may issue debt securities under the indentures from time to time in one or more series, each in an amount authorized prior to issuance.</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275"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213" w:lineRule="exact"/>
        <w:rPr>
          <w:sz w:val="20"/>
          <w:szCs w:val="20"/>
          <w:color w:val="auto"/>
        </w:rPr>
      </w:pPr>
    </w:p>
    <w:p>
      <w:pPr>
        <w:ind w:left="1080" w:right="6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207"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86" w:lineRule="exact"/>
        <w:rPr>
          <w:sz w:val="20"/>
          <w:szCs w:val="20"/>
          <w:color w:val="auto"/>
        </w:rPr>
      </w:pPr>
    </w:p>
    <w:p>
      <w:pPr>
        <w:ind w:right="20" w:firstLine="351"/>
        <w:spacing w:after="0" w:line="331"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4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w:t>
      </w:r>
      <w:r>
        <w:rPr>
          <w:rFonts w:ascii="Arial" w:cs="Arial" w:eastAsia="Arial" w:hAnsi="Arial"/>
          <w:sz w:val="18"/>
          <w:szCs w:val="18"/>
          <w:i w:val="1"/>
          <w:iCs w:val="1"/>
          <w:color w:val="auto"/>
        </w:rPr>
        <w:t xml:space="preserve"> </w:t>
      </w:r>
      <w:r>
        <w:rPr>
          <w:rFonts w:ascii="Arial" w:cs="Arial" w:eastAsia="Arial" w:hAnsi="Arial"/>
          <w:sz w:val="18"/>
          <w:szCs w:val="18"/>
          <w:color w:val="auto"/>
        </w:rPr>
        <w:t>of debt securities:</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238" w:lineRule="exact"/>
        <w:rPr>
          <w:rFonts w:ascii="Arial" w:cs="Arial" w:eastAsia="Arial" w:hAnsi="Arial"/>
          <w:sz w:val="18"/>
          <w:szCs w:val="18"/>
          <w:color w:val="auto"/>
        </w:rPr>
      </w:pPr>
    </w:p>
    <w:p>
      <w:pPr>
        <w:ind w:left="1080" w:right="160" w:hanging="532"/>
        <w:spacing w:after="0" w:line="25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amount of the outstanding debt securities issued under that indenture that are affected by that failure;</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22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86"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i w:val="1"/>
          <w:iCs w:val="1"/>
          <w:color w:val="auto"/>
        </w:rPr>
        <w:t xml:space="preserve">Modification and Waiver. </w:t>
      </w:r>
      <w:r>
        <w:rPr>
          <w:rFonts w:ascii="Arial" w:cs="Arial" w:eastAsia="Arial" w:hAnsi="Arial"/>
          <w:sz w:val="15"/>
          <w:szCs w:val="15"/>
          <w:color w:val="auto"/>
        </w:rPr>
        <w:t>Each indenture may be amended or supplemented if the majority in principal amount of the outstanding debt securities of all</w:t>
      </w:r>
      <w:r>
        <w:rPr>
          <w:rFonts w:ascii="Arial" w:cs="Arial" w:eastAsia="Arial" w:hAnsi="Arial"/>
          <w:sz w:val="15"/>
          <w:szCs w:val="15"/>
          <w:i w:val="1"/>
          <w:iCs w:val="1"/>
          <w:color w:val="auto"/>
        </w:rPr>
        <w:t xml:space="preserve"> </w:t>
      </w:r>
      <w:r>
        <w:rPr>
          <w:rFonts w:ascii="Arial" w:cs="Arial" w:eastAsia="Arial" w:hAnsi="Arial"/>
          <w:sz w:val="15"/>
          <w:szCs w:val="15"/>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165"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38"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221"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Defeasance. </w:t>
      </w:r>
      <w:r>
        <w:rPr>
          <w:rFonts w:ascii="Arial" w:cs="Arial" w:eastAsia="Arial" w:hAnsi="Arial"/>
          <w:sz w:val="16"/>
          <w:szCs w:val="16"/>
          <w:color w:val="auto"/>
        </w:rPr>
        <w:t>When we use the term defeasance, we mean discharge from some or all of our obligations under the indentures. If any combination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174" w:lineRule="exact"/>
        <w:rPr>
          <w:sz w:val="20"/>
          <w:szCs w:val="20"/>
          <w:color w:val="auto"/>
        </w:rPr>
      </w:pPr>
    </w:p>
    <w:p>
      <w:pPr>
        <w:ind w:left="1080" w:right="4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212" w:lineRule="exact"/>
        <w:rPr>
          <w:rFonts w:ascii="Arial" w:cs="Arial" w:eastAsia="Arial" w:hAnsi="Arial"/>
          <w:sz w:val="18"/>
          <w:szCs w:val="18"/>
          <w:color w:val="auto"/>
        </w:rPr>
      </w:pPr>
    </w:p>
    <w:p>
      <w:pPr>
        <w:ind w:left="1080" w:right="480" w:hanging="532"/>
        <w:spacing w:after="0" w:line="33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4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20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60"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6"/>
          <w:szCs w:val="16"/>
          <w:color w:val="auto"/>
        </w:rPr>
        <w:t>New York law will govern the indentures and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6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Form, Exchange, Registration and Transfer. </w:t>
      </w:r>
      <w:r>
        <w:rPr>
          <w:rFonts w:ascii="Arial" w:cs="Arial" w:eastAsia="Arial" w:hAnsi="Arial"/>
          <w:sz w:val="16"/>
          <w:szCs w:val="16"/>
          <w:color w:val="auto"/>
        </w:rPr>
        <w:t>The debt securities may be issued in registered form, without interest coupons, or in bearer form, with</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0"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239" w:lineRule="exact"/>
        <w:rPr>
          <w:sz w:val="20"/>
          <w:szCs w:val="20"/>
          <w:color w:val="auto"/>
        </w:rPr>
      </w:pPr>
    </w:p>
    <w:p>
      <w:pPr>
        <w:ind w:left="1080" w:right="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86"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i w:val="1"/>
          <w:iCs w:val="1"/>
          <w:color w:val="auto"/>
        </w:rPr>
        <w:t xml:space="preserve">Payment and Paying Agents. </w:t>
      </w:r>
      <w:r>
        <w:rPr>
          <w:rFonts w:ascii="Arial" w:cs="Arial" w:eastAsia="Arial" w:hAnsi="Arial"/>
          <w:sz w:val="15"/>
          <w:szCs w:val="15"/>
          <w:color w:val="auto"/>
        </w:rPr>
        <w:t>Unless we inform you otherwise in a prospectus supplement, payments on the debt securities will be made in U.S. dollars</w:t>
      </w:r>
      <w:r>
        <w:rPr>
          <w:rFonts w:ascii="Arial" w:cs="Arial" w:eastAsia="Arial" w:hAnsi="Arial"/>
          <w:sz w:val="15"/>
          <w:szCs w:val="15"/>
          <w:i w:val="1"/>
          <w:iCs w:val="1"/>
          <w:color w:val="auto"/>
        </w:rPr>
        <w:t xml:space="preserve"> </w:t>
      </w:r>
      <w:r>
        <w:rPr>
          <w:rFonts w:ascii="Arial" w:cs="Arial" w:eastAsia="Arial" w:hAnsi="Arial"/>
          <w:sz w:val="15"/>
          <w:szCs w:val="15"/>
          <w:color w:val="auto"/>
        </w:rPr>
        <w:t>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5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indenture. We may at any time designate additional paying agents or rescind the designation of any paying agent or approve a change in the office through which any paying agent acts.</w:t>
      </w:r>
    </w:p>
    <w:p>
      <w:pPr>
        <w:spacing w:after="0" w:line="186"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6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 global debt securities that would be deposited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Ranking and Guarantee. </w:t>
      </w:r>
      <w:r>
        <w:rPr>
          <w:rFonts w:ascii="Arial" w:cs="Arial" w:eastAsia="Arial" w:hAnsi="Arial"/>
          <w:sz w:val="16"/>
          <w:szCs w:val="16"/>
          <w:color w:val="auto"/>
        </w:rPr>
        <w:t>The senior debt securities will constitute senior debt of Waste Management and will rank equally with all of the other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194" w:lineRule="exact"/>
        <w:rPr>
          <w:sz w:val="20"/>
          <w:szCs w:val="20"/>
          <w:color w:val="auto"/>
        </w:rPr>
      </w:pPr>
    </w:p>
    <w:p>
      <w:pPr>
        <w:ind w:left="1220" w:hanging="321"/>
        <w:spacing w:after="0"/>
        <w:tabs>
          <w:tab w:leader="none" w:pos="1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liens on the property or assets existing at the time of acquisition which secure obligations assumed by us or our Restricted Subsidiaries;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20" w:firstLine="359"/>
        <w:spacing w:after="0" w:line="268" w:lineRule="auto"/>
        <w:tabs>
          <w:tab w:leader="none" w:pos="1217"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185" w:lineRule="exact"/>
        <w:rPr>
          <w:rFonts w:ascii="Arial" w:cs="Arial" w:eastAsia="Arial" w:hAnsi="Arial"/>
          <w:sz w:val="18"/>
          <w:szCs w:val="18"/>
          <w:color w:val="auto"/>
        </w:rPr>
      </w:pPr>
    </w:p>
    <w:p>
      <w:pPr>
        <w:ind w:left="540" w:right="180" w:firstLine="359"/>
        <w:spacing w:after="0" w:line="268" w:lineRule="auto"/>
        <w:tabs>
          <w:tab w:leader="none" w:pos="12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w:t>
      </w:r>
      <w:r>
        <w:rPr>
          <w:rFonts w:ascii="Arial" w:cs="Arial" w:eastAsia="Arial" w:hAnsi="Arial"/>
          <w:sz w:val="18"/>
          <w:szCs w:val="18"/>
          <w:color w:val="auto"/>
        </w:rPr>
        <w:t xml:space="preserve"> </w:t>
      </w:r>
      <w:r>
        <w:rPr>
          <w:rFonts w:ascii="Arial" w:cs="Arial" w:eastAsia="Arial" w:hAnsi="Arial"/>
          <w:sz w:val="18"/>
          <w:szCs w:val="18"/>
          <w:i w:val="1"/>
          <w:iCs w:val="1"/>
          <w:color w:val="auto"/>
        </w:rPr>
        <w:t>Indenture—Consolidation, Merger and Sale of Assets</w:t>
      </w:r>
      <w:r>
        <w:rPr>
          <w:rFonts w:ascii="Arial" w:cs="Arial" w:eastAsia="Arial" w:hAnsi="Arial"/>
          <w:sz w:val="18"/>
          <w:szCs w:val="18"/>
          <w:color w:val="auto"/>
        </w:rPr>
        <w:t>," above;</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252" w:lineRule="exact"/>
        <w:rPr>
          <w:rFonts w:ascii="Arial" w:cs="Arial" w:eastAsia="Arial" w:hAnsi="Arial"/>
          <w:sz w:val="18"/>
          <w:szCs w:val="18"/>
          <w:color w:val="auto"/>
        </w:rPr>
      </w:pPr>
    </w:p>
    <w:p>
      <w:pPr>
        <w:ind w:left="1620" w:right="60" w:hanging="532"/>
        <w:spacing w:after="0" w:line="306" w:lineRule="auto"/>
        <w:tabs>
          <w:tab w:leader="none" w:pos="1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 stayed;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liens in favor of any governmental authority in connection with the financing of the cost of construction or acquisition of property;</w:t>
      </w:r>
    </w:p>
    <w:p>
      <w:pPr>
        <w:spacing w:after="0" w:line="248" w:lineRule="exact"/>
        <w:rPr>
          <w:rFonts w:ascii="Arial" w:cs="Arial" w:eastAsia="Arial" w:hAnsi="Arial"/>
          <w:sz w:val="16"/>
          <w:szCs w:val="16"/>
          <w:color w:val="auto"/>
        </w:rPr>
      </w:pPr>
    </w:p>
    <w:p>
      <w:pPr>
        <w:ind w:left="540" w:firstLine="359"/>
        <w:spacing w:after="0" w:line="268" w:lineRule="auto"/>
        <w:tabs>
          <w:tab w:leader="none" w:pos="12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225" w:lineRule="exact"/>
        <w:rPr>
          <w:rFonts w:ascii="Arial" w:cs="Arial" w:eastAsia="Arial" w:hAnsi="Arial"/>
          <w:sz w:val="18"/>
          <w:szCs w:val="18"/>
          <w:color w:val="auto"/>
        </w:rPr>
      </w:pPr>
    </w:p>
    <w:p>
      <w:pPr>
        <w:ind w:left="540" w:right="120" w:firstLine="359"/>
        <w:spacing w:after="0" w:line="268" w:lineRule="auto"/>
        <w:tabs>
          <w:tab w:leader="none" w:pos="12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86"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186" w:lineRule="exact"/>
        <w:rPr>
          <w:sz w:val="20"/>
          <w:szCs w:val="20"/>
          <w:color w:val="auto"/>
        </w:rPr>
      </w:pPr>
    </w:p>
    <w:p>
      <w:pPr>
        <w:ind w:left="540" w:right="320" w:firstLine="359"/>
        <w:spacing w:after="0" w:line="259" w:lineRule="auto"/>
        <w:tabs>
          <w:tab w:leader="none" w:pos="12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193" w:lineRule="exact"/>
        <w:rPr>
          <w:rFonts w:ascii="Arial" w:cs="Arial" w:eastAsia="Arial" w:hAnsi="Arial"/>
          <w:sz w:val="18"/>
          <w:szCs w:val="18"/>
          <w:color w:val="auto"/>
        </w:rPr>
      </w:pPr>
    </w:p>
    <w:p>
      <w:pPr>
        <w:jc w:val="both"/>
        <w:ind w:left="540" w:right="60" w:firstLine="359"/>
        <w:spacing w:after="0" w:line="256" w:lineRule="auto"/>
        <w:tabs>
          <w:tab w:leader="none" w:pos="122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debt securities listed under the senior indenture or debt incurred by a Restricted Subsidiary; or</w:t>
      </w:r>
    </w:p>
    <w:p>
      <w:pPr>
        <w:spacing w:after="0" w:line="196" w:lineRule="exact"/>
        <w:rPr>
          <w:rFonts w:ascii="Arial" w:cs="Arial" w:eastAsia="Arial" w:hAnsi="Arial"/>
          <w:sz w:val="18"/>
          <w:szCs w:val="18"/>
          <w:color w:val="auto"/>
        </w:rPr>
      </w:pPr>
    </w:p>
    <w:p>
      <w:pPr>
        <w:ind w:left="540" w:right="240" w:firstLine="359"/>
        <w:spacing w:after="0" w:line="369" w:lineRule="auto"/>
        <w:tabs>
          <w:tab w:leader="none" w:pos="1217" w:val="left"/>
        </w:tabs>
        <w:numPr>
          <w:ilvl w:val="0"/>
          <w:numId w:val="47"/>
        </w:numPr>
        <w:rPr>
          <w:rFonts w:ascii="Arial" w:cs="Arial" w:eastAsia="Arial" w:hAnsi="Arial"/>
          <w:sz w:val="15"/>
          <w:szCs w:val="15"/>
          <w:color w:val="auto"/>
        </w:rPr>
      </w:pPr>
      <w:r>
        <w:rPr>
          <w:rFonts w:ascii="Arial" w:cs="Arial" w:eastAsia="Arial" w:hAnsi="Arial"/>
          <w:sz w:val="15"/>
          <w:szCs w:val="15"/>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18" w:lineRule="exact"/>
        <w:rPr>
          <w:sz w:val="20"/>
          <w:szCs w:val="20"/>
          <w:color w:val="auto"/>
        </w:rPr>
      </w:pPr>
    </w:p>
    <w:p>
      <w:pPr>
        <w:jc w:val="both"/>
        <w:ind w:left="540" w:right="160"/>
        <w:spacing w:after="0" w:line="306"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Glossary</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i w:val="1"/>
          <w:iCs w:val="1"/>
          <w:color w:val="auto"/>
        </w:rPr>
        <w:t xml:space="preserve">"Attributable Debt" </w:t>
      </w:r>
      <w:r>
        <w:rPr>
          <w:rFonts w:ascii="Arial" w:cs="Arial" w:eastAsia="Arial" w:hAnsi="Arial"/>
          <w:sz w:val="15"/>
          <w:szCs w:val="15"/>
          <w:color w:val="auto"/>
        </w:rPr>
        <w:t>means the present value of the rental payments during the remaining term of the lease included in the Sale/Leaseback Transaction. To</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239" w:lineRule="exact"/>
        <w:rPr>
          <w:sz w:val="20"/>
          <w:szCs w:val="20"/>
          <w:color w:val="auto"/>
        </w:rPr>
      </w:pPr>
    </w:p>
    <w:p>
      <w:pPr>
        <w:ind w:left="1080" w:right="6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225" w:lineRule="exact"/>
        <w:rPr>
          <w:sz w:val="20"/>
          <w:szCs w:val="20"/>
          <w:color w:val="auto"/>
        </w:rPr>
      </w:pPr>
    </w:p>
    <w:p>
      <w:pPr>
        <w:ind w:right="180" w:firstLine="351"/>
        <w:spacing w:after="0" w:line="331"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means (a) all obligations for borrowed money or on which interest charges are customarily paid, all as shown on the balance sheet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 party, (b) all items that would be included as liabilities on a balance sheet in accordance with generally accepted accounting practices as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of the date at which Indebtedness is to be determined, and (c) all indebtedness secured by a security interest in property owned or being purchased by the indebted party and all guarantees of Indebtedness.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 Canada</w:t>
      </w:r>
      <w:r>
        <w:rPr>
          <w:rFonts w:ascii="Arial" w:cs="Arial" w:eastAsia="Arial" w:hAnsi="Arial"/>
          <w:sz w:val="18"/>
          <w:szCs w:val="18"/>
          <w:i w:val="1"/>
          <w:iCs w:val="1"/>
          <w:color w:val="auto"/>
        </w:rPr>
        <w:t xml:space="preserve"> </w:t>
      </w:r>
      <w:r>
        <w:rPr>
          <w:rFonts w:ascii="Arial" w:cs="Arial" w:eastAsia="Arial" w:hAnsi="Arial"/>
          <w:sz w:val="18"/>
          <w:szCs w:val="18"/>
          <w:color w:val="auto"/>
        </w:rPr>
        <w:t>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38" w:lineRule="exact"/>
        <w:rPr>
          <w:sz w:val="20"/>
          <w:szCs w:val="20"/>
          <w:color w:val="auto"/>
        </w:rPr>
      </w:pPr>
    </w:p>
    <w:p>
      <w:pPr>
        <w:ind w:right="120" w:firstLine="8"/>
        <w:spacing w:after="0" w:line="255" w:lineRule="auto"/>
        <w:tabs>
          <w:tab w:leader="none" w:pos="2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 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Restricted Subsidiary has sold or transferred or will sell or transfer to that person. This term excludes the following:</w:t>
      </w:r>
    </w:p>
    <w:p>
      <w:pPr>
        <w:spacing w:after="0" w:line="19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outstanding from time to time.</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Subordination. </w:t>
      </w:r>
      <w:r>
        <w:rPr>
          <w:rFonts w:ascii="Arial" w:cs="Arial" w:eastAsia="Arial" w:hAnsi="Arial"/>
          <w:sz w:val="16"/>
          <w:szCs w:val="16"/>
          <w:color w:val="auto"/>
        </w:rPr>
        <w:t>Under the subordinated indenture, payment of the principal of and any premium and interest on the subordinated debt securities will</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69" w:lineRule="exact"/>
        <w:rPr>
          <w:sz w:val="20"/>
          <w:szCs w:val="20"/>
          <w:color w:val="auto"/>
        </w:rPr>
      </w:pPr>
    </w:p>
    <w:p>
      <w:pPr>
        <w:ind w:right="80" w:firstLine="348"/>
        <w:spacing w:after="0" w:line="331"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GUARANTEES</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60"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94" w:lineRule="exact"/>
        <w:rPr>
          <w:sz w:val="20"/>
          <w:szCs w:val="20"/>
          <w:color w:val="auto"/>
        </w:rPr>
      </w:pPr>
    </w:p>
    <w:p>
      <w:pPr>
        <w:ind w:right="220" w:firstLine="348"/>
        <w:spacing w:after="0" w:line="331" w:lineRule="auto"/>
        <w:rPr>
          <w:sz w:val="20"/>
          <w:szCs w:val="20"/>
          <w:color w:val="auto"/>
        </w:rPr>
      </w:pPr>
      <w:r>
        <w:rPr>
          <w:rFonts w:ascii="Arial" w:cs="Arial" w:eastAsia="Arial" w:hAnsi="Arial"/>
          <w:sz w:val="16"/>
          <w:szCs w:val="16"/>
          <w:color w:val="auto"/>
        </w:rPr>
        <w:t>We are authorized to issue 1,500,000,000 shares of common stock, of which 424,759,439 shares were outstanding at April 22, 2019 (excluding treasury shares of 205,523,022). We are also authorized to issue 10,000,000 shares of preferred stock, none of which were outstanding on that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Each share of common stock is entitled to one vote in the election of directors and in each other matter we may ask stockholders to vote</w:t>
      </w:r>
      <w:r>
        <w:rPr>
          <w:rFonts w:ascii="Arial" w:cs="Arial" w:eastAsia="Arial" w:hAnsi="Arial"/>
          <w:sz w:val="16"/>
          <w:szCs w:val="16"/>
          <w:i w:val="1"/>
          <w:iCs w:val="1"/>
          <w:color w:val="auto"/>
        </w:rPr>
        <w:t xml:space="preserve"> </w:t>
      </w:r>
      <w:r>
        <w:rPr>
          <w:rFonts w:ascii="Arial" w:cs="Arial" w:eastAsia="Arial" w:hAnsi="Arial"/>
          <w:sz w:val="16"/>
          <w:szCs w:val="16"/>
          <w:color w:val="auto"/>
        </w:rPr>
        <w:t>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8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i w:val="1"/>
          <w:iCs w:val="1"/>
          <w:color w:val="auto"/>
        </w:rPr>
        <w:t>Listing.</w:t>
      </w:r>
      <w:r>
        <w:rPr>
          <w:sz w:val="20"/>
          <w:szCs w:val="20"/>
          <w:color w:val="auto"/>
        </w:rPr>
        <w:tab/>
      </w:r>
      <w:r>
        <w:rPr>
          <w:rFonts w:ascii="Arial" w:cs="Arial" w:eastAsia="Arial" w:hAnsi="Arial"/>
          <w:sz w:val="16"/>
          <w:szCs w:val="16"/>
          <w:color w:val="auto"/>
        </w:rPr>
        <w:t>Our common stock is listed on the New York Stock Exchange under the trading symbol "WM."</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Computershare in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By-laws provide that, unless we consent to the selection of an alternative forum in writing, Delaware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or the Company's certificate of incorporation or By-laws or as to which the DGCL confers jurisdiction upon the Court of Chancery of the State of Delaware;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207" w:lineRule="exact"/>
        <w:rPr>
          <w:sz w:val="20"/>
          <w:szCs w:val="20"/>
          <w:color w:val="auto"/>
        </w:rPr>
      </w:pPr>
    </w:p>
    <w:p>
      <w:pPr>
        <w:ind w:left="1080" w:right="2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212" w:lineRule="exact"/>
        <w:rPr>
          <w:rFonts w:ascii="Arial" w:cs="Arial" w:eastAsia="Arial" w:hAnsi="Arial"/>
          <w:sz w:val="18"/>
          <w:szCs w:val="18"/>
          <w:color w:val="auto"/>
        </w:rPr>
      </w:pPr>
    </w:p>
    <w:p>
      <w:pPr>
        <w:ind w:left="1080" w:right="120" w:hanging="532"/>
        <w:spacing w:after="0" w:line="298"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79"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OTHER SECURITIES</w:t>
      </w:r>
    </w:p>
    <w:p>
      <w:pPr>
        <w:spacing w:after="0" w:line="231"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We will set forth in the applicable prospectus supplement a description of any warrants or units that may be offered pursuant to this prospectus.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78"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9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78"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31" w:lineRule="auto"/>
        <w:rPr>
          <w:sz w:val="20"/>
          <w:szCs w:val="20"/>
          <w:color w:val="auto"/>
        </w:rPr>
      </w:pPr>
      <w:r>
        <w:rPr>
          <w:rFonts w:ascii="Arial" w:cs="Arial" w:eastAsia="Arial" w:hAnsi="Arial"/>
          <w:sz w:val="16"/>
          <w:szCs w:val="16"/>
          <w:color w:val="auto"/>
        </w:rPr>
        <w:t>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4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6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86"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6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SECURITYHOLDERS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3" w:lineRule="auto"/>
        <w:rPr>
          <w:rFonts w:ascii="Arial" w:cs="Arial" w:eastAsia="Arial" w:hAnsi="Arial"/>
          <w:sz w:val="18"/>
          <w:szCs w:val="18"/>
          <w:color w:val="0000EE"/>
        </w:rPr>
      </w:pPr>
      <w:hyperlink r:id="rId82">
        <w:r>
          <w:rPr>
            <w:rFonts w:ascii="Arial" w:cs="Arial" w:eastAsia="Arial" w:hAnsi="Arial"/>
            <w:sz w:val="18"/>
            <w:szCs w:val="18"/>
            <w:color w:val="auto"/>
          </w:rPr>
          <w:t xml:space="preserve">The consolidated financial statements of Waste Management, Inc. appearing in Waste Management, Inc.'s </w:t>
        </w:r>
        <w:r>
          <w:rPr>
            <w:rFonts w:ascii="Arial" w:cs="Arial" w:eastAsia="Arial" w:hAnsi="Arial"/>
            <w:sz w:val="18"/>
            <w:szCs w:val="18"/>
            <w:u w:val="single" w:color="auto"/>
            <w:color w:val="0000EE"/>
          </w:rPr>
          <w:t>Annual Report (Form 10-K) for the year ended</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EE"/>
          </w:rPr>
          <w:t>December 31, 2018</w:t>
        </w:r>
        <w:r>
          <w:rPr>
            <w:rFonts w:ascii="Arial" w:cs="Arial" w:eastAsia="Arial" w:hAnsi="Arial"/>
            <w:sz w:val="18"/>
            <w:szCs w:val="18"/>
            <w:color w:val="000000"/>
          </w:rPr>
          <w:t xml:space="preserve">, and the effectiveness of Waste Management, Inc.'s internal control over financial reporting as of December 31, 2018, have been audited </w:t>
        </w:r>
      </w:hyperlink>
      <w:r>
        <w:rPr>
          <w:rFonts w:ascii="Arial" w:cs="Arial" w:eastAsia="Arial" w:hAnsi="Arial"/>
          <w:sz w:val="18"/>
          <w:szCs w:val="18"/>
          <w:color w:val="0000EE"/>
        </w:rPr>
        <w:t xml:space="preserve">by </w:t>
      </w:r>
      <w:r>
        <w:rPr>
          <w:rFonts w:ascii="Arial" w:cs="Arial" w:eastAsia="Arial" w:hAnsi="Arial"/>
          <w:sz w:val="18"/>
          <w:szCs w:val="18"/>
          <w:color w:val="000000"/>
        </w:rPr>
        <w:t>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4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160020</wp:posOffset>
            </wp:positionV>
            <wp:extent cx="2760345" cy="1028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276034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3900"/>
        <w:spacing w:after="0"/>
        <w:tabs>
          <w:tab w:leader="none" w:pos="4720" w:val="left"/>
        </w:tabs>
        <w:rPr>
          <w:sz w:val="20"/>
          <w:szCs w:val="20"/>
          <w:color w:val="auto"/>
        </w:rPr>
      </w:pPr>
      <w:r>
        <w:rPr>
          <w:rFonts w:ascii="Arial" w:cs="Arial" w:eastAsia="Arial" w:hAnsi="Arial"/>
          <w:sz w:val="24"/>
          <w:szCs w:val="24"/>
          <w:b w:val="1"/>
          <w:bCs w:val="1"/>
          <w:color w:val="auto"/>
        </w:rPr>
        <w:t>$</w:t>
      </w:r>
      <w:r>
        <w:rPr>
          <w:sz w:val="20"/>
          <w:szCs w:val="20"/>
          <w:color w:val="auto"/>
        </w:rPr>
        <w:tab/>
      </w:r>
      <w:r>
        <w:rPr>
          <w:rFonts w:ascii="Arial" w:cs="Arial" w:eastAsia="Arial" w:hAnsi="Arial"/>
          <w:sz w:val="24"/>
          <w:szCs w:val="24"/>
          <w:b w:val="1"/>
          <w:bCs w:val="1"/>
          <w:color w:val="auto"/>
        </w:rPr>
        <w:t>% Senior Notes due 2025</w:t>
      </w:r>
    </w:p>
    <w:p>
      <w:pPr>
        <w:spacing w:after="0" w:line="36" w:lineRule="exact"/>
        <w:rPr>
          <w:sz w:val="20"/>
          <w:szCs w:val="20"/>
          <w:color w:val="auto"/>
        </w:rPr>
      </w:pPr>
    </w:p>
    <w:p>
      <w:pPr>
        <w:jc w:val="both"/>
        <w:ind w:left="3900"/>
        <w:spacing w:after="0"/>
        <w:tabs>
          <w:tab w:leader="none" w:pos="4720" w:val="left"/>
        </w:tabs>
        <w:rPr>
          <w:sz w:val="20"/>
          <w:szCs w:val="20"/>
          <w:color w:val="auto"/>
        </w:rPr>
      </w:pPr>
      <w:r>
        <w:rPr>
          <w:rFonts w:ascii="Arial" w:cs="Arial" w:eastAsia="Arial" w:hAnsi="Arial"/>
          <w:sz w:val="24"/>
          <w:szCs w:val="24"/>
          <w:b w:val="1"/>
          <w:bCs w:val="1"/>
          <w:color w:val="auto"/>
        </w:rPr>
        <w:t>$</w:t>
      </w:r>
      <w:r>
        <w:rPr>
          <w:sz w:val="20"/>
          <w:szCs w:val="20"/>
          <w:color w:val="auto"/>
        </w:rPr>
        <w:tab/>
      </w:r>
      <w:r>
        <w:rPr>
          <w:rFonts w:ascii="Arial" w:cs="Arial" w:eastAsia="Arial" w:hAnsi="Arial"/>
          <w:sz w:val="24"/>
          <w:szCs w:val="24"/>
          <w:b w:val="1"/>
          <w:bCs w:val="1"/>
          <w:color w:val="auto"/>
        </w:rPr>
        <w:t>% Senior Notes due 2028</w:t>
      </w:r>
    </w:p>
    <w:p>
      <w:pPr>
        <w:spacing w:after="0" w:line="8" w:lineRule="exact"/>
        <w:rPr>
          <w:sz w:val="20"/>
          <w:szCs w:val="20"/>
          <w:color w:val="auto"/>
        </w:rPr>
      </w:pPr>
    </w:p>
    <w:p>
      <w:pPr>
        <w:jc w:val="both"/>
        <w:ind w:left="3900"/>
        <w:spacing w:after="0"/>
        <w:tabs>
          <w:tab w:leader="none" w:pos="4720" w:val="left"/>
        </w:tabs>
        <w:rPr>
          <w:sz w:val="20"/>
          <w:szCs w:val="20"/>
          <w:color w:val="auto"/>
        </w:rPr>
      </w:pPr>
      <w:r>
        <w:rPr>
          <w:rFonts w:ascii="Arial" w:cs="Arial" w:eastAsia="Arial" w:hAnsi="Arial"/>
          <w:sz w:val="24"/>
          <w:szCs w:val="24"/>
          <w:b w:val="1"/>
          <w:bCs w:val="1"/>
          <w:color w:val="auto"/>
        </w:rPr>
        <w:t>$</w:t>
      </w:r>
      <w:r>
        <w:rPr>
          <w:sz w:val="20"/>
          <w:szCs w:val="20"/>
          <w:color w:val="auto"/>
        </w:rPr>
        <w:tab/>
      </w:r>
      <w:r>
        <w:rPr>
          <w:rFonts w:ascii="Arial" w:cs="Arial" w:eastAsia="Arial" w:hAnsi="Arial"/>
          <w:sz w:val="24"/>
          <w:szCs w:val="24"/>
          <w:b w:val="1"/>
          <w:bCs w:val="1"/>
          <w:color w:val="auto"/>
        </w:rPr>
        <w:t>% Senior Notes due 2031</w:t>
      </w:r>
    </w:p>
    <w:p>
      <w:pPr>
        <w:spacing w:after="0" w:line="8" w:lineRule="exact"/>
        <w:rPr>
          <w:sz w:val="20"/>
          <w:szCs w:val="20"/>
          <w:color w:val="auto"/>
        </w:rPr>
      </w:pPr>
    </w:p>
    <w:p>
      <w:pPr>
        <w:jc w:val="both"/>
        <w:ind w:left="3900"/>
        <w:spacing w:after="0"/>
        <w:tabs>
          <w:tab w:leader="none" w:pos="4720" w:val="left"/>
        </w:tabs>
        <w:rPr>
          <w:sz w:val="20"/>
          <w:szCs w:val="20"/>
          <w:color w:val="auto"/>
        </w:rPr>
      </w:pPr>
      <w:r>
        <w:rPr>
          <w:rFonts w:ascii="Arial" w:cs="Arial" w:eastAsia="Arial" w:hAnsi="Arial"/>
          <w:sz w:val="24"/>
          <w:szCs w:val="24"/>
          <w:b w:val="1"/>
          <w:bCs w:val="1"/>
          <w:color w:val="auto"/>
        </w:rPr>
        <w:t>$</w:t>
      </w:r>
      <w:r>
        <w:rPr>
          <w:sz w:val="20"/>
          <w:szCs w:val="20"/>
          <w:color w:val="auto"/>
        </w:rPr>
        <w:tab/>
      </w:r>
      <w:r>
        <w:rPr>
          <w:rFonts w:ascii="Arial" w:cs="Arial" w:eastAsia="Arial" w:hAnsi="Arial"/>
          <w:sz w:val="24"/>
          <w:szCs w:val="24"/>
          <w:b w:val="1"/>
          <w:bCs w:val="1"/>
          <w:color w:val="auto"/>
        </w:rPr>
        <w:t>% Senior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142240</wp:posOffset>
            </wp:positionV>
            <wp:extent cx="18688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147955</wp:posOffset>
            </wp:positionV>
            <wp:extent cx="18688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Barclays</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Mizuho Securities</w:t>
      </w:r>
    </w:p>
    <w:p>
      <w:pPr>
        <w:spacing w:after="0" w:line="224"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BofA Securities</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(Active 2025 notes and 2031 notes)</w:t>
      </w:r>
    </w:p>
    <w:p>
      <w:pPr>
        <w:spacing w:after="0" w:line="192"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J.P. Morgan</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(Active 2031 notes and 2050 notes)</w:t>
      </w:r>
    </w:p>
    <w:p>
      <w:pPr>
        <w:spacing w:after="0" w:line="192"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Scotiabank</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(Active 2028 notes and 2031 notes)</w:t>
      </w:r>
    </w:p>
    <w:p>
      <w:pPr>
        <w:spacing w:after="0" w:line="192" w:lineRule="exact"/>
        <w:rPr>
          <w:sz w:val="20"/>
          <w:szCs w:val="20"/>
          <w:color w:val="auto"/>
        </w:rPr>
      </w:pPr>
    </w:p>
    <w:p>
      <w:pPr>
        <w:ind w:left="4820"/>
        <w:spacing w:after="0"/>
        <w:rPr>
          <w:sz w:val="20"/>
          <w:szCs w:val="20"/>
          <w:color w:val="auto"/>
        </w:rPr>
      </w:pPr>
      <w:r>
        <w:rPr>
          <w:rFonts w:ascii="Arial" w:cs="Arial" w:eastAsia="Arial" w:hAnsi="Arial"/>
          <w:sz w:val="24"/>
          <w:szCs w:val="24"/>
          <w:b w:val="1"/>
          <w:bCs w:val="1"/>
          <w:color w:val="auto"/>
        </w:rPr>
        <w:t>BNP PARIBAS</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(Active 2025 notes)</w:t>
      </w:r>
    </w:p>
    <w:p>
      <w:pPr>
        <w:spacing w:after="0" w:line="181"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Citigroup</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(Active 2028 notes)</w:t>
      </w:r>
    </w:p>
    <w:p>
      <w:pPr>
        <w:spacing w:after="0" w:line="181"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Deutsche Bank Securities</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(Active 2028 notes)</w:t>
      </w:r>
    </w:p>
    <w:p>
      <w:pPr>
        <w:spacing w:after="0" w:line="181"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MUFG</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(Active 2050 notes)</w:t>
      </w:r>
    </w:p>
    <w:p>
      <w:pPr>
        <w:spacing w:after="0" w:line="181"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SMBC Nikko</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(Active 2050 notes)</w:t>
      </w:r>
    </w:p>
    <w:p>
      <w:pPr>
        <w:spacing w:after="0" w:line="181"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US Bancorp</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(Active 2025 notes)</w:t>
      </w:r>
    </w:p>
    <w:p>
      <w:pPr>
        <w:spacing w:after="0" w:line="201" w:lineRule="exact"/>
        <w:rPr>
          <w:sz w:val="20"/>
          <w:szCs w:val="20"/>
          <w:color w:val="auto"/>
        </w:rPr>
      </w:pPr>
    </w:p>
    <w:p>
      <w:pPr>
        <w:ind w:left="4920"/>
        <w:spacing w:after="0"/>
        <w:tabs>
          <w:tab w:leader="none" w:pos="5860" w:val="left"/>
        </w:tabs>
        <w:rPr>
          <w:sz w:val="20"/>
          <w:szCs w:val="20"/>
          <w:color w:val="auto"/>
        </w:rPr>
      </w:pPr>
      <w:r>
        <w:rPr>
          <w:rFonts w:ascii="Arial" w:cs="Arial" w:eastAsia="Arial" w:hAnsi="Arial"/>
          <w:sz w:val="18"/>
          <w:szCs w:val="18"/>
          <w:color w:val="auto"/>
        </w:rPr>
        <w:t>November</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514985</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lowerLetter"/>
      <w:start w:val="1"/>
    </w:lvl>
  </w:abstractNum>
  <w:abstractNum w:abstractNumId="8">
    <w:nsid w:val="1E7FF521"/>
    <w:multiLevelType w:val="hybridMultilevel"/>
    <w:lvl w:ilvl="0">
      <w:lvlJc w:val="left"/>
      <w:lvlText w:val="(%1)"/>
      <w:numFmt w:val="lowerLetter"/>
      <w:start w:val="2"/>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decimal"/>
      <w:start w:val="1"/>
    </w:lvl>
    <w:lvl w:ilvl="1">
      <w:lvlJc w:val="left"/>
      <w:lvlText w:val="(%2)"/>
      <w:numFmt w:val="lowerLetter"/>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upperLetter"/>
      <w:start w:val="1"/>
    </w:lvl>
  </w:abstractNum>
  <w:abstractNum w:abstractNumId="25">
    <w:nsid w:val="5E884ADC"/>
    <w:multiLevelType w:val="hybridMultilevel"/>
    <w:lvl w:ilvl="0">
      <w:lvlJc w:val="left"/>
      <w:lvlText w:val="%1."/>
      <w:numFmt w:val="upperLetter"/>
      <w:start w:val="1"/>
    </w:lvl>
    <w:lvl w:ilvl="1">
      <w:lvlJc w:val="left"/>
      <w:lvlText w:val="(%2)"/>
      <w:numFmt w:val="lowerRoman"/>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Letter"/>
      <w:start w:val="3"/>
    </w:lvl>
    <w:lvl w:ilvl="1">
      <w:lvlJc w:val="left"/>
      <w:lvlText w:val="•"/>
      <w:numFmt w:val="bullet"/>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jpe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jpe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27" Type="http://schemas.openxmlformats.org/officeDocument/2006/relationships/hyperlink" Target="http://www.sec.gov/ix?doc=/Archives/edgar/data/823768/000155837020000762/wm-20191231x10kba4080.htm" TargetMode="External"/><Relationship Id="rId28" Type="http://schemas.openxmlformats.org/officeDocument/2006/relationships/hyperlink" Target="http://www.sec.gov/ix?doc=/Archives/edgar/data/823768/000155837020005352/wm-20200506x10q.htm" TargetMode="External"/><Relationship Id="rId29" Type="http://schemas.openxmlformats.org/officeDocument/2006/relationships/hyperlink" Target="http://www.sec.gov/ix?doc=/Archives/edgar/data/823768/000155837020008751/wm-20200630x10q.htm" TargetMode="External"/><Relationship Id="rId61" Type="http://schemas.openxmlformats.org/officeDocument/2006/relationships/hyperlink" Target="http://www.sec.gov/ix?doc=/Archives/edgar/data/823768/000110465920024590/tm207498-2_8k.htm" TargetMode="External"/><Relationship Id="rId62" Type="http://schemas.openxmlformats.org/officeDocument/2006/relationships/hyperlink" Target="http://www.sec.gov/ix?doc=/Archives/edgar/data/823768/000110465920035007/tm2012998d1_8k.htm" TargetMode="External"/><Relationship Id="rId63" Type="http://schemas.openxmlformats.org/officeDocument/2006/relationships/hyperlink" Target="http://www.sec.gov/ix?doc=/Archives/edgar/data/823768/000110465920042259/tm2014773-1_8k.htm" TargetMode="External"/><Relationship Id="rId64" Type="http://schemas.openxmlformats.org/officeDocument/2006/relationships/hyperlink" Target="http://www.sec.gov/ix?doc=/Archives/edgar/data/823768/000110465920062449/tm2018602-2_8k.htm" TargetMode="External"/><Relationship Id="rId65" Type="http://schemas.openxmlformats.org/officeDocument/2006/relationships/hyperlink" Target="http://www.sec.gov/ix?doc=/Archives/edgar/data/823768/000110465920076267/tm2023187d1_8k.htm" TargetMode="External"/><Relationship Id="rId66" Type="http://schemas.openxmlformats.org/officeDocument/2006/relationships/hyperlink" Target="http://www.sec.gov/ix?doc=/Archives/edgar/data/823768/000110465920083610/tm2024786d1_8k.htm" TargetMode="External"/><Relationship Id="rId67" Type="http://schemas.openxmlformats.org/officeDocument/2006/relationships/hyperlink" Target="http://www.sec.gov/ix?doc=/Archives/edgar/data/823768/000110465920088121/tm2025932d1_8k.htm" TargetMode="External"/><Relationship Id="rId68" Type="http://schemas.openxmlformats.org/officeDocument/2006/relationships/hyperlink" Target="http://www.sec.gov/ix?doc=/Archives/edgar/data/823768/000110465920108905/tm2031817-1_8k.htm" TargetMode="External"/><Relationship Id="rId69" Type="http://schemas.openxmlformats.org/officeDocument/2006/relationships/hyperlink" Target="http://www.sec.gov/ix?doc=/Archives/edgar/data/823768/000110465920119782/tm2033110-1_8k.htm" TargetMode="External"/><Relationship Id="rId70" Type="http://schemas.openxmlformats.org/officeDocument/2006/relationships/hyperlink" Target="http://www.sec.gov/ix?doc=/Archives/edgar/data/823768/000110465920120998/tm2033110d3_8k.htm" TargetMode="External"/><Relationship Id="rId71" Type="http://schemas.openxmlformats.org/officeDocument/2006/relationships/hyperlink" Target="http://www.sec.gov/ix?doc=/Archives/edgar/data/823768/000155837020012210/wm-20200930x10q.htm" TargetMode="External"/><Relationship Id="rId72" Type="http://schemas.openxmlformats.org/officeDocument/2006/relationships/hyperlink" Target="http://www.sec.gov/Archives/edgar/data/823768/000104746920001849/a2241017zdef14a.htm" TargetMode="External"/><Relationship Id="rId82" Type="http://schemas.openxmlformats.org/officeDocument/2006/relationships/hyperlink" Target="http://www.sec.gov/Archives/edgar/data/823768/000155837019000662/wm-20181231x10k.htm" TargetMode="External"/><Relationship Id="rId83" Type="http://schemas.openxmlformats.org/officeDocument/2006/relationships/hyperlink" Target="http://www.sec.gov/Archives/edgar/data/823768/000155837019003279/wm-20190331x10q.htm" TargetMode="External"/><Relationship Id="rId84" Type="http://schemas.openxmlformats.org/officeDocument/2006/relationships/hyperlink" Target="http://www.sec.gov/Archives/edgar/data/823768/000110465919010295/a19-5282_18k.htm" TargetMode="External"/><Relationship Id="rId85" Type="http://schemas.openxmlformats.org/officeDocument/2006/relationships/hyperlink" Target="http://www.sec.gov/Archives/edgar/data/823768/000110465919021340/a19-8354_18k.htm" TargetMode="External"/><Relationship Id="rId86" Type="http://schemas.openxmlformats.org/officeDocument/2006/relationships/hyperlink" Target="http://www.sec.gov/Archives/edgar/data/823768/000104746919001663/a2238074zdef14a.htm" TargetMode="External"/><Relationship Id="rId87" Type="http://schemas.openxmlformats.org/officeDocument/2006/relationships/hyperlink" Target="http://www.sec.gov/Archives/edgar/data/823768/0000950134-95-001585-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2020-11-05T08:13:32Z</dcterms:created>
  <dcterms:modified xsi:type="dcterms:W3CDTF">2020-11-05T08:13:32Z</dcterms:modified>
</cp:coreProperties>
</file>