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580"/>
            <w:col w:w="742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5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30"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20, 2015 was 446,495,290 (excluding treasury shares of 183,787,171).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96"/>
              </w:rPr>
              <w:t>PART I.</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97"/>
              </w:rPr>
              <w:t>WASTE MANAGEMENT, INC.</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0" w:type="dxa"/>
            <w:vAlign w:val="bottom"/>
          </w:tcPr>
          <w:p>
            <w:pPr>
              <w:spacing w:after="0"/>
              <w:rPr>
                <w:sz w:val="24"/>
                <w:szCs w:val="24"/>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34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894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 of allowance for doubtful accounts of $26 and $30, respectively</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1,570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940" w:type="dxa"/>
            <w:vAlign w:val="bottom"/>
            <w:gridSpan w:val="2"/>
          </w:tcPr>
          <w:p>
            <w:pPr>
              <w:ind w:left="22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94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2,399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w w:val="99"/>
              </w:rPr>
              <w:t>Property and equipment, net of accumulated depreciation and amortization of $16,385 and $15,968, respectively</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10,659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5,886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20,402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34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0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8940" w:type="dxa"/>
            <w:vAlign w:val="bottom"/>
            <w:gridSpan w:val="2"/>
          </w:tcPr>
          <w:p>
            <w:pPr>
              <w:ind w:left="2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8"/>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8,835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1,605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4,805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6,840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183,817,862 and 171,745,077 shares, respectively</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20,402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2015</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$ 3,360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3,602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$ 9,715</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2,299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6,204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1,000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3,056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8,172</w:t>
            </w:r>
          </w:p>
        </w:tc>
        <w:tc>
          <w:tcPr>
            <w:tcW w:w="4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1,543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1,547</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6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(552)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663</w:t>
            </w:r>
          </w:p>
        </w:tc>
        <w:tc>
          <w:tcPr>
            <w:tcW w:w="4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4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30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$ 0.385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0.375</w:t>
            </w: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$ 1.155</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0" w:type="dxa"/>
            <w:vAlign w:val="bottom"/>
            <w:gridSpan w:val="13"/>
          </w:tcPr>
          <w:p>
            <w:pPr>
              <w:jc w:val="center"/>
              <w:ind w:left="1692"/>
              <w:spacing w:after="0"/>
              <w:rPr>
                <w:sz w:val="20"/>
                <w:szCs w:val="20"/>
                <w:color w:val="auto"/>
              </w:rPr>
            </w:pPr>
            <w:r>
              <w:rPr>
                <w:rFonts w:ascii="Arial" w:cs="Arial" w:eastAsia="Arial" w:hAnsi="Arial"/>
                <w:sz w:val="18"/>
                <w:szCs w:val="18"/>
                <w:b w:val="1"/>
                <w:bCs w:val="1"/>
                <w:color w:val="auto"/>
                <w:w w:val="97"/>
              </w:rPr>
              <w:t>CONDENSED CONSOLIDATED STATEMENTS OF COMPREHENSIVE INCOME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left="4552"/>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jc w:val="center"/>
              <w:ind w:left="4552"/>
              <w:spacing w:after="0"/>
              <w:rPr>
                <w:sz w:val="20"/>
                <w:szCs w:val="20"/>
                <w:color w:val="auto"/>
              </w:rPr>
            </w:pPr>
            <w:r>
              <w:rPr>
                <w:rFonts w:ascii="Arial" w:cs="Arial" w:eastAsia="Arial" w:hAnsi="Arial"/>
                <w:sz w:val="18"/>
                <w:szCs w:val="18"/>
                <w:b w:val="1"/>
                <w:bCs w:val="1"/>
                <w:color w:val="auto"/>
                <w:w w:val="89"/>
              </w:rPr>
              <w:t>(Unaudited)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right"/>
              <w:ind w:right="12"/>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4"/>
          </w:tcPr>
          <w:p>
            <w:pPr>
              <w:jc w:val="right"/>
              <w:ind w:right="152"/>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(114)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365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366</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Interest accretion on landfill liabilities</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disposal of assets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Effect of (income) expense from divestitures, asset impairments and unusual items and other</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 net of dividends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revenues and other liabilities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1,811</w:t>
            </w:r>
          </w:p>
        </w:tc>
        <w:tc>
          <w:tcPr>
            <w:tcW w:w="0" w:type="dxa"/>
            <w:vAlign w:val="bottom"/>
          </w:tcPr>
          <w:p>
            <w:pPr>
              <w:spacing w:after="0"/>
              <w:rPr>
                <w:sz w:val="1"/>
                <w:szCs w:val="1"/>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(864)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4"/>
              </w:rPr>
              <w:t>(1,181)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2,060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(2,421)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associated with equity-based transactions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w:t>
            </w: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(1,983)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(1,194)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w w:val="94"/>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Paid-In</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40" w:type="dxa"/>
            <w:vAlign w:val="bottom"/>
            <w:gridSpan w:val="5"/>
            <w:vMerge w:val="restart"/>
          </w:tcPr>
          <w:p>
            <w:pPr>
              <w:jc w:val="right"/>
              <w:ind w:right="1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160" w:type="dxa"/>
            <w:vAlign w:val="bottom"/>
            <w:gridSpan w:val="3"/>
          </w:tcPr>
          <w:p>
            <w:pPr>
              <w:jc w:val="center"/>
              <w:ind w:right="26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1340" w:type="dxa"/>
            <w:vAlign w:val="bottom"/>
            <w:tcBorders>
              <w:bottom w:val="single" w:sz="8" w:color="auto"/>
            </w:tcBorders>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2014</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$5,889</w:t>
            </w: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4,585</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(171,745)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(5,636)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6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126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September 30, 2015</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5,257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630,282</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6,840</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(183,818)</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(6,325)</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15.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can be found in Note 8.</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December 2014, we completed the sale of our Wheelabrator business, which provides waste-to-energy services and manages waste-to-energy facilities and independent power production plants. Refer to Note 9 for additional information related to our divestitures.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September 30, 2015 and for the three and nine months ended September 30, 2015 and 2014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2014.</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87"/>
              </w:rPr>
              <w:t>September 30, 2015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Remediation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4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1,417</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1,339</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1,531</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1,749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1,443</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1,678</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2014 and the nine months ended September 30, 2015 are reflected in the table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2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adjustments(a)</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adjustments(b)</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1,520</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for our 2014 landfill liabilities include reductions of $25 million for divestitures, including the divestiture of our Wheelabrator business. See Note 9 for discussion of our divestitures.</w:t>
      </w: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reported for our 2015 landfill liabilities include an increase of $18 million associated with the acquisition of Deffenbaugh Disposal, Inc. (“Deffenbaugh”). See Note 9 for discussion of our acquisition.</w:t>
      </w:r>
    </w:p>
    <w:p>
      <w:pPr>
        <w:spacing w:after="0" w:line="5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15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September 30, 2015:</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revolving credit facility, maturing July 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2018</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Canadian credit facility and term loan, maturing November 2017 (weighted average effective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of 2.1% at September 30, 2015 and 2.6% at December 31, 2014)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r>
      <w:tr>
        <w:trPr>
          <w:trHeight w:val="208"/>
        </w:trPr>
        <w:tc>
          <w:tcPr>
            <w:tcW w:w="7820" w:type="dxa"/>
            <w:vAlign w:val="bottom"/>
          </w:tcPr>
          <w:p>
            <w:pPr>
              <w:spacing w:after="0"/>
              <w:rPr>
                <w:sz w:val="20"/>
                <w:szCs w:val="20"/>
                <w:color w:val="auto"/>
              </w:rPr>
            </w:pPr>
            <w:r>
              <w:rPr>
                <w:rFonts w:ascii="Arial" w:cs="Arial" w:eastAsia="Arial" w:hAnsi="Arial"/>
                <w:sz w:val="18"/>
                <w:szCs w:val="18"/>
                <w:color w:val="auto"/>
              </w:rPr>
              <w:t>Senior notes maturing through 2045, interest rates ranging from 2.60% to 7.75% (weighted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820" w:type="dxa"/>
            <w:vAlign w:val="bottom"/>
          </w:tcPr>
          <w:p>
            <w:pPr>
              <w:ind w:left="220"/>
              <w:spacing w:after="0"/>
              <w:rPr>
                <w:sz w:val="20"/>
                <w:szCs w:val="20"/>
                <w:color w:val="auto"/>
              </w:rPr>
            </w:pPr>
            <w:r>
              <w:rPr>
                <w:rFonts w:ascii="Arial" w:cs="Arial" w:eastAsia="Arial" w:hAnsi="Arial"/>
                <w:sz w:val="18"/>
                <w:szCs w:val="18"/>
                <w:color w:val="auto"/>
              </w:rPr>
              <w:t>average interest rate of 4.7% at September 30, 2015 and 5.7% at December 31, 2014)</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6,083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19"/>
                <w:szCs w:val="19"/>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9"/>
              </w:rPr>
              <w:t>Tax-exempt bonds, maturing through 2045, fixed and variable interest rates ranging from 0.02% to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5.7% (weighted average interest rate of 2.1% at September 30, 2015 and 2.2% at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2,493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10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8,835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September 30, 2015, we had $701 million of debt maturing within the next 12 months, including $500 million of 2.6% senior notes that mature in September 2016 and $117 million of tax-exempt bonds. In addition, $487 million of tax-exempt bonds have term interest rate periods that expire within the next 12 months. Based on our intent and ability to refinance portions of our current obligations on a long-term basis as of September 30, 2015, including through use of forecasted available capacity under our long-term U.S. revolving credit facility (“$2.25 billion revolving credit facility”), we have classified $973 million of this debt as long-term and the remaining $215 million as current obligations.</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September 30, 2015, we also have $491 million of variable-rate tax-exempt bonds that are supported by letters of credit. The interest rates on these bonds are reset on either a daily or weekly basis through a remarketing process. All recent remarketings have successfully placed Company bonds with investors at reasonable,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Condensed Consolidated Balance Sheet at September 30, 2015.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2015, we amended and restated our $2.25 billion revolving credit facility, extending the term through July 2020.</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September 30, 2015, we had an aggregate committed capacity of $2.4 billion for letters of credit under various U.S. credit facilities. Our $2.25 billion revolving credit facility is our primary source of letter of credit capacity. Our remaining committed letter of credit capacity is provided under facilities with terms ending through December 2018. As of September 30, 2015, we had an aggregate of $982 million of letters of credit outstanding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under various credit facilities. As of September 30, 2015, we had no outstanding borrowings under our $2.25 billion revolving credit facility and $832 million of letters of credit issued and supported by the facility, leaving $1,418 million of unused and available capacity.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 Canadian credit agreement that matures in November 2017 and provides for C$150 million of revolving credit capacity. We have the ability to issue up to C$50 million of letters of credit under the Canadian revolving credit facility, which if utilized, reduces the amount of credit capacity available for borrowings. As of September 30, 2015, we had no letters of credit or borrowings outstanding under the credit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We repaid C$119 million, or $93 million, of net advances under our Canadian term loan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with available cash. The remaining decline in the carrying value of borrowings outstanding under our Canadian term loan is due to foreign currency translation.</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During 2015, we refinanced a significant portion of our high-coupon senior notes. Details related to each component of the refinancing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follow:</w:t>
      </w:r>
    </w:p>
    <w:p>
      <w:pPr>
        <w:spacing w:after="0" w:line="51"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i w:val="1"/>
          <w:iCs w:val="1"/>
          <w:color w:val="auto"/>
        </w:rPr>
        <w:t xml:space="preserve">Make-Whole Redemption </w:t>
      </w:r>
      <w:r>
        <w:rPr>
          <w:rFonts w:ascii="Arial" w:cs="Arial" w:eastAsia="Arial" w:hAnsi="Arial"/>
          <w:sz w:val="18"/>
          <w:szCs w:val="18"/>
          <w:color w:val="auto"/>
        </w:rPr>
        <w:t>— In January 2015, we repaid $947 million of WM senior notes, which comprised all of the outstanding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in 2015, 2017 and 2019. The repayment of these debt balances was achieved by exercising the optional redemption provisions of the notes, which required that we pay the outstanding principal plus a make-whole premium. The “Loss on early extinguishment of debt” reflected in our Condensed Consolidated Statement of Operations for the nine months ended September 30, 2015 includes $122 million of charges related to these redemptions.</w:t>
      </w:r>
    </w:p>
    <w:p>
      <w:pPr>
        <w:spacing w:after="0" w:line="62" w:lineRule="exact"/>
        <w:rPr>
          <w:sz w:val="20"/>
          <w:szCs w:val="20"/>
          <w:color w:val="auto"/>
        </w:rPr>
      </w:pPr>
    </w:p>
    <w:p>
      <w:pPr>
        <w:jc w:val="both"/>
        <w:ind w:left="920"/>
        <w:spacing w:after="0" w:line="268" w:lineRule="auto"/>
        <w:rPr>
          <w:sz w:val="20"/>
          <w:szCs w:val="20"/>
          <w:color w:val="auto"/>
        </w:rPr>
      </w:pPr>
      <w:r>
        <w:rPr>
          <w:rFonts w:ascii="Arial" w:cs="Arial" w:eastAsia="Arial" w:hAnsi="Arial"/>
          <w:sz w:val="18"/>
          <w:szCs w:val="18"/>
          <w:i w:val="1"/>
          <w:iCs w:val="1"/>
          <w:color w:val="auto"/>
        </w:rPr>
        <w:t>Tender Offer</w:t>
      </w:r>
      <w:r>
        <w:rPr>
          <w:rFonts w:ascii="Arial" w:cs="Arial" w:eastAsia="Arial" w:hAnsi="Arial"/>
          <w:sz w:val="18"/>
          <w:szCs w:val="18"/>
          <w:color w:val="auto"/>
        </w:rPr>
        <w:t>s — During 2015, WM and WM Holdings made cash tender offers to purchase any and all of certain outstanding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notes targeted in the tenders and the amounts tendered of each series are summarized below:</w:t>
      </w:r>
    </w:p>
    <w:p>
      <w:pPr>
        <w:spacing w:after="0" w:line="51" w:lineRule="exact"/>
        <w:rPr>
          <w:sz w:val="20"/>
          <w:szCs w:val="20"/>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$182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$286 million were tendered;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“Loss on early extinguishment of debt” reflected in our Condensed Consolidated Statement of Operations for the nine months ended September 30, 2015 includes $430 million of charges related to these tender offers.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New Issuance </w:t>
      </w:r>
      <w:r>
        <w:rPr>
          <w:rFonts w:ascii="Arial" w:cs="Arial" w:eastAsia="Arial" w:hAnsi="Arial"/>
          <w:sz w:val="18"/>
          <w:szCs w:val="18"/>
          <w:color w:val="auto"/>
        </w:rPr>
        <w:t>— In February 2015, WM issued $1.8 billion of new senior notes consisting of:</w:t>
      </w:r>
    </w:p>
    <w:p>
      <w:pPr>
        <w:spacing w:after="0" w:line="90" w:lineRule="exact"/>
        <w:rPr>
          <w:sz w:val="20"/>
          <w:szCs w:val="20"/>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9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offers discussed above and for general corporate purposes.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Tax-Exempt Bonds — </w:t>
      </w:r>
      <w:r>
        <w:rPr>
          <w:rFonts w:ascii="Arial" w:cs="Arial" w:eastAsia="Arial" w:hAnsi="Arial"/>
          <w:sz w:val="16"/>
          <w:szCs w:val="16"/>
          <w:color w:val="auto"/>
        </w:rPr>
        <w:t>During the nine months ended September 30, 2015, we made net repayments of $50 million on our tax-exempt bonds.</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40" w:right="7480" w:hanging="232"/>
        <w:spacing w:after="0" w:line="347" w:lineRule="auto"/>
        <w:tabs>
          <w:tab w:leader="none" w:pos="45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b w:val="1"/>
          <w:bCs w:val="1"/>
          <w:i w:val="1"/>
          <w:iCs w:val="1"/>
          <w:color w:val="auto"/>
        </w:rPr>
        <w:t>Cash Flow Hedges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September 30, 2015, we had foreign exchange cross currency swaps outstanding for all of the anticipated cash flows associated with intercompany loans from WM Holdings to its wholly-owned Canadian subsidiaries. Our Condensed Consolidated Balance Sheets include $73 million and $28 million in long-term other assets at September 30, 2015 and December 31, 2014, respectively, and $1 million in current accrued liabilities at September 30, 2015, for these foreign exchange cross currency swaps. We designated these cross currency swaps as cash flow hedges. The hedged cash flows as of September 30, 2015 include C$370 million of total notional value. The scheduled principal payments of the loan and the related swaps are as follows: C$70 million due on October 31, 2016, C$150 million due on October 31, 2017 and C$150 million due on October 31, 2018.</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Gains or losses resulting from the remeasurement of the underlying non-functional currency intercompany loan are recognized in current earnings in the same financial statement line item as offsetting gains or losses on the related cross currency swaps. We have not offset fair value amounts recognized for these derivative instruments. For information related to the inputs used to measure these derivative assets and liabilities at fair value, refer to Note 14.</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 debt issuance initially forecasted for March 2014, that occurred in May 2014. Accordingly, the loss associated with the matured forward-starting swaps was deferred as a component of “Accumulated other comprehensive income” and is being amortized to interest expense over the debt term of the May 2014 issuance. Ineffectiveness associated with the change in timing of the debt issuance was not material.</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September 30, 2015 and December 31, 2014, our “Accumulated other comprehensive income” included $45 million and $50 million, respectively, of after-tax deferred losses related to all previously terminated swaps, which are being amortized as an increase to interest expense over the ten-year term of the related senior note issuances using the effective interest method. As of September 30, 2015, $11 million of the deferred losses for these previously terminated swaps (on a pre-tax basis) is scheduled to be reclassified as an increase to interest expense over the next 12 months.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discussed in Note 3, during the nine months ended September 30, 2015, the Company elected to redeem certain senior notes. As a result of this redemption, $3 million of deferred losses for previously terminated swaps was recorded as interest expense in the Condensed Consolidated Statement of Operations.</w:t>
      </w:r>
    </w:p>
    <w:p>
      <w:pPr>
        <w:spacing w:after="0" w:line="5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was no significant ineffectiveness associated with our cash flow hedges during the three and nine months ended September 30, 2015 or 2014. Refer to Note 12 for information regarding the impacts of our cash flow derivatives on our comprehensive income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did not have any interest rate swaps outstanding during the reported periods. However, in prior years, we entered into interest rate swaps to maintain a portion of our debt obligations at variable market interest rates and designated these interest rate swaps as fair value hedges of our fixed-rate senior notes. Fair value hedge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accounting for interest rate swap contracts increased the carrying value of our debt instruments by $25 million and $45 million as of September 30, 2015 and December 31, 2014, respectively. The significant decrease in the fair value adjustment during the nine months ended September 30, 2015 is primarily due to accounting for the impact of our senior note redemption discussed in Note 3. During the nine months ended September 30, 2015, the redemption of certain senior notes prior to their scheduled maturity dates resulted in the write-off of related fair value adjustments for terminated interest rate swaps as a $14 million credit to “Loss on early extinguishment of debt” within our Condensed Consolidated Statement of Operations. The remaining fair value adjustments to long-term debt are being amortized as a reduction to interest expense using the effective interest method over the remaining term of the related senior notes, which extend through 2028. We recognized benefits to interest expense associated with the amortization of our terminated interest rate swaps of $2 million and $6 million for the three and nine months ended September 30, 2015, respectively, and $3 million and $11 million for the three and nine months ended September 30, 2014, respectively.</w:t>
      </w:r>
    </w:p>
    <w:p>
      <w:pPr>
        <w:spacing w:after="0" w:line="14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effective income tax rate for the three and nine months ended September 30, 2015 was 32.3% and 27.8%, respectively, compared with 32.1% and 35.7%, for the comparable prior year periods. We evaluate our effective income tax rate at each interim period and adjust it as facts and circumstances warrant. The difference between federal income taxes computed at the federal statutory rate and reported income taxes for the three and nine months ended September 30, 2015 was primarily due to the favorable impact of federal tax credits, adjustments to our accruals and related deferred taxes due to the filing of our 2014 income tax returns and state tax audit settlements offset, in part, by the unfavorable impact of state and local income taxes. These recurring items had a more pronounced net reduction on our current year effective tax rate than in 2014 due to the impact of the loss on early extinguishment of debt on our pre-tax income for the nine months ended September 30, 2015. The nine months ended September 30, 2015 was also favorably impacted by the revaluation of our deferred taxes and utilization of state net operating losses resulting from changes in state law and the tax implications of nontaxable post-closing adjustments related to the divestiture of our Wheelabrator business.</w:t>
      </w:r>
    </w:p>
    <w:p>
      <w:pPr>
        <w:spacing w:after="0" w:line="3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difference between federal income taxes computed at the federal statutory rate and reported income taxes for the three and nine months ended September 30, 2014 was primarily due to the favorable impact of federal tax credits, state tax audit settlements and adjustments to our accruals and related deferred taxes due to the filing of our 2013 income tax returns offset, in part, by the impact of state and local income taxes and non-deductible accruals and impairments. The nine months ended September 30, 2014 was also unfavorably impacted by the divestiture of our Puerto Rico operations and certain other collection and landfill assets offset, in part, by the favorable impact of the revaluation of our deferred taxes and utilization of state net operating losses resulting from a change in state law and the utilization of capital loss carryovers.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We recognized $2 million and $4 million of net losses resulting from our share of the entity’s operating losses during the three and nine months ended September 30, 2015, respectively, and $1 million and $3 million of net losses during the three and nine months ended September 30, 2014, respectively. Our tax provision was reduced by $7 million and $16 million for the three and nine months ended September 30, 2015, respectively, and by $6 million and $14 million for the three and nine months ended September 30, 2014, respectively, primarily as a result of tax credits realized from this investment. See Note 15 for additional information related to this investment.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2010, we acquired a noncontrolling interest in a limited liability company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The value of our investment decreases as the tax credits are generated and utilized. During the three and nine months ended September 30, 2015, we recognized $5 million and $17 million of losses relating to our equity investment in this entity, $1 million and $3 million of interest expense, and a reduction in our tax provision of $10 million (including $7 million of tax credits) and $25 million (including $17 million of tax credits), respectively. During the three and nine months ended September 30, 2014, we recognized $6 million and $18 million of losses relating to our equity investment in this entity, $1 million and $4 million of interest expense, and a reduction in our tax provision of $10 million (including $7 million of tax credits) and $27 million (including $18 million of tax credits), respectively. See Note 15 for additional information related to this investment.</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Bonus Depreciation </w:t>
      </w:r>
      <w:r>
        <w:rPr>
          <w:rFonts w:ascii="Arial" w:cs="Arial" w:eastAsia="Arial" w:hAnsi="Arial"/>
          <w:sz w:val="16"/>
          <w:szCs w:val="16"/>
          <w:color w:val="auto"/>
        </w:rPr>
        <w:t>— The Tax Increase Prevention Act of 2014 was signed into law on December 19, 2014 and included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reduced our cash taxes. This reduction will be offset by increased cash taxes in subsequent periods when the deductions related to the capital expenditures would have otherwise been taken.</w:t>
      </w:r>
    </w:p>
    <w:p>
      <w:pPr>
        <w:spacing w:after="0" w:line="15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4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w w:val="98"/>
              </w:rPr>
              <w:t>Dilutive effect of equity-based compensation awards and other contingently issuable shares</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2"/>
            <w:vMerge w:val="continue"/>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4"/>
              </w:rPr>
              <w:t>Number of anti-dilutive potentially issuable shares excluded from diluted common shares outstanding</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will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September 30, 2015 (excluding those related to Wheelabrator obligations that are discussed below) include (i) guarantees of unconsolidated entities’ financial obligations maturing through 2020 for maximum future payments of $8 million and (ii) agreements guaranteeing certain market value losses for approximately 800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4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Before the divestiture of our Wheelabrator business, WM had guaranteed certain performance and financial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exchange, receive a credit support fee. The most significant of these guarantees specifically define WM’s maximum financial obligation over the course of the relevant agreements, and as of December 31, 2014, WM’s maximum future payments associated with those guarantees was $176 million. WM’s exposure under certain of the performance guarantees is variable and a maximum exposure is not defined. The estimated fair value of WM’s potential obligation associated with guarantees of Wheelabrator obligations at September 30, 2015 and December 31, 2014 is $16 million (net of the credit support fee) and $18 million (net of the credit support fee), respectively. We have recorded the fair value of the financial and performance guarantees, some of which could extend through 2041 if not terminated, in our Condensed Consolidated Balance Sheets. We currently do not expect the financial impact of such performance and financial guarantees to materially exceed the recorded fair value.</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$195 million higher than the $229 million recorded in the Condensed Consolidated Financial Statements as of September 30, 2015.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2015, we had been notified by the government that we are a PRP in connection with 76 locations listed on the EPA’s Superfund National Priorities List, or NPL. Of the 76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w:t>
      </w:r>
    </w:p>
    <w:p>
      <w:pPr>
        <w:spacing w:after="0" w:line="26"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April 10, 2015, the Pennsylvania Department of Environmental Protection (“DEP”) advised us that it intended to seek civil penalties against the Tullytown Landfill and Grows complex located in southeast Pennsylvania and owned by indirect wholly-owned subsidiaries of WM, related to operational issues, including odors, leachate storage and leachate transportation. We engaged in discussions with representatives of the DEP and amicably resolved these issues, and on July 20, 2015 we signed a consent assessment of civil penalty of $528,000.</w:t>
      </w:r>
    </w:p>
    <w:p>
      <w:pPr>
        <w:spacing w:after="0" w:line="32" w:lineRule="exact"/>
        <w:rPr>
          <w:sz w:val="20"/>
          <w:szCs w:val="20"/>
          <w:color w:val="auto"/>
        </w:rPr>
      </w:pPr>
    </w:p>
    <w:p>
      <w:pPr>
        <w:jc w:val="both"/>
        <w:ind w:left="460" w:firstLine="438"/>
        <w:spacing w:after="0" w:line="290" w:lineRule="auto"/>
        <w:rPr>
          <w:sz w:val="20"/>
          <w:szCs w:val="20"/>
          <w:color w:val="auto"/>
        </w:rPr>
      </w:pPr>
      <w:r>
        <w:rPr>
          <w:rFonts w:ascii="Arial" w:cs="Arial" w:eastAsia="Arial" w:hAnsi="Arial"/>
          <w:sz w:val="16"/>
          <w:szCs w:val="16"/>
          <w:color w:val="auto"/>
        </w:rPr>
        <w:t>On July 10, 2015, Waste Management of Hawaii, Inc. (“WMHI”) entered a plea resolving the April 30, 2014 indictment against WMHI in connection with water discharges at the Waimanalo Gulch Sanitary Landfill, which WMHI operates for the city and county of Honolulu, following three major rainstorms in December 2010 and January 2011. As a result, WMHI entered a guilty plea on two misdemeanor violations of the federal Clean Water Act and will pay $400,000 in fines and $200,000 toward restitution and supplemental environmental projects. The two employees indicted in this matter each agreed to a misdemeanor violation of the federal Clean Water Act and payment of a $25,000 fine. WMHI may face civil claims from the Hawaii Department of Health or the EPA based on the same underlying events, but we do not anticipate such claims could have a material adverse effect on the Company’s business, financial condition, results of operations or cash flows.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On March 26, 2015, the Company acquired Deffenbaugh. In May 2012 and December 2013, Deffenbaugh was named as a defendant in</w:t>
      </w:r>
      <w:r>
        <w:rPr>
          <w:rFonts w:ascii="Arial" w:cs="Arial" w:eastAsia="Arial" w:hAnsi="Arial"/>
          <w:sz w:val="16"/>
          <w:szCs w:val="16"/>
          <w:i w:val="1"/>
          <w:iCs w:val="1"/>
          <w:color w:val="auto"/>
        </w:rPr>
        <w:t xml:space="preserve"> </w:t>
      </w:r>
      <w:r>
        <w:rPr>
          <w:rFonts w:ascii="Arial" w:cs="Arial" w:eastAsia="Arial" w:hAnsi="Arial"/>
          <w:sz w:val="16"/>
          <w:szCs w:val="16"/>
          <w:color w:val="auto"/>
        </w:rPr>
        <w:t>purported class actions filed in the United States District Court for the District of Kansas. These cases pertained to fuel, environmental and base rate charges included on invoices, generally alleging that such charges were not properly disclosed, were unfair or were contrary to the customer service contracts. We have agreed on settlement terms for both cases, and we anticipate seeking preliminary court approvals during the fourth quarter of 2015. The anticipated settlements will not have a material adverse effect on the Company’s business, financial condition, results of operations or cash flows.</w:t>
      </w:r>
    </w:p>
    <w:p>
      <w:pPr>
        <w:spacing w:after="0" w:line="3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any person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Additionally,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union locals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In 2008, we reached agreement with all of the unions involved to cease participation in the Central States Pension Plan. Since that time, litigation with the Central States Pension Plan has been pending. The dispute was over several matters including the effective date that our contribution obligations ceased. In August 2015, we settled all pending litigation with the trustees for the Central States Pension Plan regarding liability for contributions to the plan and withdrawal liability resulting from the cessation of contributions. The amount of the settlement did not exceed our previously recognized charges to “Operating” expenses associated with this matter, and the settlement did not have a material adverse effect on the Company’s business, financial condition, results of operations or cash flows.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still negotiating and litigating final resolutions of our withdrawal liability for certain other previous withdrawals. In the second quarter of 2015, we recognized a $55 million charge to “Operating” expenses associated with withdrawal from certain underfunded multiemployer pension plans, the majority of which was associated with the Central States Pension Plan withdrawal discussed above. We do not believe any additional liability above the charges we have already recognized for such previous withdrawals could be material to the Company’s business, financial condition, liquidity, results of operations or cash flows. Similarly, we also do not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in order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We are currently in the examination phase of IRS audits for the tax years 2014 and 2015 and expect these audits to be completed within the next six and 18 months, respectively. We are also currently undergoing audits by various state and local jurisdictions for tax years that date back to 2009, with the exception of affirmative claims in a limited number of jurisdictions that date back to 2000. We are also under audit in Canada for the tax years 2012 and 2013. We acquired Deffenbaugh, which is subject to potential IRS examination for the years 2012 through the date of acquisition in 2015.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5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geographic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w:t>
      </w:r>
    </w:p>
    <w:p>
      <w:pPr>
        <w:spacing w:after="0" w:line="4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Wheelabrator business, which managed waste-to-energy facilities and independent power production plants, was a separate reportable segment until the sale of the business in the fourth quarter of 2014 as it met the quantitative disclosure thresholds.</w:t>
      </w:r>
    </w:p>
    <w:p>
      <w:pPr>
        <w:spacing w:after="0" w:line="5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3"/>
              </w:rPr>
              <w:t>Gross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93"/>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Operating</w:t>
            </w:r>
          </w:p>
        </w:tc>
        <w:tc>
          <w:tcPr>
            <w:tcW w:w="34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4"/>
              </w:rPr>
              <w:t>Revenues</w:t>
            </w:r>
          </w:p>
        </w:tc>
        <w:tc>
          <w:tcPr>
            <w:tcW w:w="1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8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1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2"/>
              </w:rPr>
              <w:t>September 30, 2015</w:t>
            </w:r>
          </w:p>
        </w:tc>
        <w:tc>
          <w:tcPr>
            <w:tcW w:w="18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100" w:type="dxa"/>
            <w:vAlign w:val="bottom"/>
            <w:gridSpan w:val="2"/>
          </w:tcPr>
          <w:p>
            <w:pPr>
              <w:ind w:left="19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742</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2,843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3,360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(621)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3,360</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0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2,875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3,602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3,602</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rPr>
              <w:t>Net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Operating</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Revenues</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6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6"/>
              </w:rPr>
              <w:t>September 30, 2015</w:t>
            </w:r>
          </w:p>
        </w:tc>
        <w:tc>
          <w:tcPr>
            <w:tcW w:w="4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2,590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2,176</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9,715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11,490</w:t>
            </w:r>
          </w:p>
        </w:tc>
        <w:tc>
          <w:tcPr>
            <w:tcW w:w="34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9,715</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4,814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10,112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12,417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10,559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12,417</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10,559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can generate earnings at comparatively lower margins.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right="8780" w:firstLine="8"/>
        <w:spacing w:after="0" w:line="347" w:lineRule="auto"/>
        <w:tabs>
          <w:tab w:leader="none" w:pos="44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Divestitures </w:t>
      </w:r>
      <w:r>
        <w:rPr>
          <w:rFonts w:ascii="Arial" w:cs="Arial" w:eastAsia="Arial" w:hAnsi="Arial"/>
          <w:sz w:val="18"/>
          <w:szCs w:val="18"/>
          <w:b w:val="1"/>
          <w:bCs w:val="1"/>
          <w:i w:val="1"/>
          <w:iCs w:val="1"/>
          <w:color w:val="auto"/>
        </w:rPr>
        <w:t>Acquisitions</w:t>
      </w:r>
    </w:p>
    <w:p>
      <w:pPr>
        <w:spacing w:after="0" w:line="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Deffenbaugh Disposal, Inc. </w:t>
      </w:r>
      <w:r>
        <w:rPr>
          <w:rFonts w:ascii="Arial" w:cs="Arial" w:eastAsia="Arial" w:hAnsi="Arial"/>
          <w:sz w:val="16"/>
          <w:szCs w:val="16"/>
          <w:color w:val="auto"/>
        </w:rPr>
        <w:t>— On March 26, 2015, we acquired Deffenbaugh, one of the largest privately owned collection and disposal firms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Midwest, for total consideration of $416 million ($413 million cash), inclusive of amounts for estimated working capital. Deffenbaugh’s assets include five collection operations, seven transfer stations, two recycling facilities, one subtitle-D landfill, and one construction and demolition landfill. For the three and nine months ended September 30, 2015, Deffenbaugh recognized revenues of $44 million and $92 million, respectively, and net income (loss) of less than $1 million for both the three and nine months ended September 30, 2015, which are included in our Condensed Consolidated Statements of Operations.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of $152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will be integrating these operations as they are expected to benefit from the synergies of the combination. Goodwill related to this acquisition is not deductible for income tax purposes.</w:t>
      </w:r>
    </w:p>
    <w:p>
      <w:pPr>
        <w:spacing w:after="0" w:line="6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allocation of the purchase price for the Deffenbaugh acquisition is preliminary and subject to change based on the finalization of our detailed valuations. The following table presents adjustments since the acquisition date to the allocation of the purchase price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March 26,</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Accounts and other receivables</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40"/>
              <w:spacing w:after="0"/>
              <w:rPr>
                <w:sz w:val="20"/>
                <w:szCs w:val="20"/>
                <w:color w:val="auto"/>
              </w:rPr>
            </w:pPr>
            <w:r>
              <w:rPr>
                <w:rFonts w:ascii="Arial" w:cs="Arial" w:eastAsia="Arial" w:hAnsi="Arial"/>
                <w:sz w:val="18"/>
                <w:szCs w:val="18"/>
                <w:color w:val="auto"/>
              </w:rPr>
              <w:t>Total purchase price</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preliminary allocation of $100 million for other intangibles includes $94 million for customer relationships and $6 million for a trade name, each with an amortization period of 15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Deffenbaugh occurred at January 1, 2014 (in millions, except per share amounts):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revenues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income attributable to Waste Management, Inc.</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earnings per common share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Diluted earnings per common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19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4"/>
                <w:szCs w:val="14"/>
                <w:color w:val="auto"/>
              </w:rPr>
            </w:pPr>
          </w:p>
        </w:tc>
        <w:tc>
          <w:tcPr>
            <w:tcW w:w="14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89"/>
              </w:rPr>
              <w:t>2014</w:t>
            </w:r>
          </w:p>
        </w:tc>
        <w:tc>
          <w:tcPr>
            <w:tcW w:w="84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14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r>
      <w:tr>
        <w:trPr>
          <w:trHeight w:val="201"/>
        </w:trPr>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3,646</w:t>
            </w:r>
          </w:p>
        </w:tc>
        <w:tc>
          <w:tcPr>
            <w:tcW w:w="84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$9,755</w:t>
            </w:r>
          </w:p>
        </w:tc>
        <w:tc>
          <w:tcPr>
            <w:tcW w:w="84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$10,688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0.59</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0.59</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-555625</wp:posOffset>
            </wp:positionV>
            <wp:extent cx="666369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-272415</wp:posOffset>
            </wp:positionV>
            <wp:extent cx="66636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6140" w:space="720"/>
            <w:col w:w="4560"/>
          </w:cols>
          <w:pgMar w:left="240" w:top="274" w:right="239" w:bottom="1440" w:gutter="0" w:footer="0" w:header="0"/>
          <w:type w:val="continuous"/>
        </w:sect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Wheelabrator Business — </w:t>
      </w:r>
      <w:r>
        <w:rPr>
          <w:rFonts w:ascii="Arial" w:cs="Arial" w:eastAsia="Arial" w:hAnsi="Arial"/>
          <w:sz w:val="16"/>
          <w:szCs w:val="16"/>
          <w:color w:val="auto"/>
        </w:rPr>
        <w:t>On December 19, 2014, we sold our Wheelabrator business to an affiliate of Energy Capital Partners and received cash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of $1.95 billion, net of cash divested, subject to certain post-closing adjustments. We recognized a gain of $519 million on this sale in the fourth quarter of 2014. For the nine months ended September 30, 2015, net adjustments to this gain were immaterial on a pre-tax basis.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the sale, our Wheelabrator business constituted a reportable segment, as discussed in Note 8. We concluded that the sale of our Wheelabrator business did not qualify for discontinued operations accounting under applicable authoritative guidance based on our significant continuing obligations under the long-term waste supply agreements referred to above and in Note 7.</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In the third quarter of 2014, we sold certain landfill and collection operations in our Eastern Canada Area, which were included in Tier 3. We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cash proceeds from the sale of $39 million and recognized a gain of $18 million. In the second quarter of 2014, we sold our Puerto Rico operations and certain other collection and landfill assets which were included in Tier 3 and Tier 1, respectively, of our Solid Waste business. We received proceeds from the sale of $80 million, consisting of $65 million of cash and $15 million of preferred stock. The loss recognized related to the sale was $25 million and is recorded in “(Income) expense from divestitures, asset impairments and unusual items” in our Condensed Consolidated Statement of Operations.</w:t>
      </w:r>
    </w:p>
    <w:p>
      <w:pPr>
        <w:spacing w:after="0" w:line="15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2015, we recognized $7 million of pre-tax restructuring charges, of which $3 million was related to employee severance and benefit costs, including costs associated with our acquisition of Deffenbaugh.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separated from our Corporate and recycling organizations in connection with this restructuring.</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third quarter of 2014, we recognized pre-tax charges of $67 million primarily associated with this restructuring, of which $61 million related to employee severance and benefit costs.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recognized total charges of $73 million associated with our 2014 and 2015 restructurings related to employee severance and benefits, and we have paid approximately $65 million of these costs. At September 30, 2015, we had approximately $5 million of accrued employee severance related to our restructuring efforts, which will be substantially paid by the end of 2015.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nine months ended September 30, 2015, we recognized net charges of $17 million, including $18 million of charges to write down or divest of certain assets in our recycling operations and a $5 million impairment of a landfill in our Western Canada Area due to revised post-closure cost estimates. Partially offsetting these charges was a $6 million gain on the sale of an oil and gas producing property in the second quarter of 2015.</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nine months ended September 30, 2014, we recognized net charges of $21 million primarily related to a $25 million loss on the divestiture of our Puerto Rico operations and certain other collection and landfill assets as discussed further in Note 9 and a $12 million impairment charge due to the decision to close a waste processing facility; partially offset by net gains of $16 million during the third quarter of 2014, primarily attributable to gains on the sale of certain landfill and collection operations in our Eastern Canada Area.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Equity in net losses of unconsolidated entities during the nine months ended September 30, 2014, includes $5 million of charges to write down an equity method investment in a waste diversion technology company to its fair value.</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first quarter of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used in investing activities” in the Condensed Consolidated Statement of Cash Flows. The losses recognized related to the sale were not material and are recorded in “Other, net” in our Condensed Consolidated Statement of Operations.</w:t>
      </w:r>
    </w:p>
    <w:p>
      <w:pPr>
        <w:spacing w:after="0" w:line="17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 with amounts in parentheses representing decreases to accumulated other comprehensive income):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Post-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Available-</w:t>
            </w:r>
          </w:p>
        </w:tc>
        <w:tc>
          <w:tcPr>
            <w:tcW w:w="8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Currency</w:t>
            </w: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3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4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Benefit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2014</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Other comprehensive income (loss) before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w w:val="99"/>
              </w:rPr>
              <w:t>reclassifications, net of tax expense (benefit)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of $17, $(1), $0 and $0, respectively</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 net of tax</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benefit of $(11), $0, $0 and $0,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39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(loss)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2015</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2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96"/>
              </w:rPr>
              <w:t>Amount of Derivative Gain (Loss)</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w w:val="91"/>
              </w:rPr>
              <w:t>Recognized in OCI (Effective Portion)</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1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right"/>
              <w:ind w:right="12"/>
              <w:spacing w:after="0" w:line="142" w:lineRule="exact"/>
              <w:rPr>
                <w:sz w:val="20"/>
                <w:szCs w:val="20"/>
                <w:color w:val="auto"/>
              </w:rPr>
            </w:pPr>
            <w:r>
              <w:rPr>
                <w:rFonts w:ascii="Arial" w:cs="Arial" w:eastAsia="Arial" w:hAnsi="Arial"/>
                <w:sz w:val="14"/>
                <w:szCs w:val="14"/>
                <w:b w:val="1"/>
                <w:bCs w:val="1"/>
                <w:color w:val="auto"/>
                <w:w w:val="91"/>
              </w:rPr>
              <w:t>Nine Months Ended September 30,</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37"/>
              <w:spacing w:after="0" w:line="129"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1"/>
                <w:szCs w:val="11"/>
                <w:color w:val="auto"/>
              </w:rPr>
            </w:pPr>
          </w:p>
        </w:tc>
        <w:tc>
          <w:tcPr>
            <w:tcW w:w="10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1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gridSpan w:val="2"/>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ind w:right="44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reclassified out of accumulated other comprehensive income associated with our cash flow derivative instruments are as follows (in millions, with amounts in parentheses representing debits to the statement of operations classification):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8"/>
          </w:tcPr>
          <w:p>
            <w:pPr>
              <w:ind w:left="420"/>
              <w:spacing w:after="0"/>
              <w:rPr>
                <w:sz w:val="20"/>
                <w:szCs w:val="20"/>
                <w:color w:val="auto"/>
              </w:rPr>
            </w:pPr>
            <w:r>
              <w:rPr>
                <w:rFonts w:ascii="Arial" w:cs="Arial" w:eastAsia="Arial" w:hAnsi="Arial"/>
                <w:sz w:val="14"/>
                <w:szCs w:val="14"/>
                <w:b w:val="1"/>
                <w:bCs w:val="1"/>
                <w:color w:val="auto"/>
              </w:rPr>
              <w:t>Amount Reclassified from</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8"/>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Accumulated Other Comprehensive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6"/>
          </w:tcPr>
          <w:p>
            <w:pPr>
              <w:jc w:val="center"/>
              <w:ind w:right="552"/>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4"/>
          </w:tcPr>
          <w:p>
            <w:pPr>
              <w:jc w:val="right"/>
              <w:ind w:right="115"/>
              <w:spacing w:after="0" w:line="129" w:lineRule="exact"/>
              <w:rPr>
                <w:sz w:val="20"/>
                <w:szCs w:val="20"/>
                <w:color w:val="auto"/>
              </w:rPr>
            </w:pPr>
            <w:r>
              <w:rPr>
                <w:rFonts w:ascii="Arial" w:cs="Arial" w:eastAsia="Arial" w:hAnsi="Arial"/>
                <w:sz w:val="14"/>
                <w:szCs w:val="14"/>
                <w:b w:val="1"/>
                <w:bCs w:val="1"/>
                <w:color w:val="auto"/>
                <w:w w:val="94"/>
              </w:rPr>
              <w:t>Nine Months Ended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 About Accumulated Other</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218"/>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Statement of</w:t>
            </w:r>
          </w:p>
        </w:tc>
        <w:tc>
          <w:tcPr>
            <w:tcW w:w="0" w:type="dxa"/>
            <w:vAlign w:val="bottom"/>
          </w:tcPr>
          <w:p>
            <w:pPr>
              <w:spacing w:after="0"/>
              <w:rPr>
                <w:sz w:val="1"/>
                <w:szCs w:val="1"/>
                <w:color w:val="auto"/>
              </w:rPr>
            </w:pPr>
          </w:p>
        </w:tc>
      </w:tr>
      <w:tr>
        <w:trPr>
          <w:trHeight w:val="116"/>
        </w:trPr>
        <w:tc>
          <w:tcPr>
            <w:tcW w:w="5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1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Comprehensive Income Components</w:t>
            </w:r>
          </w:p>
        </w:tc>
        <w:tc>
          <w:tcPr>
            <w:tcW w:w="100" w:type="dxa"/>
            <w:vAlign w:val="bottom"/>
          </w:tcPr>
          <w:p>
            <w:pPr>
              <w:spacing w:after="0"/>
              <w:rPr>
                <w:sz w:val="14"/>
                <w:szCs w:val="14"/>
                <w:color w:val="auto"/>
              </w:rPr>
            </w:pPr>
          </w:p>
        </w:tc>
        <w:tc>
          <w:tcPr>
            <w:tcW w:w="380" w:type="dxa"/>
            <w:vAlign w:val="bottom"/>
          </w:tcPr>
          <w:p>
            <w:pPr>
              <w:jc w:val="right"/>
              <w:ind w:right="18"/>
              <w:spacing w:after="0" w:line="141"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15"/>
              <w:spacing w:after="0" w:line="141" w:lineRule="exact"/>
              <w:rPr>
                <w:sz w:val="20"/>
                <w:szCs w:val="20"/>
                <w:color w:val="auto"/>
              </w:rPr>
            </w:pPr>
            <w:r>
              <w:rPr>
                <w:rFonts w:ascii="Arial" w:cs="Arial" w:eastAsia="Arial" w:hAnsi="Arial"/>
                <w:sz w:val="14"/>
                <w:szCs w:val="14"/>
                <w:b w:val="1"/>
                <w:bCs w:val="1"/>
                <w:color w:val="auto"/>
                <w:w w:val="83"/>
              </w:rPr>
              <w:t>2014</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8"/>
              <w:spacing w:after="0" w:line="141" w:lineRule="exact"/>
              <w:rPr>
                <w:sz w:val="20"/>
                <w:szCs w:val="20"/>
                <w:color w:val="auto"/>
              </w:rPr>
            </w:pPr>
            <w:r>
              <w:rPr>
                <w:rFonts w:ascii="Arial" w:cs="Arial" w:eastAsia="Arial" w:hAnsi="Arial"/>
                <w:sz w:val="14"/>
                <w:szCs w:val="14"/>
                <w:b w:val="1"/>
                <w:bCs w:val="1"/>
                <w:color w:val="auto"/>
                <w:w w:val="83"/>
              </w:rPr>
              <w:t>2015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5"/>
              <w:spacing w:after="0" w:line="141"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Operations Classification</w:t>
            </w:r>
          </w:p>
        </w:tc>
        <w:tc>
          <w:tcPr>
            <w:tcW w:w="0" w:type="dxa"/>
            <w:vAlign w:val="bottom"/>
          </w:tcPr>
          <w:p>
            <w:pPr>
              <w:spacing w:after="0"/>
              <w:rPr>
                <w:sz w:val="1"/>
                <w:szCs w:val="1"/>
                <w:color w:val="auto"/>
              </w:rPr>
            </w:pPr>
          </w:p>
        </w:tc>
      </w:tr>
      <w:tr>
        <w:trPr>
          <w:trHeight w:val="20"/>
        </w:trPr>
        <w:tc>
          <w:tcPr>
            <w:tcW w:w="22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Gains and losses on cash flow hedges:</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92"/>
              <w:spacing w:after="0"/>
              <w:rPr>
                <w:sz w:val="20"/>
                <w:szCs w:val="20"/>
                <w:color w:val="auto"/>
              </w:rPr>
            </w:pPr>
            <w:r>
              <w:rPr>
                <w:rFonts w:ascii="Arial" w:cs="Arial" w:eastAsia="Arial" w:hAnsi="Arial"/>
                <w:sz w:val="18"/>
                <w:szCs w:val="18"/>
                <w:color w:val="auto"/>
              </w:rPr>
              <w:t>(3)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2"/>
            <w:vMerge w:val="restart"/>
          </w:tcPr>
          <w:p>
            <w:pPr>
              <w:ind w:left="2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share repurchases have been made in accordance with financial plans approved by our Board of Directors. We announced in February 2015, that the Board of Directors has authorized up to $1 billion in future share repurchases. Any future share repurchases pursuant to this authorization will be made at the discretion of management.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2014 and 2015, we entered into accelerated share repurchase (“ASR”) agreements as discussed below:</w:t>
      </w:r>
    </w:p>
    <w:p>
      <w:pPr>
        <w:spacing w:after="0" w:line="90"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i w:val="1"/>
          <w:iCs w:val="1"/>
          <w:color w:val="auto"/>
        </w:rPr>
        <w:t xml:space="preserve">2015 ASR Agreements </w:t>
      </w:r>
      <w:r>
        <w:rPr>
          <w:rFonts w:ascii="Arial" w:cs="Arial" w:eastAsia="Arial" w:hAnsi="Arial"/>
          <w:sz w:val="16"/>
          <w:szCs w:val="16"/>
          <w:color w:val="auto"/>
        </w:rPr>
        <w:t>— In May 2015, we entered into an ASR agreement with a financial institution to repurchase an aggregate of $300 million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beginning of the ASR repurchase period, we delivered $300 million in cash and received 4.2 million shares, which represented 70% of the shares expected to be repurchased based on then-current market prices. This agreement was completed in June 2015 and we received an additional 1.9 million shares. The final weighted average per share price for the completed ASR agreement was $49.17.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In July 2015, we entered into an ASR agreement with a financial institution to repurchase an aggregate of $300 million of our common stock. At the beginning of the ASR repurchase period, we delivered $300 million in cash and received 4.3 million shares, which represented 70% of the shares expected to be repurchased based on then-current market prices. This agreement was completed in September 2015 and we received an additional 1.6 million shares. The final weighted average per share price for the completed ASR agreement was $50.50.</w:t>
      </w:r>
    </w:p>
    <w:p>
      <w:pPr>
        <w:spacing w:after="0" w:line="32"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i w:val="1"/>
          <w:iCs w:val="1"/>
          <w:color w:val="auto"/>
        </w:rPr>
        <w:t xml:space="preserve">2014 ASR Agreements </w:t>
      </w:r>
      <w:r>
        <w:rPr>
          <w:rFonts w:ascii="Arial" w:cs="Arial" w:eastAsia="Arial" w:hAnsi="Arial"/>
          <w:sz w:val="16"/>
          <w:szCs w:val="16"/>
          <w:color w:val="auto"/>
        </w:rPr>
        <w:t>— In February 2014, the Board of Directors authorized up to $600 million in share repurchases. During the third quarter of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ASR agreements with two financial institutions to repurchase an aggregate of $600 million of our common stock. At the beginning of the ASR repurchase periods, we delivered $600 million in cash and received 9.6 million shares, which represented 70% of the shares expected to be repurchased based on then-current market prices. These agreements were completed in February 2015 and we received an additional 2.8 million shares. The final weighted average per share price for the completed ASR agreements was $48.58.</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Each ASR agreement was accounted for as two separate transactions: (i) as shares of reacquired common stock for the shares delivered to us upon effectiveness of the ASR agreements and (ii) as a forward contract indexed to our own common stock for the undelivered shares. The initial delivery of shares was included in treasury stock at cost, and resulted in an immediate reduction of the outstanding shares used to calculate the weighted-average common shares outstanding for basic and diluted earnings per share. The forward contracts indexed to our own stock met the criteria for equity classification, and these amounts were initially recorded in additional paid-in capital and reclassified to treasury stock upon completion of the ASR agreements.</w:t>
      </w:r>
    </w:p>
    <w:p>
      <w:pPr>
        <w:spacing w:after="0" w:line="15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8"/>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September 30, 2015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Redeemable preferred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200</w:t>
            </w:r>
          </w:p>
        </w:tc>
        <w:tc>
          <w:tcPr>
            <w:tcW w:w="7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110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Foreign currency derivatives</w:t>
            </w:r>
          </w:p>
        </w:tc>
        <w:tc>
          <w:tcPr>
            <w:tcW w:w="2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40" w:type="dxa"/>
            <w:vAlign w:val="bottom"/>
            <w:vMerge w:val="restart"/>
          </w:tcPr>
          <w:p>
            <w:pPr>
              <w:jc w:val="right"/>
              <w:ind w:right="312"/>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7"/>
              </w:rPr>
              <w:t>Fair Value Measurements at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86"/>
              </w:rPr>
              <w:t>December 31, 2014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20" w:type="dxa"/>
            <w:vAlign w:val="bottom"/>
          </w:tcPr>
          <w:p>
            <w:pPr>
              <w:spacing w:after="0"/>
              <w:rPr>
                <w:sz w:val="11"/>
                <w:szCs w:val="11"/>
                <w:color w:val="auto"/>
              </w:rPr>
            </w:pPr>
          </w:p>
        </w:tc>
        <w:tc>
          <w:tcPr>
            <w:tcW w:w="132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Prices in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3"/>
              </w:rPr>
              <w:t>Observable</w:t>
            </w:r>
          </w:p>
        </w:tc>
        <w:tc>
          <w:tcPr>
            <w:tcW w:w="4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4"/>
                <w:szCs w:val="14"/>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(Level 2)</w:t>
            </w:r>
          </w:p>
        </w:tc>
        <w:tc>
          <w:tcPr>
            <w:tcW w:w="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$ 1,335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$ 1,335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at December 31,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September 30, 2015 and December 31, 2014, the carrying value of our debt was approximately $9.1 billion and $9.4 billion, respectively.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estimated fair value of our debt was approximately $9.5 billion and $10.6 billion at September 30, 2015 and December 31, 2014, respectively.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September 30, 2015 with December 31, 2014 is primarily related to the net repayment of $361 million of our debt, a substantial portion of which was related to our debt refinancing as further discussed in Note 3. This refinancing resulted in a reduction of high-coupon debt and the payment of related market premiums on these notes, and the replacement of this debt with new notes with a fair value that closely approximates book value.</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September 30, 2015 and December 31, 2014.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i w:val="1"/>
          <w:iCs w:val="1"/>
          <w:color w:val="auto"/>
        </w:rPr>
        <w:t xml:space="preserve">Waste-to-Energy LLCs — </w:t>
      </w:r>
      <w:r>
        <w:rPr>
          <w:rFonts w:ascii="Arial" w:cs="Arial" w:eastAsia="Arial" w:hAnsi="Arial"/>
          <w:sz w:val="16"/>
          <w:szCs w:val="16"/>
          <w:color w:val="auto"/>
        </w:rPr>
        <w:t>In June 2000, two limited liability companies were established to purchase interests in existing leveraged lease financings at three</w:t>
      </w:r>
      <w:r>
        <w:rPr>
          <w:rFonts w:ascii="Arial" w:cs="Arial" w:eastAsia="Arial" w:hAnsi="Arial"/>
          <w:sz w:val="16"/>
          <w:szCs w:val="16"/>
          <w:i w:val="1"/>
          <w:iCs w:val="1"/>
          <w:color w:val="auto"/>
        </w:rPr>
        <w:t xml:space="preserve"> </w:t>
      </w:r>
      <w:r>
        <w:rPr>
          <w:rFonts w:ascii="Arial" w:cs="Arial" w:eastAsia="Arial" w:hAnsi="Arial"/>
          <w:sz w:val="16"/>
          <w:szCs w:val="16"/>
          <w:color w:val="auto"/>
        </w:rPr>
        <w:t>waste-to-energy facilities that we leased, operated and maintained. We initially owned a 0.5% interest in one of the LLCs (“LLC I”) and a 0.25% interest in the second LLC (“LLC II”). John Hancock Life Insurance Company (“Hancock”) owned 99.5% of LLC I and 99.75% of LLC II was owned by LLC I and the CIT Group (“CIT”). We determined that we were the primary beneficiary of the LLCs and consolidated these entities in our Condensed Consolidated Financial Statements because (i) all of the equity owners of the LLCs were considered related parties for purposes of applying this accounting guidance; (ii) the equity owners shared power over the significant activities of the LLCs and (iii) we were the entity within the related party group whose activities were most closely associated with the LLCs. During the three and nine months ended September 30, 2014, we recognized reductions in earnings of $8 million and $29 million, respectively, for Hancock’s and CIT’s noncontrolling interests in the LLCs’ earnings, which are included in our consolidated net income. The LLCs’ earnings related to the rental income generated from leasing the facilities to our subsidiaries, reduced by depreciation expense. The LLCs’ rental income was eliminated in the WM’s consolidation.</w:t>
      </w:r>
    </w:p>
    <w:p>
      <w:pPr>
        <w:spacing w:after="0" w:line="4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December 2014, we purchased the noncontrolling interests in the LLCs from Hancock and CIT in anticipation of our sale of our Wheelabrator business. The LLCs were then subsequently sold as part of the divestment. See Note 9 for further discussion of the sale of our Wheelabrator business.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2011, we acquired a noncontrolling interest in a limited liability company established to invest in and manage a</w:t>
      </w:r>
      <w:r>
        <w:rPr>
          <w:rFonts w:ascii="Arial" w:cs="Arial" w:eastAsia="Arial" w:hAnsi="Arial"/>
          <w:sz w:val="16"/>
          <w:szCs w:val="16"/>
          <w:i w:val="1"/>
          <w:iCs w:val="1"/>
          <w:color w:val="auto"/>
        </w:rPr>
        <w:t xml:space="preserve"> </w:t>
      </w:r>
      <w:r>
        <w:rPr>
          <w:rFonts w:ascii="Arial" w:cs="Arial" w:eastAsia="Arial" w:hAnsi="Arial"/>
          <w:sz w:val="16"/>
          <w:szCs w:val="16"/>
          <w:color w:val="auto"/>
        </w:rPr>
        <w:t>refined coal facility. Along with the other equity investor, we support the operations of the entity in exchange for a pro-rata share of the tax credits it generates. Our initial consideration for this investment consisted of a cash payment of $48 million. As of September 30, 2015 and December 31, 2014, our investment balance was $30 million and $32 million, respectively, representing our current maximum pre-tax exposure to loss. Under the terms and conditions of the transaction, we do not believe that we have any material exposure to loss. Required capital contributions commenced in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2010,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September 30, 2015 and December 31, 2014, our investment balance was $87 million and $104 million, respectively, and our debt balance was $86 million and $104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$91 million at September 30, 2015 and $129 million at December 31, 2014. The decrease is primarily due to the closure of certain trust and escrow accounts which were converted to other forms of financial assurance.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Sheets, as appropriate. Our investments and receivables related to these trusts had an aggregate carrying value of $99 million and $113 million as of September 30, 2015 and December 31, 2014, respectively.</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or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(44,103)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7,258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18,667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(44,103)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Due to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7,112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(7,230)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(7,230)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5,235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18,241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18,632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(36,873)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5,235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18,241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(36,873)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18,667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(44,103)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17,312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17,782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(41,839)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17,816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(41,839)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9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to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6,703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12,736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(35,094)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17,805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(35,094)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17,816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(41,839)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Three Months Ended September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378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306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381</w:t>
            </w:r>
          </w:p>
        </w:tc>
        <w:tc>
          <w:tcPr>
            <w:tcW w:w="5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720" w:type="dxa"/>
            <w:vAlign w:val="bottom"/>
            <w:gridSpan w:val="10"/>
          </w:tcPr>
          <w:p>
            <w:pPr>
              <w:ind w:left="4140"/>
              <w:spacing w:after="0"/>
              <w:rPr>
                <w:sz w:val="20"/>
                <w:szCs w:val="20"/>
                <w:color w:val="auto"/>
              </w:rPr>
            </w:pPr>
            <w:r>
              <w:rPr>
                <w:rFonts w:ascii="Arial" w:cs="Arial" w:eastAsia="Arial" w:hAnsi="Arial"/>
                <w:sz w:val="18"/>
                <w:szCs w:val="18"/>
                <w:b w:val="1"/>
                <w:bCs w:val="1"/>
                <w:color w:val="auto"/>
              </w:rPr>
              <w:t>Three Months Ended September 30, 2014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WM</w:t>
            </w:r>
          </w:p>
        </w:tc>
        <w:tc>
          <w:tcPr>
            <w:tcW w:w="8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3"/>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6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929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203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1,458</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 (loss)</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480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820" w:type="dxa"/>
            <w:vAlign w:val="bottom"/>
            <w:gridSpan w:val="2"/>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$ 480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6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971</w:t>
            </w:r>
          </w:p>
        </w:tc>
        <w:tc>
          <w:tcPr>
            <w:tcW w:w="6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7720" w:type="dxa"/>
            <w:vAlign w:val="bottom"/>
            <w:gridSpan w:val="13"/>
          </w:tcPr>
          <w:p>
            <w:pPr>
              <w:ind w:left="4180"/>
              <w:spacing w:after="0"/>
              <w:rPr>
                <w:sz w:val="20"/>
                <w:szCs w:val="20"/>
                <w:color w:val="auto"/>
              </w:rPr>
            </w:pPr>
            <w:r>
              <w:rPr>
                <w:rFonts w:ascii="Arial" w:cs="Arial" w:eastAsia="Arial" w:hAnsi="Arial"/>
                <w:sz w:val="18"/>
                <w:szCs w:val="18"/>
                <w:b w:val="1"/>
                <w:bCs w:val="1"/>
                <w:color w:val="auto"/>
              </w:rPr>
              <w:t>Nine Months Ended September 30, 2014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74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Holdings</w:t>
            </w:r>
          </w:p>
        </w:tc>
        <w:tc>
          <w:tcPr>
            <w:tcW w:w="15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6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74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7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gridSpan w:val="4"/>
          </w:tcPr>
          <w:p>
            <w:pPr>
              <w:jc w:val="right"/>
              <w:ind w:right="11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Non-Guarantor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0"/>
              </w:rPr>
              <w:t>Holdings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Subsidiaries</w:t>
            </w:r>
          </w:p>
        </w:tc>
        <w:tc>
          <w:tcPr>
            <w:tcW w:w="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Three Months Ended September 30, 2015</w:t>
            </w: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$336</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378</w:t>
            </w:r>
          </w:p>
        </w:tc>
        <w:tc>
          <w:tcPr>
            <w:tcW w:w="720" w:type="dxa"/>
            <w:vAlign w:val="bottom"/>
            <w:gridSpan w:val="3"/>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60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(759)</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w w:val="92"/>
              </w:rPr>
              <w:t>Comprehensive income (loss) attributable to Waste Management, Inc.</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4"/>
            <w:vMerge w:val="continue"/>
          </w:tcPr>
          <w:p>
            <w:pPr>
              <w:spacing w:after="0"/>
              <w:rPr>
                <w:sz w:val="19"/>
                <w:szCs w:val="19"/>
                <w:color w:val="auto"/>
              </w:rPr>
            </w:pPr>
          </w:p>
        </w:tc>
        <w:tc>
          <w:tcPr>
            <w:tcW w:w="320" w:type="dxa"/>
            <w:vAlign w:val="bottom"/>
            <w:gridSpan w:val="2"/>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336</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378</w:t>
            </w:r>
          </w:p>
        </w:tc>
        <w:tc>
          <w:tcPr>
            <w:tcW w:w="720" w:type="dxa"/>
            <w:vAlign w:val="bottom"/>
            <w:gridSpan w:val="3"/>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c>
          <w:tcPr>
            <w:tcW w:w="6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(759)</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Three Months Ended September 30, 2014</w:t>
            </w:r>
          </w:p>
        </w:tc>
        <w:tc>
          <w:tcPr>
            <w:tcW w:w="20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$271</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324</w:t>
            </w:r>
          </w:p>
        </w:tc>
        <w:tc>
          <w:tcPr>
            <w:tcW w:w="720" w:type="dxa"/>
            <w:vAlign w:val="bottom"/>
            <w:gridSpan w:val="3"/>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(653)</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w w:val="92"/>
              </w:rPr>
              <w:t>Comprehensive income (loss) attributable to Waste Management, Inc.</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4"/>
            <w:vMerge w:val="continue"/>
          </w:tcPr>
          <w:p>
            <w:pPr>
              <w:spacing w:after="0"/>
              <w:rPr>
                <w:sz w:val="19"/>
                <w:szCs w:val="19"/>
                <w:color w:val="auto"/>
              </w:rPr>
            </w:pPr>
          </w:p>
        </w:tc>
        <w:tc>
          <w:tcPr>
            <w:tcW w:w="320" w:type="dxa"/>
            <w:vAlign w:val="bottom"/>
            <w:gridSpan w:val="2"/>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271</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324</w:t>
            </w:r>
          </w:p>
        </w:tc>
        <w:tc>
          <w:tcPr>
            <w:tcW w:w="720" w:type="dxa"/>
            <w:vAlign w:val="bottom"/>
            <w:gridSpan w:val="3"/>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6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(653)</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WM</w:t>
            </w:r>
          </w:p>
        </w:tc>
        <w:tc>
          <w:tcPr>
            <w:tcW w:w="600" w:type="dxa"/>
            <w:vAlign w:val="bottom"/>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86"/>
              </w:rPr>
              <w:t>Holdings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1"/>
              </w:rPr>
              <w:t>Subsidiaries</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Nine Months Ended September 30, 2015</w:t>
            </w:r>
          </w:p>
        </w:tc>
        <w:tc>
          <w:tcPr>
            <w:tcW w:w="2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929</w:t>
            </w: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849</w:t>
            </w:r>
          </w:p>
        </w:tc>
        <w:tc>
          <w:tcPr>
            <w:tcW w:w="6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(1,900)</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5180" w:type="dxa"/>
            <w:vAlign w:val="bottom"/>
            <w:gridSpan w:val="4"/>
          </w:tcPr>
          <w:p>
            <w:pPr>
              <w:spacing w:after="0"/>
              <w:rPr>
                <w:sz w:val="20"/>
                <w:szCs w:val="20"/>
                <w:color w:val="auto"/>
              </w:rPr>
            </w:pPr>
            <w:r>
              <w:rPr>
                <w:rFonts w:ascii="Arial" w:cs="Arial" w:eastAsia="Arial" w:hAnsi="Arial"/>
                <w:sz w:val="18"/>
                <w:szCs w:val="18"/>
                <w:color w:val="auto"/>
                <w:w w:val="98"/>
              </w:rPr>
              <w:t>Comprehensive income (loss) attributable to Waste Management,</w:t>
            </w: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Inc.</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w:t>
            </w:r>
          </w:p>
        </w:tc>
        <w:tc>
          <w:tcPr>
            <w:tcW w:w="30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929</w:t>
            </w: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6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(1,900)</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Nine Months Ended September 30, 2014</w:t>
            </w:r>
          </w:p>
        </w:tc>
        <w:tc>
          <w:tcPr>
            <w:tcW w:w="216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867</w:t>
            </w: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803</w:t>
            </w:r>
          </w:p>
        </w:tc>
        <w:tc>
          <w:tcPr>
            <w:tcW w:w="6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(1,715)</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gridSpan w:val="4"/>
          </w:tcPr>
          <w:p>
            <w:pPr>
              <w:spacing w:after="0"/>
              <w:rPr>
                <w:sz w:val="20"/>
                <w:szCs w:val="20"/>
                <w:color w:val="auto"/>
              </w:rPr>
            </w:pPr>
            <w:r>
              <w:rPr>
                <w:rFonts w:ascii="Arial" w:cs="Arial" w:eastAsia="Arial" w:hAnsi="Arial"/>
                <w:sz w:val="18"/>
                <w:szCs w:val="18"/>
                <w:color w:val="auto"/>
                <w:w w:val="98"/>
              </w:rPr>
              <w:t>Comprehensive income (loss) attributable to Waste Management,</w:t>
            </w: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Inc.</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708</w:t>
            </w:r>
          </w:p>
        </w:tc>
        <w:tc>
          <w:tcPr>
            <w:tcW w:w="30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867</w:t>
            </w: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c>
          <w:tcPr>
            <w:tcW w:w="6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(1,715)</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WM</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929</w:t>
            </w:r>
          </w:p>
        </w:tc>
        <w:tc>
          <w:tcPr>
            <w:tcW w:w="6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970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Proceeds from divestitures of businesses and other assets (net of</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w w:val="99"/>
              </w:rPr>
              <w:t>Net receipts from restricted trust and escrow accounts and 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(1,825)</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paid on early extinguishment of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WM</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867</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880</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Proceeds from divestitures of businesses and other assets (net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divested)</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w w:val="98"/>
              </w:rPr>
              <w:t>Net receipts from restricted trust and escrow accounts and other,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2,157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(1,995)</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1,091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2014.</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2015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660" w:right="20" w:hanging="206"/>
        <w:spacing w:after="0" w:line="33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13"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06" w:right="20"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50" w:lineRule="exact"/>
        <w:rPr>
          <w:rFonts w:ascii="Arial" w:cs="Arial" w:eastAsia="Arial" w:hAnsi="Arial"/>
          <w:sz w:val="18"/>
          <w:szCs w:val="18"/>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06" w:hanging="206"/>
        <w:spacing w:after="0"/>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06" w:hanging="206"/>
        <w:spacing w:after="0" w:line="259"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06" w:hanging="206"/>
        <w:spacing w:after="0"/>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06" w:hanging="206"/>
        <w:spacing w:after="0"/>
        <w:tabs>
          <w:tab w:leader="none" w:pos="2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06" w:hanging="206"/>
        <w:spacing w:after="0" w:line="268" w:lineRule="auto"/>
        <w:tabs>
          <w:tab w:leader="none" w:pos="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06" w:hanging="206"/>
        <w:spacing w:after="0" w:line="332" w:lineRule="auto"/>
        <w:tabs>
          <w:tab w:leader="none" w:pos="2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6"/>
          </w:cols>
          <w:pgMar w:left="694" w:top="280" w:right="239" w:bottom="1440" w:gutter="0" w:footer="0" w:header="0"/>
        </w:sectPr>
      </w:pPr>
    </w:p>
    <w:bookmarkStart w:id="37" w:name="page38"/>
    <w:bookmarkEnd w:id="37"/>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completed the sale of our Wheelabrator business, which provides waste-to-energy services and manages waste-to-energy facilities and independent power production plants.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competitive advantages derived from a “best cost” structure achieved through operational improvements and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recycling operations.</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5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Customers: provide the best possible service to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Traditional Waste Business: continuously improve our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take advantage of opportunities in our current business, as well as considering attractive acquisition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Yield Management: remain focused on price leadership while considering competitive dynamics;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minimize both operating costs and selling, general &amp;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execution of our strategy through these key priorities will drive continued financial performance and leadership in a dynamic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660" w:hanging="206"/>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of $3,360 million compared with $3,602 million in the third quarter of 2014, a decrease of $242 million, or 6.7%. This decrease in revenues is attributable to (i) divestitures, which lowered revenues by $186 million, primarily due to the sale of our Wheelabrator business in December 2014; (ii) lower volumes, which decreased our revenues by $46 million; (iii) lower fuel surcharges and mandated fees of $47 million primarily due to lower year-over-year average fuel prices; (iv) foreign currency translation of $41 million related to our Canadian operations and (v) year-over-year commodity price declines, which lowered revenues by $27 million. These decreases were partially offset by positive revenue growth from yield on our collection and disposal operations of $52 million and acquisitions, which increased revenues by $53 million, primarily due to the acquisition of Deffenbaugh in March 2015;</w:t>
      </w:r>
    </w:p>
    <w:p>
      <w:pPr>
        <w:spacing w:after="0" w:line="66"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Operating expenses of $2,095 million, or 62.4% of revenues, compared with $2,299 million, or 63.8% of revenues, in the third quarter of 2014. This decrease of $204 million is attributable to (i) operating costs associated with divestitures of $113 million, primarily the sale of our Wheelabrator business; (ii) lower fuel costs of $47 million due to lower year-over-year average fuel prices; (iii) lower cost of goods sold of $26 million primarily associated with lower commodity prices and (iv) lower subcontractor expenses of $17 million primarily associated with lower volumes;</w:t>
      </w:r>
    </w:p>
    <w:p>
      <w:pPr>
        <w:spacing w:after="0" w:line="31" w:lineRule="exact"/>
        <w:rPr>
          <w:rFonts w:ascii="Arial" w:cs="Arial" w:eastAsia="Arial" w:hAnsi="Arial"/>
          <w:sz w:val="16"/>
          <w:szCs w:val="16"/>
          <w:color w:val="auto"/>
        </w:rPr>
      </w:pPr>
    </w:p>
    <w:p>
      <w:pPr>
        <w:jc w:val="both"/>
        <w:ind w:left="660" w:right="2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general and administrative expenses of $330 million, or 9.8% of revenues, compared with $377 million, or 10.5% of revenues, in the third quarter of 2014. This decrease of $47 million is driven primarily by litigation reserves recorded in the third quarter of 2014, savings associated with our August 2014 reorganization, and expenses associated with 2014 divestitures;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Income from operations of $601 million, or 17.9% of revenues, compared with $546 million or 15.2% of revenues, in the third quarter of 2014;</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expense, net decreased by $21 million, or 18.1%, from $116 million in the third quarter of 2014 to $95 in the third quarter of 2015, primarily due to the refinancing of a significant portion of our high-coupon senior notes during the first quarter of 2015; and</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$335 million, or $0.74 per diluted share, as compared with net income of $270 million, or $0.58 per diluted share in the third quarter of 2014.</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third quarter of 2014 results were affected by the following:</w:t>
      </w:r>
    </w:p>
    <w:p>
      <w:pPr>
        <w:spacing w:after="0" w:line="90" w:lineRule="exact"/>
        <w:rPr>
          <w:sz w:val="20"/>
          <w:szCs w:val="20"/>
          <w:color w:val="auto"/>
        </w:rPr>
      </w:pPr>
    </w:p>
    <w:p>
      <w:pPr>
        <w:ind w:left="6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recognition of $67 million of pre-tax restructuring charges primarily related to our August 2014 reorganization, which had a negative impact of $0.09 on our diluted earnings per share;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jc w:val="both"/>
        <w:ind w:left="660" w:hanging="206"/>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recognition of pre-tax charges aggregating $20 million comprised of (i) litigation reserves and (ii) the write down of an investment in a waste diversion technology company, partially offset by a gain on the sale of certain landfill and collection operations in our Eastern Canada Area. These items had a negative impact of $0.05 on our diluted earnings per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$ 657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$ 672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$1,972</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$ 1,811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(335)</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(307)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(781)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$ 358</w:t>
            </w:r>
          </w:p>
        </w:tc>
        <w:tc>
          <w:tcPr>
            <w:tcW w:w="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$ 418</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1,222</w:t>
            </w:r>
          </w:p>
        </w:tc>
        <w:tc>
          <w:tcPr>
            <w:tcW w:w="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1,349</w:t>
            </w: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cash flows from operating activities decreased $15 million for the three months ended September 30, 2015 to the comparable period in 2014 and increased $161 million when comparing the nine-month periods. The three- and nine-month periods both benefited from lower interest and income tax payments in the current year. Conversely, (i) the sale of our Wheelabrator business in December 2014 and (ii) a payment in the third quarter of 2015 to settle a pension fund withdrawal reduced the current year periods when compared to the same prior year periods. Although we have seen improvement in both trade accounts receivable and accounts payable, we experienced unfavorable working capital changes due to non-trade related items including income taxes and compensation related accruals. Further impacting the comparability of the nine-month periods is higher year-over-year annual incentive plan payments of approximately $65 million made in the first quarter of 2015 offset, in part, by the settlement of forward-starting swap liabilities of $36 million in the first quarter of 2014.</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decrease in proceeds from divestitures of businesses and other assets (net of cash divested) is largely driven by (i) the sale of our investment in Shanghai Environment Group (“SEG”), which was part of our Wheelabrator business, in the first quarter of 2014 for $155 million; (ii) the sale of our Puerto Rico operations and certain other collection and landfill assets in the second quarter of 2014 for proceeds of $80 million, including $65 million in cash and (iii) the sale of certain landfill and collection operations in our Eastern Canada Area in the third quarter of 2014 for $39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Deffenbaugh Disposal, Inc. </w:t>
      </w:r>
      <w:r>
        <w:rPr>
          <w:rFonts w:ascii="Arial" w:cs="Arial" w:eastAsia="Arial" w:hAnsi="Arial"/>
          <w:sz w:val="16"/>
          <w:szCs w:val="16"/>
          <w:color w:val="auto"/>
        </w:rPr>
        <w:t>— On March 26, 2015, we acquired Deffenbaugh Disposal, Inc. (“Deffenbaugh”), one of the largest privately owned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disposal firms in the Midwest, for total consideration of $416 million ($413 million cash), inclusive of amounts for estimated working capital.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Deffenbaugh’s assets include five collection operations, seven transfer stations, two recycling facilities, one subtitle-D landfill, and one construction and demolition landfill. For the three and nine months ended September 30, 2015, Deffenbaugh recognized revenues of $44 million and $92 million, respectively, and net income (loss) of less than $1 million for both the three and nine months ended September 30, 2015, which are included in our Condensed Consolidated Statements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Wheelabrator Business </w:t>
      </w:r>
      <w:r>
        <w:rPr>
          <w:rFonts w:ascii="Arial" w:cs="Arial" w:eastAsia="Arial" w:hAnsi="Arial"/>
          <w:sz w:val="16"/>
          <w:szCs w:val="16"/>
          <w:color w:val="auto"/>
        </w:rPr>
        <w:t>— On December 19, 2014, we sold our Wheelabrator business to an affiliate of Energy Capital Partners and received cash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of $1.95 billion, net of cash divested, subject to certain post-closing adjustments. We recognized a gain of $519 million on this sale in the fourth quarter of 2014. For the nine months ended September 30, 2015, net adjustments to this gain were immaterial on a pre-tax basis.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3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In addition to the divestiture of our Wheelabrator business in 2014, we also divested our Puerto Rico operations and certain other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assets in the second quarter of 2014, as well as certain landfill and collection operations in our Eastern Canada Area in the third quarter of 2014.</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total, these divested businesses and assets provided $0.05 and $0.11 of earnings per diluted share for the three and nine months ended September 30, 2014,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2014.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geographic Areas. Our prior year data includes results of our Wheelabrator segment, which was divested in December 2014. We also provide additional services that are not managed through our Solid Waste business, including Strategic Business Solutions (“WMSBS”), Energy and Environmental Services, recycling brokerage services, landfill gas-to-energy services and expanded service offerings and solutions. In addition, we offer portable self-storage services through a joint venture;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portable restroom servicing under the name Port-o-Let</w:t>
      </w:r>
      <w:r>
        <w:rPr>
          <w:rFonts w:ascii="Arial" w:cs="Arial" w:eastAsia="Arial" w:hAnsi="Arial"/>
          <w:sz w:val="10"/>
          <w:szCs w:val="10"/>
          <w:color w:val="auto"/>
        </w:rPr>
        <w:t>®</w:t>
      </w:r>
      <w:r>
        <w:rPr>
          <w:rFonts w:ascii="Arial" w:cs="Arial" w:eastAsia="Arial" w:hAnsi="Arial"/>
          <w:sz w:val="16"/>
          <w:szCs w:val="16"/>
          <w:color w:val="auto"/>
        </w:rPr>
        <w:t>;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895</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$ 2,590</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1,662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w:t>
            </w:r>
          </w:p>
        </w:tc>
      </w:tr>
      <w:tr>
        <w:trPr>
          <w:trHeight w:val="223"/>
        </w:trPr>
        <w:tc>
          <w:tcPr>
            <w:tcW w:w="6720" w:type="dxa"/>
            <w:vAlign w:val="bottom"/>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9"/>
                <w:szCs w:val="19"/>
                <w:color w:val="auto"/>
              </w:rPr>
            </w:pPr>
          </w:p>
        </w:tc>
      </w:tr>
      <w:tr>
        <w:trPr>
          <w:trHeight w:val="216"/>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3,432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10,112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205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Intercompany</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(636)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(1,858)</w:t>
            </w: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3,360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3,602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$ 9,715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10,559</w:t>
            </w: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3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853</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$ 2,498</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586</w:t>
            </w:r>
          </w:p>
        </w:tc>
        <w:tc>
          <w:tcPr>
            <w:tcW w:w="560" w:type="dxa"/>
            <w:vAlign w:val="bottom"/>
          </w:tcPr>
          <w:p>
            <w:pPr>
              <w:jc w:val="right"/>
              <w:spacing w:after="0"/>
              <w:rPr>
                <w:sz w:val="20"/>
                <w:szCs w:val="20"/>
                <w:color w:val="auto"/>
              </w:rPr>
            </w:pPr>
            <w:r>
              <w:rPr>
                <w:rFonts w:ascii="Arial" w:cs="Arial" w:eastAsia="Arial" w:hAnsi="Arial"/>
                <w:sz w:val="18"/>
                <w:szCs w:val="18"/>
                <w:color w:val="auto"/>
              </w:rPr>
              <w:t>1,685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660"/>
              <w:spacing w:after="0"/>
              <w:rPr>
                <w:sz w:val="20"/>
                <w:szCs w:val="20"/>
                <w:color w:val="auto"/>
              </w:rPr>
            </w:pPr>
            <w:r>
              <w:rPr>
                <w:rFonts w:ascii="Arial" w:cs="Arial" w:eastAsia="Arial" w:hAnsi="Arial"/>
                <w:sz w:val="18"/>
                <w:szCs w:val="18"/>
                <w:color w:val="auto"/>
              </w:rPr>
              <w:t>Total collection</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2,165</w:t>
            </w:r>
          </w:p>
        </w:tc>
        <w:tc>
          <w:tcPr>
            <w:tcW w:w="560" w:type="dxa"/>
            <w:vAlign w:val="bottom"/>
          </w:tcPr>
          <w:p>
            <w:pPr>
              <w:jc w:val="right"/>
              <w:spacing w:after="0"/>
              <w:rPr>
                <w:sz w:val="20"/>
                <w:szCs w:val="20"/>
                <w:color w:val="auto"/>
              </w:rPr>
            </w:pPr>
            <w:r>
              <w:rPr>
                <w:rFonts w:ascii="Arial" w:cs="Arial" w:eastAsia="Arial" w:hAnsi="Arial"/>
                <w:sz w:val="18"/>
                <w:szCs w:val="18"/>
                <w:color w:val="auto"/>
              </w:rPr>
              <w:t>6,315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Transfer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354</w:t>
            </w:r>
          </w:p>
        </w:tc>
        <w:tc>
          <w:tcPr>
            <w:tcW w:w="56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Recycling</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351</w:t>
            </w:r>
          </w:p>
        </w:tc>
        <w:tc>
          <w:tcPr>
            <w:tcW w:w="560" w:type="dxa"/>
            <w:vAlign w:val="bottom"/>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Intercompany</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(636)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(1,858)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3,360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3,602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$ 9,715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10,559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60" w:type="dxa"/>
            <w:vAlign w:val="bottom"/>
            <w:vMerge w:val="restart"/>
          </w:tcPr>
          <w:p>
            <w:pPr>
              <w:jc w:val="right"/>
              <w:ind w:right="1292"/>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87"/>
              </w:rPr>
              <w:t>Period-to-Period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4"/>
              </w:rPr>
              <w:t>2015 vs. 2014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gridSpan w:val="2"/>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5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(185)</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60"/>
              <w:spacing w:after="0"/>
              <w:rPr>
                <w:sz w:val="20"/>
                <w:szCs w:val="20"/>
                <w:color w:val="auto"/>
              </w:rPr>
            </w:pPr>
            <w:r>
              <w:rPr>
                <w:rFonts w:ascii="Arial" w:cs="Arial" w:eastAsia="Arial" w:hAnsi="Arial"/>
                <w:sz w:val="18"/>
                <w:szCs w:val="18"/>
                <w:color w:val="auto"/>
              </w:rPr>
              <w:t>Subtotal (excluding divestitures)</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(245)</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(186)</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(599)</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(242)</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(844)</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($3,416 million and $9,960 million for the three- and nine-month periods, respectively).</w:t>
      </w:r>
    </w:p>
    <w:p>
      <w:pPr>
        <w:jc w:val="both"/>
        <w:ind w:left="4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9"/>
              </w:rPr>
              <w:t>Period-to-Period</w:t>
            </w:r>
          </w:p>
        </w:tc>
        <w:tc>
          <w:tcPr>
            <w:tcW w:w="12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4"/>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20" w:type="dxa"/>
            <w:vAlign w:val="bottom"/>
          </w:tcPr>
          <w:p>
            <w:pPr>
              <w:spacing w:after="0"/>
              <w:rPr>
                <w:sz w:val="12"/>
                <w:szCs w:val="12"/>
                <w:color w:val="auto"/>
              </w:rPr>
            </w:pPr>
          </w:p>
        </w:tc>
        <w:tc>
          <w:tcPr>
            <w:tcW w:w="19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4"/>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2"/>
                <w:szCs w:val="12"/>
                <w:color w:val="auto"/>
              </w:rPr>
            </w:pPr>
          </w:p>
        </w:tc>
        <w:tc>
          <w:tcPr>
            <w:tcW w:w="19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4"/>
              </w:rPr>
              <w:t>2015 vs. 2014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Related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2"/>
              </w:rPr>
              <w:t>Business(i)</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Business(i)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212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32"/>
              <w:spacing w:after="0"/>
              <w:rPr>
                <w:sz w:val="20"/>
                <w:szCs w:val="20"/>
                <w:color w:val="auto"/>
              </w:rPr>
            </w:pPr>
            <w:r>
              <w:rPr>
                <w:rFonts w:ascii="Arial" w:cs="Arial" w:eastAsia="Arial" w:hAnsi="Arial"/>
                <w:sz w:val="18"/>
                <w:szCs w:val="18"/>
                <w:color w:val="auto"/>
              </w:rPr>
              <w:t>155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(27)</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5"/>
              </w:rPr>
              <w:t>(109)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Fuel surcharges and mandated fees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572"/>
              <w:spacing w:after="0"/>
              <w:rPr>
                <w:sz w:val="20"/>
                <w:szCs w:val="20"/>
                <w:color w:val="auto"/>
              </w:rPr>
            </w:pPr>
            <w:r>
              <w:rPr>
                <w:rFonts w:ascii="Arial" w:cs="Arial" w:eastAsia="Arial" w:hAnsi="Arial"/>
                <w:sz w:val="18"/>
                <w:szCs w:val="18"/>
                <w:color w:val="auto"/>
              </w:rPr>
              <w:t>(47)</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0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(128)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vMerge w:val="restart"/>
          </w:tcPr>
          <w:p>
            <w:pPr>
              <w:jc w:val="right"/>
              <w:ind w:right="332"/>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jc w:val="both"/>
        <w:ind w:left="900" w:hanging="446"/>
        <w:spacing w:after="0" w:line="305"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943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3610" cy="8890"/>
                    </a:xfrm>
                    <a:prstGeom prst="rect">
                      <a:avLst/>
                    </a:prstGeom>
                    <a:noFill/>
                  </pic:spPr>
                </pic:pic>
              </a:graphicData>
            </a:graphic>
          </wp:anchor>
        </w:drawing>
        <w:t>Calculated by dividing the increase or decrease for the current period by the prior period’s related business revenue, adjusted to exclude the impacts of divestitures for the current period. The table below summarizes the related business revenues for the three and nine months ended September 30,</w:t>
      </w:r>
    </w:p>
    <w:p>
      <w:pPr>
        <w:ind w:left="900"/>
        <w:spacing w:after="0"/>
        <w:rPr>
          <w:rFonts w:ascii="Arial" w:cs="Arial" w:eastAsia="Arial" w:hAnsi="Arial"/>
          <w:sz w:val="15"/>
          <w:szCs w:val="15"/>
          <w:color w:val="auto"/>
        </w:rPr>
      </w:pPr>
      <w:r>
        <w:rPr>
          <w:rFonts w:ascii="Arial" w:cs="Arial" w:eastAsia="Arial" w:hAnsi="Arial"/>
          <w:sz w:val="18"/>
          <w:szCs w:val="18"/>
          <w:color w:val="auto"/>
        </w:rPr>
        <w:t>2014 adjusted to exclude the impacts of divestitures (in millions):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Denominator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0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w w:val="98"/>
              </w:rPr>
              <w:t>Ended</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w:t>
            </w:r>
          </w:p>
        </w:tc>
        <w:tc>
          <w:tcPr>
            <w:tcW w:w="19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5"/>
              </w:rPr>
              <w:t>September 30</w:t>
            </w: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18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2,902</w:t>
            </w:r>
          </w:p>
        </w:tc>
        <w:tc>
          <w:tcPr>
            <w:tcW w:w="11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Fuel surcharges and mandated fees</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Company</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revenues decreased $242 million, or 6.7%, and $844 million, or 8.0%, for the three and nine months ended September 30, 2015, respectively, as compared with the prior year period. Our revenue declines have been driven by (i) divestitures, primarily the sale of our Wheelabrator business in December 2014, our Puerto Rico operations in the second quarter of 2014, and certain landfill and collection operations in our Eastern Canada Area in the third quarter of 2014; (ii) lower volumes; (iii) lower recyclable commodity prices; (iv) lower revenues from our fuel surcharge program and (v) foreign currency translation, which affects revenues from our Canadian operations. Partially offsetting these revenue declines were (i) revenue growth from yield on our collection and disposal operations and (ii) revenue from acquired operations.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i w:val="1"/>
          <w:iCs w:val="1"/>
          <w:color w:val="auto"/>
        </w:rPr>
        <w:t xml:space="preserve">Collection and disposal average yield </w:t>
      </w:r>
      <w:r>
        <w:rPr>
          <w:rFonts w:ascii="Arial" w:cs="Arial" w:eastAsia="Arial" w:hAnsi="Arial"/>
          <w:sz w:val="15"/>
          <w:szCs w:val="15"/>
          <w:color w:val="auto"/>
        </w:rPr>
        <w:t>— This measure reflects the effect on our revenue from the pricing activities of our collection, transfer and landfill</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 Revenue growth from collection and disposal average yield was $52 million, or 1.8%, and $155 million, or 1.8%, for the three and nine months ended September 30, 2015, respectively, as compared with the prior year period.</w:t>
      </w:r>
    </w:p>
    <w:p>
      <w:pPr>
        <w:spacing w:after="0" w:line="1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year-over-year yield growth was driven largely by our continued focus on our pricing strategy with lower rollbacks and our improving new business pricing. We experienced growth in all three of our principal collection lines of business as follows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7"/>
              </w:rPr>
              <w:t>Period-to-Period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4"/>
              </w:rPr>
              <w:t>2015 vs. 2014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Related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30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Industrial</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3.0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1.8</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31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960" w:type="dxa"/>
            <w:vAlign w:val="bottom"/>
            <w:vMerge w:val="restart"/>
          </w:tcPr>
          <w:p>
            <w:pPr>
              <w:jc w:val="right"/>
              <w:ind w:right="552"/>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drivers affecting the current period average yield include:</w:t>
      </w:r>
    </w:p>
    <w:p>
      <w:pPr>
        <w:spacing w:after="0" w:line="90" w:lineRule="exact"/>
        <w:rPr>
          <w:sz w:val="20"/>
          <w:szCs w:val="20"/>
          <w:color w:val="auto"/>
        </w:rPr>
      </w:pPr>
    </w:p>
    <w:p>
      <w:pPr>
        <w:jc w:val="both"/>
        <w:ind w:left="660" w:hanging="206"/>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fee instituted to help us recover a portion of the significant regulatory costs and fees, such as host fees and disposal taxes, which have not been recouped by our pricing programs. This fee was relatively flat on a year-over-year basis for the quarter but contributed approximately $17 million to our revenue growth for the nine months ended September 30, 2015, principally in our collection business, with the most significant impact in our commercial line of business.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our residential line of business, we continue to focus on bidding on contracts that improve our yield performance and increase our overall returns.</w:t>
      </w:r>
    </w:p>
    <w:p>
      <w:pPr>
        <w:spacing w:after="0" w:line="113"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landfill and transfer station operations also contributed approximately $5 million and $13 million to our year-over-year yield growth for the three and nine months ended September 30, 2015, respectively, driven by our focus on strategically adding new customers with improved pricing and to a lesser extent, overall improving market conditions.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Decreases in the prices of the recycling commodities we sell resulted in revenue declines of $27 million and $109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nine months ended September 30, 2015, respectively, compared with the same prior year periods. Our year-over-year average commodity prices declined approximately 10% and 12% for the three and nine months ended September 30, 2015, respectively, as compared with the same prior year periods.</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Fuel surcharges and mandated fees —</w:t>
      </w:r>
      <w:r>
        <w:rPr>
          <w:rFonts w:ascii="Arial" w:cs="Arial" w:eastAsia="Arial" w:hAnsi="Arial"/>
          <w:sz w:val="16"/>
          <w:szCs w:val="16"/>
          <w:color w:val="auto"/>
        </w:rPr>
        <w:t>These revenues, which are predominantly generated by our fuel surcharge program, decreased $47 million and $128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and nine months ended September 30, 2015. These revenues fluctuate in response to changes in the national average prices for diesel fuel on which our surcharge is based. We experienced fuel price declines of approximately 30% for the three and nine months ended September 30, 2015, as compared with the prior year period, which caused a decline in our fuel surcharge revenues. The mandated fees included in this line item are primarily related to pass-through fees and taxes assessed by various state, county and municipal government agencies at our landfills and transfer stations.</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Declines in our volumes caused our revenue to decrease $46 million, or 1.4%, and $185 million, or 1.9%,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respectively, as compared with the prior year periods.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Drivers affecting the comparability of volumes for the periods presented are as follows:</w:t>
      </w:r>
    </w:p>
    <w:p>
      <w:pPr>
        <w:spacing w:after="0" w:line="90" w:lineRule="exact"/>
        <w:rPr>
          <w:sz w:val="20"/>
          <w:szCs w:val="20"/>
          <w:color w:val="auto"/>
        </w:rPr>
      </w:pPr>
    </w:p>
    <w:p>
      <w:pPr>
        <w:jc w:val="both"/>
        <w:ind w:left="660" w:hanging="206"/>
        <w:spacing w:after="0" w:line="294"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collection business is the main driver of our volume decline. Our volume fluctuations are generally attributable to economic conditions, our pricing strategies, competition and diversion of waste by customers. As a result of both the very competitive environment and our focus on reasonable returns, we continue to face challenges to keep existing contracts and to win new contracts, particularly in our residential business. However, improving market conditions, particularly in the latter part of 2015, have led to revenue growth due to volumes in our industrial line of business and have resulted in volume declines lessening in our commercial and residential lines of businesses.</w:t>
      </w:r>
    </w:p>
    <w:p>
      <w:pPr>
        <w:spacing w:after="0" w:line="34"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experienced revenue declines associated with the loss of certain large accounts in our WMSBS organization for the nine months ended September 30, 2015. However, the volume decline has continued to lessen sequentially.</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experienced revenue declines due to lower volumes in our material recovery facilities primarily driven by the rationalization of our underperforming assets and our strategy not to renew municipal contracts that do not reflect current market conditions.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experienced revenue declines due to lower volumes in our ancillary services for the three and nine months ended September 30, 2015, primarily driven by our oil and gas producing properties.</w:t>
      </w:r>
    </w:p>
    <w:p>
      <w:pPr>
        <w:spacing w:after="0" w:line="5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Revenue increases as a result of strategically adding new customers and improving market conditions have favorably affected our landfill and transfer businesses. We have experienced higher landfill and transfer revenues principally driven by increased municipal solid waste volumes.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Acquisitions and Divestitures </w:t>
      </w:r>
      <w:r>
        <w:rPr>
          <w:rFonts w:ascii="Arial" w:cs="Arial" w:eastAsia="Arial" w:hAnsi="Arial"/>
          <w:sz w:val="16"/>
          <w:szCs w:val="16"/>
          <w:color w:val="auto"/>
        </w:rPr>
        <w:t>— Revenues increased $53 million and $115 million for the three and nine months ended September 30, 2015,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with the prior year periods, due to acquisitions. This increase was principally associated with the March 26, 2015 acquisition of Deffenbaugh. These revenues were more than offset by revenue decreases of $186 million and $599 million for the three and nine months ended September 30, 2015, respectively, primarily due to the divestiture of our Wheelabrator business in December 2014 and the divestiture of certain landfill and collection operations in our Eastern Canada Area in the third quarter of 2014. The nine months ended September 30, 2015 was also impacted by the divestiture of our Puerto Rico operations and certain other collection and landfill assets in the second quarter of 2014.</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operating expenses decreased by $204 million, or 8.9%, and $628 million, or 9.2%, for the three and nine months ended September 30, 2015, respectively, as compared with the three and nine months ended September 30, 2014. Our operating expenses as a percentage of revenues decreased to 62.4% in the third quarter of 2015 from 63.8% in the third quarter of 2014, and decreased to 63.9% for the nine months ended September 30, 2015 from 64.7% for the nine months ended September 30, 2014.</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nine months ended September 30 (dollars in millions), with significant changes in our operating expenses discussed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Period-to-</w:t>
            </w:r>
          </w:p>
        </w:tc>
        <w:tc>
          <w:tcPr>
            <w:tcW w:w="1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72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197"/>
              <w:spacing w:after="0" w:line="142" w:lineRule="exact"/>
              <w:rPr>
                <w:sz w:val="20"/>
                <w:szCs w:val="20"/>
                <w:color w:val="auto"/>
              </w:rPr>
            </w:pPr>
            <w:r>
              <w:rPr>
                <w:rFonts w:ascii="Arial" w:cs="Arial" w:eastAsia="Arial" w:hAnsi="Arial"/>
                <w:sz w:val="14"/>
                <w:szCs w:val="14"/>
                <w:b w:val="1"/>
                <w:bCs w:val="1"/>
                <w:color w:val="auto"/>
                <w:w w:val="85"/>
              </w:rPr>
              <w:t>Change</w:t>
            </w: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704</w:t>
            </w: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841</w:t>
            </w:r>
          </w:p>
        </w:tc>
        <w:tc>
          <w:tcPr>
            <w:tcW w:w="500" w:type="dxa"/>
            <w:vAlign w:val="bottom"/>
          </w:tcPr>
          <w:p>
            <w:pPr>
              <w:jc w:val="right"/>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(18.5)</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(33.8)</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296</w:t>
            </w: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(10.0)</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191</w:t>
            </w: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(13.3)</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356</w:t>
            </w:r>
          </w:p>
        </w:tc>
        <w:tc>
          <w:tcPr>
            <w:tcW w:w="500" w:type="dxa"/>
            <w:vAlign w:val="bottom"/>
          </w:tcPr>
          <w:p>
            <w:pPr>
              <w:jc w:val="right"/>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2,299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(204)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During 2014, we divested our Wheelabrator business, our Puerto Rico operations, and certain landfill and collection operations in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Eastern Canada Area. The following table lists the operating expense categories in which these divestitures have had a material impact (in millions):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Maintenance and repairs</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Labor and related benefits</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Costs of goods sold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Transfer and disposal cost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Period-to-Period</w:t>
      </w:r>
    </w:p>
    <w:p>
      <w:pPr>
        <w:spacing w:after="0" w:line="38" w:lineRule="exact"/>
        <w:rPr>
          <w:sz w:val="20"/>
          <w:szCs w:val="20"/>
          <w:color w:val="auto"/>
        </w:rPr>
      </w:pPr>
    </w:p>
    <w:p>
      <w:pPr>
        <w:ind w:left="81"/>
        <w:spacing w:after="0"/>
        <w:rPr>
          <w:sz w:val="20"/>
          <w:szCs w:val="20"/>
          <w:color w:val="auto"/>
        </w:rPr>
      </w:pPr>
      <w:r>
        <w:rPr>
          <w:rFonts w:ascii="Arial" w:cs="Arial" w:eastAsia="Arial" w:hAnsi="Arial"/>
          <w:sz w:val="12"/>
          <w:szCs w:val="12"/>
          <w:b w:val="1"/>
          <w:bCs w:val="1"/>
          <w:color w:val="auto"/>
        </w:rPr>
        <w:t>Change for the</w:t>
      </w:r>
    </w:p>
    <w:p>
      <w:pPr>
        <w:spacing w:after="0" w:line="12"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Three Months</w:t>
      </w:r>
    </w:p>
    <w:p>
      <w:pPr>
        <w:jc w:val="center"/>
        <w:ind w:right="579"/>
        <w:spacing w:after="0" w:line="221" w:lineRule="auto"/>
        <w:rPr>
          <w:sz w:val="20"/>
          <w:szCs w:val="20"/>
          <w:color w:val="auto"/>
        </w:rPr>
      </w:pPr>
      <w:r>
        <w:rPr>
          <w:rFonts w:ascii="Arial" w:cs="Arial" w:eastAsia="Arial" w:hAnsi="Arial"/>
          <w:sz w:val="14"/>
          <w:szCs w:val="14"/>
          <w:b w:val="1"/>
          <w:bCs w:val="1"/>
          <w:color w:val="auto"/>
        </w:rPr>
        <w:t>Ended</w:t>
      </w:r>
    </w:p>
    <w:p>
      <w:pPr>
        <w:jc w:val="center"/>
        <w:ind w:right="579"/>
        <w:spacing w:after="0" w:line="221" w:lineRule="auto"/>
        <w:rPr>
          <w:sz w:val="20"/>
          <w:szCs w:val="20"/>
          <w:color w:val="auto"/>
        </w:rPr>
      </w:pPr>
      <w:r>
        <w:rPr>
          <w:rFonts w:ascii="Arial" w:cs="Arial" w:eastAsia="Arial" w:hAnsi="Arial"/>
          <w:sz w:val="14"/>
          <w:szCs w:val="14"/>
          <w:b w:val="1"/>
          <w:bCs w:val="1"/>
          <w:color w:val="auto"/>
        </w:rPr>
        <w:t>September 30,</w:t>
      </w:r>
    </w:p>
    <w:p>
      <w:pPr>
        <w:jc w:val="center"/>
        <w:ind w:right="579"/>
        <w:spacing w:after="0"/>
        <w:rPr>
          <w:sz w:val="20"/>
          <w:szCs w:val="20"/>
          <w:color w:val="auto"/>
        </w:rPr>
      </w:pPr>
      <w:r>
        <w:rPr>
          <w:rFonts w:ascii="Arial" w:cs="Arial" w:eastAsia="Arial" w:hAnsi="Arial"/>
          <w:sz w:val="14"/>
          <w:szCs w:val="14"/>
          <w:b w:val="1"/>
          <w:bCs w:val="1"/>
          <w:color w:val="auto"/>
        </w:rPr>
        <w:t>2015 vs.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-7620</wp:posOffset>
            </wp:positionV>
            <wp:extent cx="550545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861" w:hanging="861"/>
        <w:spacing w:after="0"/>
        <w:tabs>
          <w:tab w:leader="none" w:pos="861" w:val="left"/>
        </w:tabs>
        <w:numPr>
          <w:ilvl w:val="0"/>
          <w:numId w:val="36"/>
        </w:numPr>
        <w:rPr>
          <w:rFonts w:ascii="Arial" w:cs="Arial" w:eastAsia="Arial" w:hAnsi="Arial"/>
          <w:sz w:val="14"/>
          <w:szCs w:val="14"/>
          <w:color w:val="auto"/>
        </w:rPr>
      </w:pPr>
      <w:r>
        <w:rPr>
          <w:rFonts w:ascii="Arial" w:cs="Arial" w:eastAsia="Arial" w:hAnsi="Arial"/>
          <w:sz w:val="14"/>
          <w:szCs w:val="14"/>
          <w:color w:val="auto"/>
        </w:rPr>
        <w:t>35</w:t>
      </w:r>
    </w:p>
    <w:p>
      <w:pPr>
        <w:spacing w:after="0" w:line="53" w:lineRule="exact"/>
        <w:rPr>
          <w:rFonts w:ascii="Arial" w:cs="Arial" w:eastAsia="Arial" w:hAnsi="Arial"/>
          <w:sz w:val="14"/>
          <w:szCs w:val="14"/>
          <w:color w:val="auto"/>
        </w:rPr>
      </w:pPr>
    </w:p>
    <w:p>
      <w:pPr>
        <w:ind w:left="861"/>
        <w:spacing w:after="0"/>
        <w:rPr>
          <w:rFonts w:ascii="Arial" w:cs="Arial" w:eastAsia="Arial" w:hAnsi="Arial"/>
          <w:sz w:val="14"/>
          <w:szCs w:val="14"/>
          <w:color w:val="auto"/>
        </w:rPr>
      </w:pPr>
      <w:r>
        <w:rPr>
          <w:rFonts w:ascii="Arial" w:cs="Arial" w:eastAsia="Arial" w:hAnsi="Arial"/>
          <w:sz w:val="14"/>
          <w:szCs w:val="14"/>
          <w:color w:val="auto"/>
        </w:rPr>
        <w:t>23</w:t>
      </w:r>
    </w:p>
    <w:p>
      <w:pPr>
        <w:spacing w:after="0" w:line="55" w:lineRule="exact"/>
        <w:rPr>
          <w:rFonts w:ascii="Arial" w:cs="Arial" w:eastAsia="Arial" w:hAnsi="Arial"/>
          <w:sz w:val="14"/>
          <w:szCs w:val="14"/>
          <w:color w:val="auto"/>
        </w:rPr>
      </w:pPr>
    </w:p>
    <w:p>
      <w:pPr>
        <w:ind w:left="861"/>
        <w:spacing w:after="0"/>
        <w:rPr>
          <w:rFonts w:ascii="Arial" w:cs="Arial" w:eastAsia="Arial" w:hAnsi="Arial"/>
          <w:sz w:val="14"/>
          <w:szCs w:val="14"/>
          <w:color w:val="auto"/>
        </w:rPr>
      </w:pPr>
      <w:r>
        <w:rPr>
          <w:rFonts w:ascii="Arial" w:cs="Arial" w:eastAsia="Arial" w:hAnsi="Arial"/>
          <w:sz w:val="14"/>
          <w:szCs w:val="14"/>
          <w:color w:val="auto"/>
        </w:rPr>
        <w:t>21</w:t>
      </w:r>
    </w:p>
    <w:p>
      <w:pPr>
        <w:spacing w:after="0" w:line="55" w:lineRule="exact"/>
        <w:rPr>
          <w:rFonts w:ascii="Arial" w:cs="Arial" w:eastAsia="Arial" w:hAnsi="Arial"/>
          <w:sz w:val="14"/>
          <w:szCs w:val="14"/>
          <w:color w:val="auto"/>
        </w:rPr>
      </w:pPr>
    </w:p>
    <w:p>
      <w:pPr>
        <w:ind w:left="861"/>
        <w:spacing w:after="0"/>
        <w:rPr>
          <w:rFonts w:ascii="Arial" w:cs="Arial" w:eastAsia="Arial" w:hAnsi="Arial"/>
          <w:sz w:val="14"/>
          <w:szCs w:val="14"/>
          <w:color w:val="auto"/>
        </w:rPr>
      </w:pPr>
      <w:r>
        <w:rPr>
          <w:rFonts w:ascii="Arial" w:cs="Arial" w:eastAsia="Arial" w:hAnsi="Arial"/>
          <w:sz w:val="14"/>
          <w:szCs w:val="14"/>
          <w:color w:val="auto"/>
        </w:rPr>
        <w:t>14</w:t>
      </w:r>
    </w:p>
    <w:p>
      <w:pPr>
        <w:spacing w:after="0" w:line="55" w:lineRule="exact"/>
        <w:rPr>
          <w:rFonts w:ascii="Arial" w:cs="Arial" w:eastAsia="Arial" w:hAnsi="Arial"/>
          <w:sz w:val="14"/>
          <w:szCs w:val="14"/>
          <w:color w:val="auto"/>
        </w:rPr>
      </w:pPr>
    </w:p>
    <w:p>
      <w:pPr>
        <w:ind w:left="861"/>
        <w:spacing w:after="0"/>
        <w:rPr>
          <w:rFonts w:ascii="Arial" w:cs="Arial" w:eastAsia="Arial" w:hAnsi="Arial"/>
          <w:sz w:val="14"/>
          <w:szCs w:val="14"/>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-374650</wp:posOffset>
            </wp:positionV>
            <wp:extent cx="55054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-100330</wp:posOffset>
            </wp:positionV>
            <wp:extent cx="550545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56" w:lineRule="exact"/>
        <w:rPr>
          <w:sz w:val="20"/>
          <w:szCs w:val="20"/>
          <w:color w:val="auto"/>
        </w:rPr>
      </w:pPr>
    </w:p>
    <w:p>
      <w:pPr>
        <w:ind w:left="761" w:hanging="761"/>
        <w:spacing w:after="0"/>
        <w:tabs>
          <w:tab w:leader="none" w:pos="761" w:val="left"/>
        </w:tabs>
        <w:numPr>
          <w:ilvl w:val="0"/>
          <w:numId w:val="37"/>
        </w:numPr>
        <w:rPr>
          <w:rFonts w:ascii="Arial" w:cs="Arial" w:eastAsia="Arial" w:hAnsi="Arial"/>
          <w:sz w:val="15"/>
          <w:szCs w:val="15"/>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515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6515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Period-to-Period</w:t>
      </w:r>
    </w:p>
    <w:p>
      <w:pPr>
        <w:spacing w:after="0" w:line="25"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Change for the</w:t>
      </w:r>
    </w:p>
    <w:p>
      <w:pPr>
        <w:jc w:val="center"/>
        <w:ind w:right="1460"/>
        <w:spacing w:after="0" w:line="237" w:lineRule="auto"/>
        <w:rPr>
          <w:sz w:val="20"/>
          <w:szCs w:val="20"/>
          <w:color w:val="auto"/>
        </w:rPr>
      </w:pPr>
      <w:r>
        <w:rPr>
          <w:rFonts w:ascii="Arial" w:cs="Arial" w:eastAsia="Arial" w:hAnsi="Arial"/>
          <w:sz w:val="14"/>
          <w:szCs w:val="14"/>
          <w:b w:val="1"/>
          <w:bCs w:val="1"/>
          <w:color w:val="auto"/>
        </w:rPr>
        <w:t>Nine Months</w:t>
      </w:r>
    </w:p>
    <w:p>
      <w:pPr>
        <w:jc w:val="center"/>
        <w:ind w:right="1460"/>
        <w:spacing w:after="0" w:line="221" w:lineRule="auto"/>
        <w:rPr>
          <w:sz w:val="20"/>
          <w:szCs w:val="20"/>
          <w:color w:val="auto"/>
        </w:rPr>
      </w:pPr>
      <w:r>
        <w:rPr>
          <w:rFonts w:ascii="Arial" w:cs="Arial" w:eastAsia="Arial" w:hAnsi="Arial"/>
          <w:sz w:val="14"/>
          <w:szCs w:val="14"/>
          <w:b w:val="1"/>
          <w:bCs w:val="1"/>
          <w:color w:val="auto"/>
        </w:rPr>
        <w:t>Ended</w:t>
      </w:r>
    </w:p>
    <w:p>
      <w:pPr>
        <w:jc w:val="center"/>
        <w:ind w:right="1460"/>
        <w:spacing w:after="0" w:line="222" w:lineRule="auto"/>
        <w:rPr>
          <w:sz w:val="20"/>
          <w:szCs w:val="20"/>
          <w:color w:val="auto"/>
        </w:rPr>
      </w:pPr>
      <w:r>
        <w:rPr>
          <w:rFonts w:ascii="Arial" w:cs="Arial" w:eastAsia="Arial" w:hAnsi="Arial"/>
          <w:sz w:val="14"/>
          <w:szCs w:val="14"/>
          <w:b w:val="1"/>
          <w:bCs w:val="1"/>
          <w:color w:val="auto"/>
        </w:rPr>
        <w:t>September 30,</w:t>
      </w:r>
    </w:p>
    <w:p>
      <w:pPr>
        <w:jc w:val="center"/>
        <w:ind w:right="1460"/>
        <w:spacing w:after="0"/>
        <w:rPr>
          <w:sz w:val="20"/>
          <w:szCs w:val="20"/>
          <w:color w:val="auto"/>
        </w:rPr>
      </w:pPr>
      <w:r>
        <w:rPr>
          <w:rFonts w:ascii="Arial" w:cs="Arial" w:eastAsia="Arial" w:hAnsi="Arial"/>
          <w:sz w:val="14"/>
          <w:szCs w:val="14"/>
          <w:b w:val="1"/>
          <w:bCs w:val="1"/>
          <w:color w:val="auto"/>
        </w:rPr>
        <w:t>2015 vs. 2014</w:t>
      </w:r>
    </w:p>
    <w:p>
      <w:pPr>
        <w:ind w:left="720" w:hanging="718"/>
        <w:spacing w:after="0"/>
        <w:tabs>
          <w:tab w:leader="none" w:pos="7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146</w:t>
      </w:r>
    </w:p>
    <w:p>
      <w:pPr>
        <w:spacing w:after="0" w:line="42"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6"/>
          <w:szCs w:val="16"/>
          <w:color w:val="auto"/>
        </w:rPr>
        <w:t>72</w:t>
      </w:r>
    </w:p>
    <w:p>
      <w:pPr>
        <w:spacing w:after="0" w:line="32"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6"/>
          <w:szCs w:val="16"/>
          <w:color w:val="auto"/>
        </w:rPr>
        <w:t>64</w:t>
      </w:r>
    </w:p>
    <w:p>
      <w:pPr>
        <w:spacing w:after="0" w:line="32"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6"/>
          <w:szCs w:val="16"/>
          <w:color w:val="auto"/>
        </w:rPr>
        <w:t>50</w:t>
      </w:r>
    </w:p>
    <w:p>
      <w:pPr>
        <w:spacing w:after="0" w:line="32"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17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3" w:lineRule="exact"/>
        <w:rPr>
          <w:sz w:val="20"/>
          <w:szCs w:val="20"/>
          <w:color w:val="auto"/>
        </w:rPr>
      </w:pPr>
    </w:p>
    <w:p>
      <w:pPr>
        <w:ind w:left="720" w:hanging="718"/>
        <w:spacing w:after="0"/>
        <w:tabs>
          <w:tab w:leader="none" w:pos="7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617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17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939" w:space="720"/>
            <w:col w:w="1601" w:space="720"/>
            <w:col w:w="2440"/>
          </w:cols>
          <w:pgMar w:left="240" w:top="280" w:right="23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280" w:right="239" w:bottom="1440" w:gutter="0" w:footer="0" w:header="0"/>
          <w:type w:val="continuous"/>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impact of divestitures noted above, other significant items by category of expense include: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Labor and related benefits — </w:t>
      </w:r>
      <w:r>
        <w:rPr>
          <w:rFonts w:ascii="Arial" w:cs="Arial" w:eastAsia="Arial" w:hAnsi="Arial"/>
          <w:sz w:val="18"/>
          <w:szCs w:val="18"/>
          <w:color w:val="auto"/>
        </w:rPr>
        <w:t>We recognized $51 million of net charges in the current year associated with withdrawal from certain underfunded</w:t>
      </w:r>
      <w:r>
        <w:rPr>
          <w:rFonts w:ascii="Arial" w:cs="Arial" w:eastAsia="Arial" w:hAnsi="Arial"/>
          <w:sz w:val="18"/>
          <w:szCs w:val="18"/>
          <w:i w:val="1"/>
          <w:iCs w:val="1"/>
          <w:color w:val="auto"/>
        </w:rPr>
        <w:t xml:space="preserve"> </w:t>
      </w:r>
      <w:r>
        <w:rPr>
          <w:rFonts w:ascii="Arial" w:cs="Arial" w:eastAsia="Arial" w:hAnsi="Arial"/>
          <w:sz w:val="18"/>
          <w:szCs w:val="18"/>
          <w:color w:val="auto"/>
        </w:rPr>
        <w:t>multiemployer pension plans.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items affecting the comparability of labor and related benefits for the periods presented include:</w:t>
      </w:r>
    </w:p>
    <w:p>
      <w:pPr>
        <w:spacing w:after="0" w:line="90"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headcount and contract labor due to lower volumes in our collection and recycling lines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health and welfare costs;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incentive compensation cost accruals, partially offset by;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costs associated with the acquired operations of Deffenbaugh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wages due to merit increases.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Transfer and disposal costs — </w:t>
      </w:r>
      <w:r>
        <w:rPr>
          <w:rFonts w:ascii="Arial" w:cs="Arial" w:eastAsia="Arial" w:hAnsi="Arial"/>
          <w:sz w:val="18"/>
          <w:szCs w:val="18"/>
          <w:color w:val="auto"/>
        </w:rPr>
        <w:t>The increase in transfer and disposal costs compared to the prior period was primarily driven by the increased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that were recognized as intercompany in the prior year periods as a result of the divestiture of our Wheelabrator business in December 2014. These cost increases were offset, in part, by the reduction in costs due to the divestitures, as discussed above.</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Maintenance and repairs — </w:t>
      </w:r>
      <w:r>
        <w:rPr>
          <w:rFonts w:ascii="Arial" w:cs="Arial" w:eastAsia="Arial" w:hAnsi="Arial"/>
          <w:sz w:val="18"/>
          <w:szCs w:val="18"/>
          <w:color w:val="auto"/>
        </w:rPr>
        <w:t>The decrease in maintenance and repairs was largely driven by the divestiture of Wheelabrator, which is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costs related to the Deffenbaugh acquisition.</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decrease in subcontractor costs compared to the prior period was primarily driven by (i) volume declines related to the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large accounts in our WMSBS organization and (ii) lower costs within the landfill and recycling businesses.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decrease in cost of goods sold is due to the following conditions in our recycling business:</w:t>
      </w:r>
    </w:p>
    <w:p>
      <w:pPr>
        <w:spacing w:after="0" w:line="90"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commodity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efforts to reduce controllable recycling rebates paid to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Better alignment of rebate structures with commodity prices for new recycling contracts;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decrease in fuel expense in the current period when compared to the prior period was driven by (i) lower fuel prices; (ii) lower fuel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reduced collection volumes and (iii) lower costs resulting from the conversion of our fleet to CNG vehicles.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Landfill operating costs —</w:t>
      </w:r>
      <w:r>
        <w:rPr>
          <w:rFonts w:ascii="Arial" w:cs="Arial" w:eastAsia="Arial" w:hAnsi="Arial"/>
          <w:sz w:val="18"/>
          <w:szCs w:val="18"/>
          <w:color w:val="auto"/>
        </w:rPr>
        <w:t>The decreases in the current period were primarily driven by an unfavorable discount rate adjustment in the prior year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offset, in part, by higher leachate costs in the current year periods.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decreased by $47 million, or 12.5%, and $105 million, or 9.5%, when comparing the three and nine months ended September 30, 2015 to the comparable prior year periods, respectively. As a percentage of revenue, our selling, general and administrative expenses decreased from 10.5% for the third quarter of 2014 to 9.8% for the third quarter of 2015, and decreased from 10.5% for the nine months ended September 30, 2014 to 10.3% for the nine months ended September 30, 2015.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selling, general and administrative expenses for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Nine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30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tcPr>
          <w:p>
            <w:pPr>
              <w:jc w:val="center"/>
              <w:ind w:right="23"/>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200"/>
              <w:spacing w:after="0" w:line="142" w:lineRule="exact"/>
              <w:rPr>
                <w:sz w:val="20"/>
                <w:szCs w:val="20"/>
                <w:color w:val="auto"/>
              </w:rPr>
            </w:pPr>
            <w:r>
              <w:rPr>
                <w:rFonts w:ascii="Arial" w:cs="Arial" w:eastAsia="Arial" w:hAnsi="Arial"/>
                <w:sz w:val="14"/>
                <w:szCs w:val="14"/>
                <w:b w:val="1"/>
                <w:bCs w:val="1"/>
                <w:color w:val="auto"/>
                <w:w w:val="85"/>
              </w:rPr>
              <w:t>Change</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10"/>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Professional fees</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(34)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(17.3)</w:t>
            </w:r>
          </w:p>
        </w:tc>
      </w:tr>
      <w:tr>
        <w:trPr>
          <w:trHeight w:val="27"/>
        </w:trPr>
        <w:tc>
          <w:tcPr>
            <w:tcW w:w="3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4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(47)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0"/>
        </w:trPr>
        <w:tc>
          <w:tcPr>
            <w:tcW w:w="3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Our labor and related benefits decreased as a result of both our August 2014 reorganization and our 2014 divestitures, primarily the sale of our Wheelabrator business. Lower incentive compensation costs further reduced labor costs in the nine month comparison. In addition, declines in our other expenses are primarily a result of certain litigation reserves recorded in the third quarter of 2014, our continued focus on controlling costs, and our 2014 divestitures.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nine months ended September 30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Nine Months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297"/>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3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0"/>
              </w:rPr>
              <w:t>$(66)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291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22"/>
        </w:trPr>
        <w:tc>
          <w:tcPr>
            <w:tcW w:w="5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329</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64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985</w:t>
            </w:r>
          </w:p>
        </w:tc>
        <w:tc>
          <w:tcPr>
            <w:tcW w:w="780" w:type="dxa"/>
            <w:vAlign w:val="bottom"/>
            <w:gridSpan w:val="3"/>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decrease in depreciation and amortization expense for the nine months ended September 30, 2015, compared to the prior year period, is primarily due to the December 2014 sale of our Wheelabrator business as discussed further in Note 9 to the Condensed Consolidated Financial Statements.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2015, we recognized $7 million of pre-tax restructuring charges, of which $3 million was related to employee severance and benefit costs, including costs associated with our acquisition of Deffenbaugh.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separated from our Corporate and recycling organizations in connection with this restructuring.</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third quarter of 2014, we recognized pre-tax charges of $67 million primarily associated with this restructuring, of which $61 million related to employee severance and benefit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Expense from Divestitures, Asset Impairments and Unusual Items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nine months ended September 30, 2015, we recognized net charges of $17 million, including $18 million of charges to write down or divest of certain assets in our recycling operations and a $5 million impairment of a landfill in our Western Canada Area due to revised post-closure cost estimates. Partially offsetting these charges was a $6 million gain on the sale of an oil and gas producing property in the second quarter of 2015.</w:t>
      </w:r>
    </w:p>
    <w:p>
      <w:pPr>
        <w:spacing w:after="0" w:line="2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nine months ended September 30, 2014, we recognized net charges of $21 million primarily related to a $25 million loss on the divestiture of our Puerto Rico operations and certain other collection and landfill assets as discussed further in Note 9 to the Condensed Consolidated Financial Statements and a $12 million impairment charge due to the decision to close a waste processing facility; partially offset by net gains of $16 million during the third quarter of 2014, primarily attributable to gains on the sale of certain landfill and collection operations in our Eastern Canada Area.</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nine months ended September 30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Period-to-</w:t>
            </w:r>
          </w:p>
        </w:tc>
        <w:tc>
          <w:tcPr>
            <w:tcW w:w="100" w:type="dxa"/>
            <w:vAlign w:val="bottom"/>
          </w:tcPr>
          <w:p>
            <w:pPr>
              <w:spacing w:after="0"/>
              <w:rPr>
                <w:sz w:val="14"/>
                <w:szCs w:val="14"/>
                <w:color w:val="auto"/>
              </w:rPr>
            </w:pPr>
          </w:p>
        </w:tc>
        <w:tc>
          <w:tcPr>
            <w:tcW w:w="15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Period-to-</w:t>
            </w:r>
          </w:p>
        </w:tc>
      </w:tr>
      <w:tr>
        <w:trPr>
          <w:trHeight w:val="142"/>
        </w:trPr>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w w:val="95"/>
              </w:rPr>
              <w:t>Period Change</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2015</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97"/>
              </w:rPr>
              <w:t>Period Change</w:t>
            </w:r>
          </w:p>
        </w:tc>
      </w:tr>
      <w:tr>
        <w:trPr>
          <w:trHeight w:val="196"/>
        </w:trPr>
        <w:tc>
          <w:tcPr>
            <w:tcW w:w="3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1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$ 226</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$ 230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r>
      <w:tr>
        <w:trPr>
          <w:trHeight w:val="27"/>
        </w:trPr>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Solid Waste</w:t>
            </w: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560" w:type="dxa"/>
            <w:vAlign w:val="bottom"/>
          </w:tcPr>
          <w:p>
            <w:pPr>
              <w:spacing w:after="0"/>
              <w:rPr>
                <w:sz w:val="18"/>
                <w:szCs w:val="18"/>
                <w:color w:val="auto"/>
              </w:rPr>
            </w:pPr>
          </w:p>
        </w:tc>
        <w:tc>
          <w:tcPr>
            <w:tcW w:w="84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(48)</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560" w:type="dxa"/>
            <w:vAlign w:val="bottom"/>
          </w:tcPr>
          <w:p>
            <w:pPr>
              <w:spacing w:after="0"/>
              <w:rPr>
                <w:sz w:val="18"/>
                <w:szCs w:val="18"/>
                <w:color w:val="auto"/>
              </w:rPr>
            </w:pPr>
          </w:p>
        </w:tc>
        <w:tc>
          <w:tcPr>
            <w:tcW w:w="840" w:type="dxa"/>
            <w:vAlign w:val="bottom"/>
            <w:gridSpan w:val="2"/>
          </w:tcPr>
          <w:p>
            <w:pPr>
              <w:jc w:val="right"/>
              <w:ind w:right="292"/>
              <w:spacing w:after="0"/>
              <w:rPr>
                <w:sz w:val="20"/>
                <w:szCs w:val="20"/>
                <w:color w:val="auto"/>
              </w:rPr>
            </w:pPr>
            <w:r>
              <w:rPr>
                <w:rFonts w:ascii="Arial" w:cs="Arial" w:eastAsia="Arial" w:hAnsi="Arial"/>
                <w:sz w:val="18"/>
                <w:szCs w:val="18"/>
                <w:color w:val="auto"/>
              </w:rPr>
              <w:t>(118)</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122</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r>
      <w:tr>
        <w:trPr>
          <w:trHeight w:val="27"/>
        </w:trPr>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$ 546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The most significant items affecting the results of operations of our Solid Waste business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as compared with the prior year periods are summarized below:</w:t>
      </w:r>
    </w:p>
    <w:p>
      <w:pPr>
        <w:spacing w:after="0" w:line="84" w:lineRule="exact"/>
        <w:rPr>
          <w:sz w:val="20"/>
          <w:szCs w:val="20"/>
          <w:color w:val="auto"/>
        </w:rPr>
      </w:pPr>
    </w:p>
    <w:p>
      <w:pPr>
        <w:ind w:left="6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recognized $51 million of net charges associated with withdrawal from certain underfunded multiemployer pension plans in Tiers 2 and 3 primarily in the second quarter of 2015;</w:t>
      </w:r>
    </w:p>
    <w:p>
      <w:pPr>
        <w:spacing w:after="0" w:line="50" w:lineRule="exact"/>
        <w:rPr>
          <w:rFonts w:ascii="Arial" w:cs="Arial" w:eastAsia="Arial" w:hAnsi="Arial"/>
          <w:sz w:val="18"/>
          <w:szCs w:val="18"/>
          <w:color w:val="auto"/>
        </w:rPr>
      </w:pPr>
    </w:p>
    <w:p>
      <w:pPr>
        <w:jc w:val="both"/>
        <w:ind w:left="660" w:hanging="206"/>
        <w:spacing w:after="0" w:line="298"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Results from our recycling business were unfavorable compared to the prior year periods principally due to (i) lower market prices for recyclable commodities; (ii) lower volumes and (iii) the impairment of various recycling assets. These unfavorable variances were partially offset by reduced costs driven, in part, by (i) increased efforts to reduce controllable recycling rebates paid to customers; (ii) better alignment of rebate structures with commodity prices for new recycling contracts and (iii) ongoing business improvement efforts around inbound quality control;</w:t>
      </w:r>
    </w:p>
    <w:p>
      <w:pPr>
        <w:spacing w:after="0" w:line="31"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collection and disposal operations, excluding the pension plan charges discussed above, benefited from internal revenue growth and the impact of lower fuel prices; offset, in part, by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unfavorable impact of foreign currency fluctuations, which affects our Canadian operations in Tiers 1 and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 of certain sales employees included in our Corporate and Other segment in the prior year periods;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landfill related costs in the current year periods;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reversal of a reserve in the second quarter of 2014 due to a favorable litigation resolution in Tier 1.</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third quarter of 2014, we recognized a gain on the sale of certain landfill and collection operations in our Eastern Canada Area, which is included in Tier 3. Additionally, gains and losses from sales of businesses and assets in earlier quarters were approximately equivalent for both years; however, they resulted in a favorable variance in Tier 1 offset by unfavorable variances in Tiers 2 and 3.</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Significant items affecting the comparability of the remaining components of our results of operations for the three- and nine-month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are summarized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Amounts reported in 2015 reflect post-closing adjustments to the gain on the sale of our Wheelabrator business in December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most significant items affecting the comparability of results for the periods presented include:</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charges incurred in the second quarter of 2014 primarily due to the decision to close a waste processing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results in our remediation business in the current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transfer of certain sales employees included in our Corporate and Other segment in the prior year periods;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Improvement of results in our renewable energy business in the current quarter offset, in part, by the favorable weather related energy pricing in the first quarter of 2014;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Improved results in our healthcare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favorable adjustment to accrued contingent consideration recognized in the second quarter of 2014.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most significant items affecting the comparability of expenses for the periods presented include:</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Restructuring costs related to our August 2014 reorganization and subsequent benefits resulting from our restructuring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medical costs in the current year driven by lower claims and reduced headcount;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Establishment of reserves for certain legal matters in the third quarter of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transfer of certain sales employees to our Solid Waste and Other segments that were included in this segment in the prior year periods;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Increased risk management costs in the current year primarily related to certain higher than anticipated auto and general liability claim settlements.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interest expense, net was $95 million and $294 million during the three and nine months ended September 30, 2015, respectively, compared to $116 million and $352 million during the three and nine months ended September 30, 2014, respectively. The year-over-year decreases are primarily attributable to the refinancing of a significant portion of our high-coupon senior notes during the first quarter of 2015. As a result of the combination of a make-whole redemption of certain senior notes, cash tender offers to purchase certain senior notes and the issuance of $1.8 billion of new senior notes, we reduced the weighted average interest rate of our senior note portfolio by 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2015, we refinanced a significant portion of our high-coupon senior notes. As a result of the combination of a make-whole redemption of certain senior notes, cash tender offers to purchase certain senior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and the issuance of $1.8 billion of new senior notes, we reduced the weighted average interest rate of our senior note portfolio by 1% and extended the weighted average duration of these debt obligations by three years. Additional details related to each component of the refinancing follow:</w:t>
      </w:r>
    </w:p>
    <w:p>
      <w:pPr>
        <w:spacing w:after="0" w:line="4"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i w:val="1"/>
          <w:iCs w:val="1"/>
          <w:color w:val="auto"/>
        </w:rPr>
        <w:t xml:space="preserve">Make-Whole Redemption </w:t>
      </w:r>
      <w:r>
        <w:rPr>
          <w:rFonts w:ascii="Arial" w:cs="Arial" w:eastAsia="Arial" w:hAnsi="Arial"/>
          <w:sz w:val="16"/>
          <w:szCs w:val="16"/>
          <w:color w:val="auto"/>
        </w:rPr>
        <w:t>— In January 2015, we repaid $947 million of WM senior notes, which comprised all of the outstanding senior notes maturing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2017 and 2019. The repayment of these debt balances was achieved by exercising the optional redemption provisions of the notes, which required that we pay the outstanding principal plus a make-whole premium. The “Loss on early extinguishment of debt” reflected in our Condensed Consolidated Statement of Operations for the nine months ended September 30, 2015 includes $122 million of charges related to these redemptions.</w:t>
      </w:r>
    </w:p>
    <w:p>
      <w:pPr>
        <w:spacing w:after="0" w:line="32"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 xml:space="preserve">Tender Offers </w:t>
      </w:r>
      <w:r>
        <w:rPr>
          <w:rFonts w:ascii="Arial" w:cs="Arial" w:eastAsia="Arial" w:hAnsi="Arial"/>
          <w:sz w:val="18"/>
          <w:szCs w:val="18"/>
          <w:color w:val="auto"/>
        </w:rPr>
        <w:t>— During 2015, WM and WM Holdings made cash tender offers to purchase any and all of certain outstanding senior notes. The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notes targeted in the tenders and the amounts tendered of each series are summarized below:</w:t>
      </w:r>
    </w:p>
    <w:p>
      <w:pPr>
        <w:spacing w:after="0" w:line="51" w:lineRule="exact"/>
        <w:rPr>
          <w:sz w:val="20"/>
          <w:szCs w:val="20"/>
          <w:color w:val="auto"/>
        </w:rPr>
      </w:pPr>
    </w:p>
    <w:p>
      <w:pPr>
        <w:ind w:left="900" w:hanging="21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$449 million of WM Holdings 7.10% senior notes due 2026, of which $145 million were tendered;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$577 million of WM 7.00% senior notes due 2028, of which $182 million were tendered;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$223 million of WM 7.375% senior notes due 2029, of which $84 million were tendered;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$496 million of WM 7.75% senior notes due 2032, of which $286 million were tendered;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$600 million of WM 6.125% senior notes due 2039, of which $326 million were tendered.</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“Loss on early extinguishment of debt” reflected in our Condensed Consolidated Statement of Operations for the nine months ended September 30, 2015 includes $430 million of charges related to these tender offers.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We recognized “Equity in net losses of unconsolidated entities” of $9 million and $32 million during the three and nine months ended September 30, 2015, respectively, compared with $14 million and $36 million during the three and nine months ended September 30, 2014,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15 to the Condensed Consolidated Financial Statements for more information related to these investments. Additional losses in the third quarter of 2014 are related to $5 million of charges to write down an equity method investment in a waste diversion technology company to its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recorded a provision for income taxes of $159 million, representing an effective tax rate of 32.3%, and $133 million, representing an effective tax rate of 32.1%, for the three months ended September 30, 2015 and 2014, respectively, and $184 million, representing an effective tax rate of 27.8%, and $412 million, representing an effective tax rate of 35.7%, for the nine months ended September 30, 2015 and 2014, respectively.</w:t>
      </w:r>
    </w:p>
    <w:p>
      <w:pPr>
        <w:spacing w:after="0" w:line="2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investments in low-income housing properties and the refined coal facility reduced our provision for income taxes by $17 million and $41 million for the three and nine months ended September 30, 2015, respectively, and by $16 million and $41 million for the three and nine months ended September 30, 2014, respectively. Refer to Note 5 to the Condensed Consolidated Financial Statements for more information related to these investments.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Net income attributable to noncontrolling interests was $2 million and net loss attributable to noncontrolling interests was $1 million for the three and nine months ended September 30, 2015, respectively, and net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attributable to noncontrolling interests was $11 million and $32 million for the three and nine months ended September 30, 2014, respectively. The income for the three and nine months ended September 30, 2014 was principally related to third parties’ equity interests in two limited liability companies (“LLCs”) that owned three waste-to-energy facilities operated by our Wheelabrator business. In December 2014, we purchased the noncontrolling interests in the LLCs from the third parties in anticipation of our sale of the Wheelabrator business. The LLCs were then subsequently sold as part of the divestment of our Wheelabrator business. Refer to Notes 9 and 15 to the Condensed Consolidated Financial Statements for information related to the sale of our Wheelabrator business and the consolidation of these variable interest entities,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at each balance sheet date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215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9,050</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at December 31, 2014 included a portion of the $1.95 billion of proceeds from the divestiture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Wheelabrator business in December 2014. In 2015, we have primarily allocated available cash to the acquisition of Deffenbaugh, repurchasing shares and paying premiums on the early extinguishment of debt. Discussion of these activities is included in Notes 9, 13 and 3, respectively, to the Condensed Consolidated Financial Statements.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Restricted trust and escrow accounts </w:t>
      </w:r>
      <w:r>
        <w:rPr>
          <w:rFonts w:ascii="Arial" w:cs="Arial" w:eastAsia="Arial" w:hAnsi="Arial"/>
          <w:sz w:val="16"/>
          <w:szCs w:val="16"/>
          <w:color w:val="auto"/>
        </w:rPr>
        <w:t>— The decrease in final capping, closure, post-closure and environmental remediation funds from December 31, 2014</w:t>
      </w:r>
      <w:r>
        <w:rPr>
          <w:rFonts w:ascii="Arial" w:cs="Arial" w:eastAsia="Arial" w:hAnsi="Arial"/>
          <w:sz w:val="16"/>
          <w:szCs w:val="16"/>
          <w:i w:val="1"/>
          <w:iCs w:val="1"/>
          <w:color w:val="auto"/>
        </w:rPr>
        <w:t xml:space="preserve"> </w:t>
      </w:r>
      <w:r>
        <w:rPr>
          <w:rFonts w:ascii="Arial" w:cs="Arial" w:eastAsia="Arial" w:hAnsi="Arial"/>
          <w:sz w:val="16"/>
          <w:szCs w:val="16"/>
          <w:color w:val="auto"/>
        </w:rPr>
        <w:t>to September 30, 2015 is primarily due to the closure of certain trust and escrow accounts which were converted to other forms of financial assurance. Other restricted trust and escrow accounts at December 31, 2014 included the funding of a legal settlement which was paid in full in the second quarter of 2015.</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 During 2015, we refinanced a significant portion of our high-coupon senior notes in order to reduce the weighted average interest rate and extend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duration of our debt balances. We achieved this through a combination of a make-whole redemption of certain senior notes, cash tender offers to purchase certain senior notes and the issuance of $1.8 billion of new senior notes consisting of:</w:t>
      </w:r>
    </w:p>
    <w:p>
      <w:pPr>
        <w:spacing w:after="0" w:line="59"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$600 million of 3.125% senior notes due March 1, 2025;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$450 million of 3.90% senior notes due March 1, 2035;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$750 million of 4.10% senior notes due March 1, 2045.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2" w:name="page53"/>
    <w:bookmarkEnd w:id="52"/>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proceeds from these debt issuances were $1.78 billion. The Company used the proceeds from the 2025 notes for general corporate purposes. The proceeds from the 2035 notes and the 2045 notes were used to pay the purchase price and accrued interest for the notes redeemed through the tender offers discussed above and for general corporate purposes. See Note 3 to the Condensed Consolidated Financial Statements for more information related to the debt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2015, we amended and restated our $2.25 billion revolving credit facility, extending the term through July 2020.</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nine months ended September 30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5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$ 1,972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3780" w:type="dxa"/>
            <w:vAlign w:val="bottom"/>
            <w:gridSpan w:val="3"/>
          </w:tcPr>
          <w:p>
            <w:pPr>
              <w:ind w:left="29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780" w:type="dxa"/>
            <w:vAlign w:val="bottom"/>
            <w:gridSpan w:val="3"/>
            <w:shd w:val="clear" w:color="auto" w:fill="CCEEFF"/>
          </w:tcPr>
          <w:p>
            <w:pPr>
              <w:ind w:left="29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(1,107)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The most significant items affecting the comparison of our operating cash flows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with the nine months ended September 30, 2014 are summarized below:</w:t>
      </w:r>
    </w:p>
    <w:p>
      <w:pPr>
        <w:spacing w:after="0" w:line="84" w:lineRule="exact"/>
        <w:rPr>
          <w:sz w:val="20"/>
          <w:szCs w:val="20"/>
          <w:color w:val="auto"/>
        </w:rPr>
      </w:pPr>
    </w:p>
    <w:p>
      <w:pPr>
        <w:jc w:val="both"/>
        <w:ind w:left="660" w:hanging="206"/>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Decrease in earnings </w:t>
      </w:r>
      <w:r>
        <w:rPr>
          <w:rFonts w:ascii="Arial" w:cs="Arial" w:eastAsia="Arial" w:hAnsi="Arial"/>
          <w:sz w:val="18"/>
          <w:szCs w:val="18"/>
          <w:color w:val="auto"/>
        </w:rPr>
        <w:t>— Our income from operations, excluding depreciation and amortization, decreased by $45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driven by the sale of our Wheelabrator business in December 2014, which has been offset in part, by growth in our traditional solid waste business and acquisitions.</w:t>
      </w:r>
    </w:p>
    <w:p>
      <w:pPr>
        <w:spacing w:after="0" w:line="59"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Decrease in tax payments </w:t>
      </w:r>
      <w:r>
        <w:rPr>
          <w:rFonts w:ascii="Arial" w:cs="Arial" w:eastAsia="Arial" w:hAnsi="Arial"/>
          <w:sz w:val="18"/>
          <w:szCs w:val="18"/>
          <w:color w:val="auto"/>
        </w:rPr>
        <w:t>— Cash paid for income taxes, net of excess tax benefits associated with equity-based transactions, was approximately $271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lower on a year-over-year basis, largely driven by (i) lower year-over-year pre-tax earnings primarily associated with the loss on early extinguishment of debt in the first quarter of 2015 and (ii) an overpayment of taxes in 2014.</w:t>
      </w:r>
    </w:p>
    <w:p>
      <w:pPr>
        <w:spacing w:after="0" w:line="59"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Increase in bonus payments </w:t>
      </w:r>
      <w:r>
        <w:rPr>
          <w:rFonts w:ascii="Arial" w:cs="Arial" w:eastAsia="Arial" w:hAnsi="Arial"/>
          <w:sz w:val="16"/>
          <w:szCs w:val="16"/>
          <w:color w:val="auto"/>
        </w:rPr>
        <w:t>— Payments for our annual incentive plans are typically paid in the first quarter of the year based on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Our cash flow from operations was unfavorably impacted by approximately $65 million on a year-over-year basis, as the annual incentive plan payments made in the first quarter of 2015 were significantly higher than payments made in the first quarter of 2014.</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Decrease in interest payments </w:t>
      </w:r>
      <w:r>
        <w:rPr>
          <w:rFonts w:ascii="Arial" w:cs="Arial" w:eastAsia="Arial" w:hAnsi="Arial"/>
          <w:sz w:val="18"/>
          <w:szCs w:val="18"/>
          <w:color w:val="auto"/>
        </w:rPr>
        <w:t>— Cash paid for interest decreased $43 million primarily related to lower rates and the timing of interest payments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new senior notes issued in the first quarter of 2015 to refinance a significant portion of our high-coupon senior notes, as discussed further in Note 3 to the Condensed Consolidated Financial Statements.</w:t>
      </w:r>
    </w:p>
    <w:p>
      <w:pPr>
        <w:spacing w:after="0" w:line="59"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Pension plan payment </w:t>
      </w:r>
      <w:r>
        <w:rPr>
          <w:rFonts w:ascii="Arial" w:cs="Arial" w:eastAsia="Arial" w:hAnsi="Arial"/>
          <w:sz w:val="16"/>
          <w:szCs w:val="16"/>
          <w:color w:val="auto"/>
        </w:rPr>
        <w:t>— During the third quarter of 2015, we settled all pending litigation with the trustees for the Central States Pension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made a cash payment of approximately $40 million, as discussed further in Note 7 to the Condensed Consolidated Financial Statements.</w:t>
      </w:r>
    </w:p>
    <w:p>
      <w:pPr>
        <w:spacing w:after="0" w:line="4"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Forward-starting swaps </w:t>
      </w:r>
      <w:r>
        <w:rPr>
          <w:rFonts w:ascii="Arial" w:cs="Arial" w:eastAsia="Arial" w:hAnsi="Arial"/>
          <w:sz w:val="16"/>
          <w:szCs w:val="16"/>
          <w:color w:val="auto"/>
        </w:rPr>
        <w:t>— During the first quarter of 2014, the forward-starting interest rate swaps associated with the anticipated issuance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notes in 2014 matured, and we paid cash of $36 million to settle the liabilities related to the swaps. This cash payment was classified as a change in “Accounts payable and accrued liabilities” within “Net cash provided by operating activities” in the Condensed Consolidated Statement of Cash Flows.</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Changes in other operating assets and liabilities, net of effects from business acquisitions and divestitures </w:t>
      </w:r>
      <w:r>
        <w:rPr>
          <w:rFonts w:ascii="Arial" w:cs="Arial" w:eastAsia="Arial" w:hAnsi="Arial"/>
          <w:sz w:val="18"/>
          <w:szCs w:val="18"/>
          <w:color w:val="auto"/>
        </w:rPr>
        <w:t>— Our cash flow from operations was</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unfavorably impacted on a year-over-year basis by changes in our assets and liabilities accounts. Although the changes in our assets and liabilities may vary from year-to-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3" w:name="page54"/>
    <w:bookmarkEnd w:id="53"/>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they are typically driven by changes in accounts receivable, which are affected by both revenue changes and timing of payments received, and accounts payable changes, which are affected by both cost changes and timing of payments.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nine months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and 2014 are summarized below:</w:t>
      </w:r>
    </w:p>
    <w:p>
      <w:pPr>
        <w:spacing w:after="0" w:line="51" w:lineRule="exact"/>
        <w:rPr>
          <w:sz w:val="20"/>
          <w:szCs w:val="20"/>
          <w:color w:val="auto"/>
        </w:rPr>
      </w:pPr>
    </w:p>
    <w:p>
      <w:pPr>
        <w:ind w:left="660" w:right="2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$864 million and $781 million during the nine months ended September 30, 2015 and 2014, respectively,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w:t>
      </w:r>
    </w:p>
    <w:p>
      <w:pPr>
        <w:spacing w:after="0" w:line="50" w:lineRule="exact"/>
        <w:rPr>
          <w:rFonts w:ascii="Arial" w:cs="Arial" w:eastAsia="Arial" w:hAnsi="Arial"/>
          <w:sz w:val="18"/>
          <w:szCs w:val="18"/>
          <w:color w:val="auto"/>
        </w:rPr>
      </w:pPr>
    </w:p>
    <w:p>
      <w:pPr>
        <w:jc w:val="both"/>
        <w:ind w:left="660" w:right="20" w:hanging="206"/>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$473 million during the nine months ended September 30, 2015 compared with $32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2014. In 2015, our acquisitions consisted principally of the collection and disposal operations of Deffenbaugh, which is discussed in Note 9 to the Condensed Consolidated Financial Statements.</w:t>
      </w:r>
    </w:p>
    <w:p>
      <w:pPr>
        <w:spacing w:after="0" w:line="59" w:lineRule="exact"/>
        <w:rPr>
          <w:rFonts w:ascii="Arial" w:cs="Arial" w:eastAsia="Arial" w:hAnsi="Arial"/>
          <w:sz w:val="18"/>
          <w:szCs w:val="18"/>
          <w:color w:val="auto"/>
        </w:rPr>
      </w:pPr>
    </w:p>
    <w:p>
      <w:pPr>
        <w:jc w:val="both"/>
        <w:ind w:left="660" w:hanging="206"/>
        <w:spacing w:after="0" w:line="294"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Proceeds from divestitures of businesses and other assets (net of cash divested) were $114 million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2015 compared with $319 million during the nine months ended September 30, 2014. In the first quarter of 2014, we sold our investment in SEG and received cash proceeds of $155 million. In the second quarter of 2014, we sold our Puerto Rico operations and certain other collection and landfill assets and received proceeds from the sale of $80 million, consisting of $65 million of cash and $15 million of preferred stock. In the third quarter of 2014, we sold certain landfill and collection operations in our Eastern Canada Area and received cash proceeds of $39 million.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Cash Used in Financing Activities — </w:t>
      </w:r>
      <w:r>
        <w:rPr>
          <w:rFonts w:ascii="Arial" w:cs="Arial" w:eastAsia="Arial" w:hAnsi="Arial"/>
          <w:sz w:val="16"/>
          <w:szCs w:val="16"/>
          <w:color w:val="auto"/>
        </w:rPr>
        <w:t>The most significant items affecting the comparison of our financing cash flows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are summarized below:</w:t>
      </w:r>
    </w:p>
    <w:p>
      <w:pPr>
        <w:spacing w:after="0" w:line="84"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 xml:space="preserve">Debt borrowings (repayments) </w:t>
      </w:r>
      <w:r>
        <w:rPr>
          <w:rFonts w:ascii="Arial" w:cs="Arial" w:eastAsia="Arial" w:hAnsi="Arial"/>
          <w:sz w:val="16"/>
          <w:szCs w:val="16"/>
          <w:color w:val="auto"/>
        </w:rPr>
        <w:t>— The following summarizes our cash borrowings and debt repayments during each period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2,060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2,364</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revolving credit facility</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Tax-exempt bonds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30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(2,421)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(2,392)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repayments</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ind w:left="66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Premiums paid on early extinguishment of debt of $555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relate to (i) charges for make-whole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4" w:name="page55"/>
    <w:bookmarkEnd w:id="54"/>
    <w:p>
      <w:pPr>
        <w:jc w:val="both"/>
        <w:ind w:lef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premiums on certain senior notes that the Company decided to redeem in advance of their scheduled maturities and (ii) charges related to tender offers for certain senior notes of WM and WM Holdings. See Note 3 to the Condensed Consolidated Financial Statements for further discussion of debt transactions during the nine months ended September 30, 2015.</w:t>
      </w:r>
    </w:p>
    <w:p>
      <w:pPr>
        <w:spacing w:after="0" w:line="59" w:lineRule="exact"/>
        <w:rPr>
          <w:sz w:val="20"/>
          <w:szCs w:val="20"/>
          <w:color w:val="auto"/>
        </w:rPr>
      </w:pPr>
    </w:p>
    <w:p>
      <w:pPr>
        <w:jc w:val="both"/>
        <w:ind w:left="660" w:hanging="206"/>
        <w:spacing w:after="0" w:line="25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We paid $523 million in cash dividends during the nine months ended September 30, 2015 compared with $521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2014. The increase in dividend payments is primarily due to our quarterly per share dividend declared increasing from $0.375 in 2014 to $0.385 in 2015 and has been offset, in part, by a reduction in our common stock outstanding during 2015 as a result of our share repurchase program.</w:t>
      </w:r>
    </w:p>
    <w:p>
      <w:pPr>
        <w:spacing w:after="0" w:line="62"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 </w:t>
      </w:r>
      <w:r>
        <w:rPr>
          <w:rFonts w:ascii="Arial" w:cs="Arial" w:eastAsia="Arial" w:hAnsi="Arial"/>
          <w:sz w:val="18"/>
          <w:szCs w:val="18"/>
          <w:color w:val="auto"/>
        </w:rPr>
        <w:t>We announced in February 2015 that the Board of Directors has authorized up to $1 billion in future share repurchases. We paid</w:t>
      </w:r>
      <w:r>
        <w:rPr>
          <w:rFonts w:ascii="Arial" w:cs="Arial" w:eastAsia="Arial" w:hAnsi="Arial"/>
          <w:sz w:val="18"/>
          <w:szCs w:val="18"/>
          <w:i w:val="1"/>
          <w:iCs w:val="1"/>
          <w:color w:val="auto"/>
        </w:rPr>
        <w:t xml:space="preserve"> </w:t>
      </w:r>
      <w:r>
        <w:rPr>
          <w:rFonts w:ascii="Arial" w:cs="Arial" w:eastAsia="Arial" w:hAnsi="Arial"/>
          <w:sz w:val="18"/>
          <w:szCs w:val="18"/>
          <w:color w:val="auto"/>
        </w:rPr>
        <w:t>$600 million for share repurchases during both the nine months ended September 30, 2015 and 2014. See Note 13 to the Condensed Consolidated Financial Statements for additional information related to these share repurchases.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Taxes — </w:t>
      </w:r>
      <w:r>
        <w:rPr>
          <w:rFonts w:ascii="Arial" w:cs="Arial" w:eastAsia="Arial" w:hAnsi="Arial"/>
          <w:sz w:val="16"/>
          <w:szCs w:val="16"/>
          <w:color w:val="auto"/>
        </w:rPr>
        <w:t>Our tax payments in 2015 are expected to be approximately $475 million lower than the tax payments made in 2014 primarily due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lower pre-tax earnings due to the loss on early extinguishment of debt and (ii) an overpayment of taxes in 2014.</w:t>
      </w:r>
    </w:p>
    <w:p>
      <w:pPr>
        <w:spacing w:after="0" w:line="8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Bonus Depreciation </w:t>
      </w:r>
      <w:r>
        <w:rPr>
          <w:rFonts w:ascii="Arial" w:cs="Arial" w:eastAsia="Arial" w:hAnsi="Arial"/>
          <w:sz w:val="16"/>
          <w:szCs w:val="16"/>
          <w:color w:val="auto"/>
        </w:rPr>
        <w:t>— The Tax Increase Prevention Act of 2014 was signed into law on December 19, 2014 and included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reduced our cash taxes by approximately $60 million.</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Taking accelerated deductions results in increased cash taxes in subsequent periods when the deductions related to the capital expenditures would have otherwise been taken. Overall, the effect of all applicable years’ bonus depreciation programs results in increased cash taxes of approximately $90 million in 2015.</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included as a component</w:t>
      </w:r>
      <w:r>
        <w:rPr>
          <w:rFonts w:ascii="Arial" w:cs="Arial" w:eastAsia="Arial" w:hAnsi="Arial"/>
          <w:sz w:val="16"/>
          <w:szCs w:val="16"/>
          <w:i w:val="1"/>
          <w:iCs w:val="1"/>
          <w:color w:val="auto"/>
        </w:rPr>
        <w:t xml:space="preserve"> </w:t>
      </w:r>
      <w:r>
        <w:rPr>
          <w:rFonts w:ascii="Arial" w:cs="Arial" w:eastAsia="Arial" w:hAnsi="Arial"/>
          <w:sz w:val="16"/>
          <w:szCs w:val="16"/>
          <w:color w:val="auto"/>
        </w:rPr>
        <w:t>of long-term “Other liabilities” in our Condensed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As of September 30, 2015, we anticipate that approximately $11 million of liabilities for unrecognized tax benefits, including accrued interest, and $3 million of related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15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nine months ended September 30, 2015,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May 2014, the Financial Accounting Standards Board amended authoritative guidance associated with revenue recognition. The amended guidance requires companies to recognize revenue to depict the transfer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2018.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can generate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inflationary increases in costs, including the cost of diesel fuel,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September 30, 2015, does not differ materially from that discussed under Item 7A in our Annual Report on Form 10-K for the year ended December 31, 2014.</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2015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2015. We determined that there were no changes in our internal control over financial reporting during the quarter ended September 30, 2015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2014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share repurchase have been made in accordance with financial plans approved by our Board of Directors. We announced in February 2015, that the Board of Directors has authorized up to $1 billion in future share repurchases.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third quarter of 2015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2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Dollar Value of Shares that</w:t>
            </w:r>
          </w:p>
        </w:tc>
        <w:tc>
          <w:tcPr>
            <w:tcW w:w="0" w:type="dxa"/>
            <w:vAlign w:val="bottom"/>
          </w:tcPr>
          <w:p>
            <w:pPr>
              <w:spacing w:after="0"/>
              <w:rPr>
                <w:sz w:val="1"/>
                <w:szCs w:val="1"/>
                <w:color w:val="auto"/>
              </w:rPr>
            </w:pPr>
          </w:p>
        </w:tc>
      </w:tr>
      <w:tr>
        <w:trPr>
          <w:trHeight w:val="14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90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1"/>
              </w:rPr>
              <w:t>May Yet be Purchased Under</w:t>
            </w:r>
          </w:p>
        </w:tc>
        <w:tc>
          <w:tcPr>
            <w:tcW w:w="0" w:type="dxa"/>
            <w:vAlign w:val="bottom"/>
          </w:tcPr>
          <w:p>
            <w:pPr>
              <w:spacing w:after="0"/>
              <w:rPr>
                <w:sz w:val="1"/>
                <w:szCs w:val="1"/>
                <w:color w:val="auto"/>
              </w:rPr>
            </w:pPr>
          </w:p>
        </w:tc>
      </w:tr>
      <w:tr>
        <w:trPr>
          <w:trHeight w:val="148"/>
        </w:trPr>
        <w:tc>
          <w:tcPr>
            <w:tcW w:w="6420" w:type="dxa"/>
            <w:vAlign w:val="bottom"/>
            <w:gridSpan w:val="3"/>
            <w:vMerge w:val="continue"/>
          </w:tcPr>
          <w:p>
            <w:pPr>
              <w:spacing w:after="0"/>
              <w:rPr>
                <w:sz w:val="12"/>
                <w:szCs w:val="12"/>
                <w:color w:val="auto"/>
              </w:rPr>
            </w:pPr>
          </w:p>
        </w:tc>
        <w:tc>
          <w:tcPr>
            <w:tcW w:w="6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220" w:type="dxa"/>
            <w:vAlign w:val="bottom"/>
          </w:tcPr>
          <w:p>
            <w:pPr>
              <w:spacing w:after="0"/>
              <w:rPr>
                <w:sz w:val="12"/>
                <w:szCs w:val="12"/>
                <w:color w:val="auto"/>
              </w:rPr>
            </w:pPr>
          </w:p>
        </w:tc>
        <w:tc>
          <w:tcPr>
            <w:tcW w:w="88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per Share</w:t>
            </w:r>
          </w:p>
        </w:tc>
        <w:tc>
          <w:tcPr>
            <w:tcW w:w="13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Programs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 — 31</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49.06</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w w:val="90"/>
              </w:rPr>
              <w:t>400 million</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6420" w:type="dxa"/>
            <w:vAlign w:val="bottom"/>
            <w:gridSpan w:val="3"/>
          </w:tcPr>
          <w:p>
            <w:pPr>
              <w:spacing w:after="0"/>
              <w:rPr>
                <w:sz w:val="20"/>
                <w:szCs w:val="20"/>
                <w:color w:val="auto"/>
              </w:rPr>
            </w:pPr>
            <w:r>
              <w:rPr>
                <w:rFonts w:ascii="Arial" w:cs="Arial" w:eastAsia="Arial" w:hAnsi="Arial"/>
                <w:sz w:val="18"/>
                <w:szCs w:val="18"/>
                <w:color w:val="auto"/>
              </w:rPr>
              <w:t>August 1 — 31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400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54.21</w:t>
            </w:r>
          </w:p>
        </w:tc>
        <w:tc>
          <w:tcPr>
            <w:tcW w:w="2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400 million</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50.50</w:t>
            </w:r>
          </w:p>
        </w:tc>
        <w:tc>
          <w:tcPr>
            <w:tcW w:w="24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July 2015, we entered into an accelerated share repurchase (“ASR”) agreement with a financial institution to repurchase an aggregate of $300 million of our common stock. At the beginning of the ASR repurchase period, we delivered $300 million in cash and received 4.3 million shares, which represented 70% of the shares expected to be repurchased based on then-current market prices. This agreement was completed in September 2015 and we received 1.6 million additional shares.</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1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Exhibits.</w:t>
            </w:r>
          </w:p>
        </w:tc>
      </w:tr>
      <w:tr>
        <w:trPr>
          <w:trHeight w:val="219"/>
        </w:trPr>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8"/>
        </w:trPr>
        <w:tc>
          <w:tcPr>
            <w:tcW w:w="2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Borders>
              <w:bottom w:val="single" w:sz="8" w:color="auto"/>
            </w:tcBorders>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89"/>
              </w:rPr>
              <w:t>—  $2.25 Billion Third Amended and Restated Revolving Credit Agreement dated as of July 10, 2015 by and among Waste Management, Inc.</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88"/>
              </w:rPr>
              <w:t>and Waste Management Holdings, Inc. and certain banks party thereto, Bank of America, N.A., as administrative agent, JPMorgan Chase</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2"/>
              </w:rPr>
              <w:t>Bank, N.A. and Barclays Bank PLC, as syndication agents, BNP Paribas, Citibank, N.A., Deutsche Bank Securities Inc., The Bank of</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3"/>
              </w:rPr>
              <w:t>Tokyo-Mitsubishi UFJ, Ltd., Mizuho Bank, Ltd., U.S. Bank National Association and Wells Fargo Bank, National Association, as co-</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0"/>
              </w:rPr>
              <w:t>documentation agents and J.P. Morgan Securities LLC, Merrill Lynch, Pierce, Fenner &amp; Smith Incorporated, and Barclays Bank PLC, as</w:t>
            </w: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w w:val="93"/>
              </w:rPr>
              <w:t>lead arrangers and joint bookrunners [incorporated by reference to Exhibit 10.1 to Current Report on Form 8-K filed July 14, 2015].</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91"/>
              </w:rPr>
              <w:t>—  Certification Pursuant to Rules 13a-14(a) and 15d-14(a) under the Securities Exchange Act of 1934, as amended, of David P. Steiner,</w:t>
            </w: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w w:val="90"/>
              </w:rPr>
              <w:t>—  Certification Pursuant to Rules 13a-14(a) and 15d-14(a) under the Securities Exchange Act of 1934, as amended, of James C. Fish, Jr.,</w:t>
            </w: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95</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Mine Safety Disclosures.</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32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20" w:type="dxa"/>
            <w:vAlign w:val="bottom"/>
          </w:tcPr>
          <w:p>
            <w:pPr>
              <w:ind w:left="408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60"/>
          </w:cols>
          <w:pgMar w:left="240" w:top="274" w:right="29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27, 2015</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2015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27, 2015</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quarter ended September 30, 2015,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 proposed assessment from the MSHA.</w:t>
      </w:r>
    </w:p>
    <w:p>
      <w:pPr>
        <w:spacing w:after="0" w:line="19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during the quarter ended September 30, 2015,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154" w:lineRule="exact"/>
        <w:rPr>
          <w:sz w:val="20"/>
          <w:szCs w:val="20"/>
          <w:color w:val="auto"/>
        </w:rPr>
      </w:pPr>
    </w:p>
    <w:p>
      <w:pPr>
        <w:jc w:val="both"/>
        <w:ind w:right="100" w:firstLine="456"/>
        <w:spacing w:after="0" w:line="276" w:lineRule="auto"/>
        <w:rPr>
          <w:sz w:val="20"/>
          <w:szCs w:val="20"/>
          <w:color w:val="auto"/>
        </w:rPr>
      </w:pPr>
      <w:r>
        <w:rPr>
          <w:rFonts w:ascii="Arial" w:cs="Arial" w:eastAsia="Arial" w:hAnsi="Arial"/>
          <w:sz w:val="17"/>
          <w:szCs w:val="17"/>
          <w:color w:val="auto"/>
        </w:rPr>
        <w:t>On August 25, 2015, Deffenbaugh Industries, Inc., an indirect subsidiary of Waste Management, Inc., received an imminent danger order issued by the Mine Safety and Health Administration under section 107(a) of the Federal Mine Safety and Health Act of 1977 at its Olathe Lone Elm Quarry located at its Lone Elm Landfill in Johnson County, Kansas. The order stated that a mechanic was observed walking and working under a suspended load, consisting of a front end loader tire that was suspended in the air approximately ten feet. No one was injured in the cited incident. The mechanic was removed from the area and safely lowered the suspended load. This order has been terminated.</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decimal"/>
      <w:start w:val="3"/>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4"/>
    </w:lvl>
  </w:abstractNum>
  <w:abstractNum w:abstractNumId="9">
    <w:nsid w:val="4516DDE9"/>
    <w:multiLevelType w:val="hybridMultilevel"/>
    <w:lvl w:ilvl="0">
      <w:lvlJc w:val="left"/>
      <w:lvlText w:val="%1."/>
      <w:numFmt w:val="decimal"/>
      <w:start w:val="5"/>
    </w:lvl>
  </w:abstractNum>
  <w:abstractNum w:abstractNumId="10">
    <w:nsid w:val="3006C83E"/>
    <w:multiLevelType w:val="hybridMultilevel"/>
    <w:lvl w:ilvl="0">
      <w:lvlJc w:val="left"/>
      <w:lvlText w:val="%1."/>
      <w:numFmt w:val="decimal"/>
      <w:start w:val="6"/>
    </w:lvl>
  </w:abstractNum>
  <w:abstractNum w:abstractNumId="11">
    <w:nsid w:val="614FD4A1"/>
    <w:multiLevelType w:val="hybridMultilevel"/>
    <w:lvl w:ilvl="0">
      <w:lvlJc w:val="left"/>
      <w:lvlText w:val="%1."/>
      <w:numFmt w:val="decimal"/>
      <w:start w:val="7"/>
    </w:lvl>
  </w:abstractNum>
  <w:abstractNum w:abstractNumId="12">
    <w:nsid w:val="419AC241"/>
    <w:multiLevelType w:val="hybridMultilevel"/>
    <w:lvl w:ilvl="0">
      <w:lvlJc w:val="left"/>
      <w:lvlText w:val="%1."/>
      <w:numFmt w:val="decimal"/>
      <w:start w:val="8"/>
    </w:lvl>
  </w:abstractNum>
  <w:abstractNum w:abstractNumId="13">
    <w:nsid w:val="5577F8E1"/>
    <w:multiLevelType w:val="hybridMultilevel"/>
    <w:lvl w:ilvl="0">
      <w:lvlJc w:val="left"/>
      <w:lvlText w:val="%1."/>
      <w:numFmt w:val="decimal"/>
      <w:start w:val="9"/>
    </w:lvl>
  </w:abstractNum>
  <w:abstractNum w:abstractNumId="14">
    <w:nsid w:val="440BADFC"/>
    <w:multiLevelType w:val="hybridMultilevel"/>
    <w:lvl w:ilvl="0">
      <w:lvlJc w:val="left"/>
      <w:lvlText w:val="%1."/>
      <w:numFmt w:val="decimal"/>
      <w:start w:val="10"/>
    </w:lvl>
  </w:abstractNum>
  <w:abstractNum w:abstractNumId="15">
    <w:nsid w:val="5072367"/>
    <w:multiLevelType w:val="hybridMultilevel"/>
    <w:lvl w:ilvl="0">
      <w:lvlJc w:val="left"/>
      <w:lvlText w:val="%1."/>
      <w:numFmt w:val="decimal"/>
      <w:start w:val="11"/>
    </w:lvl>
  </w:abstractNum>
  <w:abstractNum w:abstractNumId="16">
    <w:nsid w:val="3804823E"/>
    <w:multiLevelType w:val="hybridMultilevel"/>
    <w:lvl w:ilvl="0">
      <w:lvlJc w:val="left"/>
      <w:lvlText w:val="%1."/>
      <w:numFmt w:val="decimal"/>
      <w:start w:val="12"/>
    </w:lvl>
  </w:abstractNum>
  <w:abstractNum w:abstractNumId="17">
    <w:nsid w:val="77465F01"/>
    <w:multiLevelType w:val="hybridMultilevel"/>
    <w:lvl w:ilvl="0">
      <w:lvlJc w:val="left"/>
      <w:lvlText w:val="%1."/>
      <w:numFmt w:val="decimal"/>
      <w:start w:val="13"/>
    </w:lvl>
  </w:abstractNum>
  <w:abstractNum w:abstractNumId="18">
    <w:nsid w:val="7724C67E"/>
    <w:multiLevelType w:val="hybridMultilevel"/>
    <w:lvl w:ilvl="0">
      <w:lvlJc w:val="left"/>
      <w:lvlText w:val="%1."/>
      <w:numFmt w:val="decimal"/>
      <w:start w:val="14"/>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decimal"/>
      <w:start w:val="15"/>
    </w:lvl>
  </w:abstractNum>
  <w:abstractNum w:abstractNumId="21">
    <w:nsid w:val="5E884ADC"/>
    <w:multiLevelType w:val="hybridMultilevel"/>
    <w:lvl w:ilvl="0">
      <w:lvlJc w:val="left"/>
      <w:lvlText w:val="%1."/>
      <w:numFmt w:val="decimal"/>
      <w:start w:val="16"/>
    </w:lvl>
  </w:abstractNum>
  <w:abstractNum w:abstractNumId="22">
    <w:nsid w:val="51EAD36B"/>
    <w:multiLevelType w:val="hybridMultilevel"/>
    <w:lvl w:ilvl="0">
      <w:lvlJc w:val="left"/>
      <w:lvlText w:val="%1."/>
      <w:numFmt w:val="decimal"/>
      <w:start w:val="17"/>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Roman"/>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lowerRoman"/>
      <w:start w:val="2"/>
    </w:lvl>
    <w:lvl w:ilvl="1">
      <w:lvlJc w:val="left"/>
      <w:lvlText w:val="%2."/>
      <w:numFmt w:val="upperLetter"/>
      <w:start w:val="1"/>
    </w:lvl>
  </w:abstractNum>
  <w:abstractNum w:abstractNumId="53">
    <w:nsid w:val="23F9C13C"/>
    <w:multiLevelType w:val="hybridMultilevel"/>
    <w:lvl w:ilvl="0">
      <w:lvlJc w:val="left"/>
      <w:lvlText w:val="%1."/>
      <w:numFmt w:val="lowerRoman"/>
      <w:start w:val="2"/>
    </w:lvl>
    <w:lvl w:ilvl="1">
      <w:lvlJc w:val="left"/>
      <w:lvlText w:val="%2."/>
      <w:numFmt w:val="upp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2019-12-06T02:20:00Z</dcterms:created>
  <dcterms:modified xsi:type="dcterms:W3CDTF">2019-12-06T02:20:00Z</dcterms:modified>
</cp:coreProperties>
</file>