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_________</w:t>
      </w:r>
    </w:p>
    <w:p>
      <w:pPr>
        <w:spacing w:after="0" w:line="3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_________</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October 15, 2004</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300"/>
          </w:cols>
          <w:pgMar w:left="240" w:top="118" w:right="35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1-12154</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73-1309529</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18" w:right="359" w:bottom="1440" w:gutter="0" w:footer="0" w:header="0"/>
          <w:type w:val="continuous"/>
        </w:sectPr>
      </w:pPr>
    </w:p>
    <w:p>
      <w:pPr>
        <w:spacing w:after="0" w:line="18" w:lineRule="exact"/>
        <w:rPr>
          <w:sz w:val="20"/>
          <w:szCs w:val="20"/>
          <w:color w:val="auto"/>
        </w:rPr>
      </w:pPr>
    </w:p>
    <w:p>
      <w:pPr>
        <w:ind w:left="1180" w:right="2180" w:firstLine="72"/>
        <w:spacing w:after="0" w:line="261" w:lineRule="auto"/>
        <w:rPr>
          <w:sz w:val="20"/>
          <w:szCs w:val="20"/>
          <w:color w:val="auto"/>
        </w:rPr>
      </w:pPr>
      <w:r>
        <w:rPr>
          <w:rFonts w:ascii="Times New Roman" w:cs="Times New Roman" w:eastAsia="Times New Roman" w:hAnsi="Times New Roman"/>
          <w:sz w:val="18"/>
          <w:szCs w:val="18"/>
          <w:color w:val="auto"/>
        </w:rPr>
        <w:t xml:space="preserve">1001 Fannin, Suite 4000 Houston, Texas 77002 </w:t>
      </w:r>
      <w:r>
        <w:rPr>
          <w:rFonts w:ascii="Times New Roman" w:cs="Times New Roman" w:eastAsia="Times New Roman" w:hAnsi="Times New Roman"/>
          <w:sz w:val="18"/>
          <w:szCs w:val="18"/>
          <w:b w:val="1"/>
          <w:bCs w:val="1"/>
          <w:color w:val="auto"/>
        </w:rPr>
        <w:t>(Address of Principal Executive Offices) (Zip Code)</w:t>
      </w:r>
    </w:p>
    <w:p>
      <w:pPr>
        <w:sectPr>
          <w:pgSz w:w="11900" w:h="16838" w:orient="portrait"/>
          <w:cols w:equalWidth="0" w:num="1">
            <w:col w:w="11300"/>
          </w:cols>
          <w:pgMar w:left="240" w:top="118" w:right="359" w:bottom="1440" w:gutter="0" w:footer="0" w:header="0"/>
          <w:type w:val="continuous"/>
        </w:sect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157480</wp:posOffset>
            </wp:positionV>
            <wp:extent cx="291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22"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1.01 Entry into a Material Definitive Agreement</w:t>
        </w:r>
      </w:hyperlink>
    </w:p>
    <w:p>
      <w:pPr>
        <w:spacing w:after="0" w:line="1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02"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On October 15, 2004, Waste Management, Inc. (the “Company”) entered into a new five-year, $2.4 billion revolving credit facility (the “New Facility”) with Citibank, N.A. as Administrative Agent, JPMorgan Chase Bank and Bank of America, N.A. as Syndication Agents, Barclays Bank PLC and Deutsche Bank AG as Documentation Agents, J.P. Morgan Securities Inc. and Banc of America Securities LLC as Lead Arrangers and Book Managers and a syndicate of other banks. Waste Management Holdings, Inc., a wholly-owned subsidiary of the Company, has guaranteed all of the Company’s obligations under the New Facility. The New Facility replaces the Company’s three-year $650 million revolving credit agreement and five-year $1.75 billion revolving credit agreement, which would have expired in 2005 and 2006, respectively (the “Old Facilities”).</w:t>
      </w:r>
    </w:p>
    <w:p>
      <w:pPr>
        <w:spacing w:after="0" w:line="147" w:lineRule="exact"/>
        <w:rPr>
          <w:sz w:val="20"/>
          <w:szCs w:val="20"/>
          <w:color w:val="auto"/>
        </w:rPr>
      </w:pPr>
    </w:p>
    <w:p>
      <w:pPr>
        <w:jc w:val="both"/>
        <w:ind w:right="500" w:firstLine="215"/>
        <w:spacing w:after="0" w:line="261" w:lineRule="auto"/>
        <w:rPr>
          <w:sz w:val="20"/>
          <w:szCs w:val="20"/>
          <w:color w:val="auto"/>
        </w:rPr>
      </w:pPr>
      <w:r>
        <w:rPr>
          <w:rFonts w:ascii="Times New Roman" w:cs="Times New Roman" w:eastAsia="Times New Roman" w:hAnsi="Times New Roman"/>
          <w:sz w:val="18"/>
          <w:szCs w:val="18"/>
          <w:color w:val="auto"/>
        </w:rPr>
        <w:t>Any borrowings under the New Facility will bear interest, at the Company’s option, at either a Eurodollar rate plus a spread ranging from 0.275% to 1.125% or at a base rate plus a spread of up to 0.2%, with such spread depending in each case on the ratings by Moody’s and Standard &amp; Poor’s of the Company’s public senior debt. At closing of the New Facility, there were no borrowings outstanding under the Old Facilities; however, approximately $1.4 billion letters of credit supported by the Old Facilities were outstanding, all of which are now supported by the New Facility.</w:t>
      </w:r>
    </w:p>
    <w:p>
      <w:pPr>
        <w:spacing w:after="0" w:line="140"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The New Facility contains customary representations and warranties and affirmative and negative covenants. The New Facility requires the Company to maintain a minimum interest coverage ratio and a maximum total debt to EBITDA ratio. The interest coverage covenant requires that the ratio of the Company’s EBIT for the preceding four fiscal quarters to its consolidated total interest expense for such period shall not be less than 2.75 to 1. The total debt covenant requires that the ratio of the Company’s total debt to its EBITDA for the preceding four fiscal quarters will not be more than 3.5 to 1. The calculation of all components used in the covenants are as defined in the New Facility. The New Facility contains certain restrictions on the ability of the Company’s subsidiaries to incur additional indebtedness as well as restrictions on the ability of the Company and its subsidiaries to, among other things, incur liens; engage in sale-leaseback transactions; make certain investments; engage in mergers and consolidations and dispose of assets.</w:t>
      </w:r>
    </w:p>
    <w:p>
      <w:pPr>
        <w:spacing w:after="0" w:line="162" w:lineRule="exact"/>
        <w:rPr>
          <w:sz w:val="20"/>
          <w:szCs w:val="20"/>
          <w:color w:val="auto"/>
        </w:rPr>
      </w:pPr>
    </w:p>
    <w:p>
      <w:pPr>
        <w:ind w:right="60" w:firstLine="222"/>
        <w:spacing w:after="0" w:line="255" w:lineRule="auto"/>
        <w:rPr>
          <w:sz w:val="20"/>
          <w:szCs w:val="20"/>
          <w:color w:val="auto"/>
        </w:rPr>
      </w:pPr>
      <w:r>
        <w:rPr>
          <w:rFonts w:ascii="Times New Roman" w:cs="Times New Roman" w:eastAsia="Times New Roman" w:hAnsi="Times New Roman"/>
          <w:sz w:val="18"/>
          <w:szCs w:val="18"/>
          <w:color w:val="auto"/>
        </w:rPr>
        <w:t>The New Facility contains customary events of default, including nonpayment of principal when due; nonpayment of interest, fees or other amounts after stated grace period; inaccuracy of representations and warranties; violations of covenants, subject in certain cases to negotiated grace periods; certain bankruptcies and liquidations; any cross-default of more than $50 million; certain judgments of more than $25 million; certain ERISA-related events; and a change in control (as defined in the agreement) of the Company. If an event of default occurs and is continuing, the Company may be required to repay all amounts outstanding under the New Facility and cash-collateralize any outstanding letters of credit supported by the New Facility. Banks that hold more than 50% of the commitments under the New Facility may elect to accelerate the maturity of all amounts due upon the occurrence and during the continuation of an event of default.</w:t>
      </w:r>
    </w:p>
    <w:p>
      <w:pPr>
        <w:spacing w:after="0" w:line="149"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Several of the banks that are party to the New Facility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19, 2004</w:t>
            </w:r>
          </w:p>
        </w:tc>
        <w:tc>
          <w:tcPr>
            <w:tcW w:w="6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Cherie C. Rice</w:t>
            </w:r>
          </w:p>
        </w:tc>
      </w:tr>
      <w:tr>
        <w:trPr>
          <w:trHeight w:val="191"/>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Cherie C. Rice</w:t>
            </w:r>
          </w:p>
        </w:tc>
      </w:tr>
      <w:tr>
        <w:trPr>
          <w:trHeight w:val="234"/>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 Finance and Treasurer</w:t>
            </w:r>
          </w:p>
        </w:tc>
      </w:tr>
    </w:tbl>
    <w:p>
      <w:pPr>
        <w:spacing w:after="0" w:line="1" w:lineRule="exact"/>
        <w:rPr>
          <w:sz w:val="20"/>
          <w:szCs w:val="20"/>
          <w:color w:val="auto"/>
        </w:rPr>
      </w:pPr>
    </w:p>
    <w:sectPr>
      <w:pgSz w:w="11900" w:h="16838" w:orient="portrait"/>
      <w:cols w:equalWidth="0" w:num="1">
        <w:col w:w="11120"/>
      </w:cols>
      <w:pgMar w:left="240" w:top="41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2019-12-20T03:49:10Z</dcterms:created>
  <dcterms:modified xsi:type="dcterms:W3CDTF">2019-12-20T03:49:10Z</dcterms:modified>
</cp:coreProperties>
</file>