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ind w:left="4089"/>
        <w:spacing w:after="0"/>
        <w:rPr>
          <w:sz w:val="20"/>
          <w:szCs w:val="20"/>
          <w:color w:val="auto"/>
        </w:rPr>
      </w:pPr>
      <w:r>
        <w:rPr>
          <w:rFonts w:ascii="Courier New" w:cs="Courier New" w:eastAsia="Courier New" w:hAnsi="Courier New"/>
          <w:sz w:val="15"/>
          <w:szCs w:val="15"/>
          <w:color w:val="auto"/>
        </w:rPr>
        <w:t>FILED PURSUANT TO RULE 424(b)(5)</w:t>
      </w:r>
    </w:p>
    <w:p>
      <w:pPr>
        <w:spacing w:after="0" w:line="1" w:lineRule="exact"/>
        <w:rPr>
          <w:sz w:val="24"/>
          <w:szCs w:val="24"/>
          <w:color w:val="auto"/>
        </w:rPr>
      </w:pPr>
    </w:p>
    <w:p>
      <w:pPr>
        <w:ind w:left="4089"/>
        <w:spacing w:after="0"/>
        <w:rPr>
          <w:sz w:val="20"/>
          <w:szCs w:val="20"/>
          <w:color w:val="auto"/>
        </w:rPr>
      </w:pPr>
      <w:r>
        <w:rPr>
          <w:rFonts w:ascii="Courier New" w:cs="Courier New" w:eastAsia="Courier New" w:hAnsi="Courier New"/>
          <w:sz w:val="15"/>
          <w:szCs w:val="15"/>
          <w:color w:val="auto"/>
        </w:rPr>
        <w:t>REGISTRATION NO. 333-17453</w:t>
      </w:r>
    </w:p>
    <w:p>
      <w:pPr>
        <w:spacing w:after="0" w:line="200" w:lineRule="exact"/>
        <w:rPr>
          <w:sz w:val="24"/>
          <w:szCs w:val="24"/>
          <w:color w:val="auto"/>
        </w:rPr>
      </w:pPr>
    </w:p>
    <w:p>
      <w:pPr>
        <w:spacing w:after="0" w:line="313"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INFORMATION CONTAINED HEREIN IS SUBJECT TO COMPLETION OR AMENDMENT.*</w:t>
      </w:r>
    </w:p>
    <w:p>
      <w:pPr>
        <w:spacing w:after="0" w:line="1" w:lineRule="exact"/>
        <w:rPr>
          <w:sz w:val="24"/>
          <w:szCs w:val="24"/>
          <w:color w:val="auto"/>
        </w:rPr>
      </w:pP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PROSPECTUS SUPPLEMENT SHALL NOT CONSTITUTE AN OFFER TO SELL OR*</w:t>
      </w: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SOLICITATION OF AN OFFER TO BUY NOR SHALL THERE BE ANY SALE OF *</w:t>
      </w: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SECURITIES IN ANY STATE IN WHICH SUCH OFFER, SOLICITATION OR *</w:t>
      </w: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WOULD BE UNLAWFUL PRIOR TO REGISTRATION OR QUALIFICATION UNDER*</w:t>
      </w:r>
    </w:p>
    <w:p>
      <w:pPr>
        <w:spacing w:after="0" w:line="1" w:lineRule="exact"/>
        <w:rPr>
          <w:sz w:val="24"/>
          <w:szCs w:val="24"/>
          <w:color w:val="auto"/>
        </w:rPr>
      </w:pPr>
    </w:p>
    <w:p>
      <w:pPr>
        <w:ind w:left="9"/>
        <w:spacing w:after="0"/>
        <w:tabs>
          <w:tab w:leader="none" w:pos="509" w:val="left"/>
          <w:tab w:leader="none" w:pos="64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THE SECURITIES LAWS OF ANY SUCH STATE.</w:t>
      </w:r>
      <w:r>
        <w:rPr>
          <w:sz w:val="20"/>
          <w:szCs w:val="20"/>
          <w:color w:val="auto"/>
        </w:rPr>
        <w:tab/>
      </w:r>
      <w:r>
        <w:rPr>
          <w:rFonts w:ascii="Courier New" w:cs="Courier New" w:eastAsia="Courier New" w:hAnsi="Courier New"/>
          <w:sz w:val="15"/>
          <w:szCs w:val="15"/>
          <w:color w:val="auto"/>
        </w:rPr>
        <w: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SUBJECT TO COMPLETION, DATED JANUARY 16, 1997</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PROSPECTUS SUPPLEMENT</w:t>
      </w:r>
    </w:p>
    <w:p>
      <w:pPr>
        <w:spacing w:after="0" w:line="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 1997</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(TO PROSPECTUS DATED JANUARY 15, 1997)</w:t>
      </w:r>
    </w:p>
    <w:p>
      <w:pPr>
        <w:spacing w:after="0" w:line="17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10,000,000 SHARES</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USA WASTE SERVICES, INC.</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4"/>
          <w:szCs w:val="24"/>
          <w:color w:val="auto"/>
        </w:rPr>
      </w:pPr>
    </w:p>
    <w:p>
      <w:pPr>
        <w:ind w:left="9" w:right="3579" w:firstLine="444"/>
        <w:spacing w:after="0" w:line="238" w:lineRule="auto"/>
        <w:rPr>
          <w:sz w:val="20"/>
          <w:szCs w:val="20"/>
          <w:color w:val="auto"/>
        </w:rPr>
      </w:pPr>
      <w:r>
        <w:rPr>
          <w:rFonts w:ascii="Courier New" w:cs="Courier New" w:eastAsia="Courier New" w:hAnsi="Courier New"/>
          <w:sz w:val="15"/>
          <w:szCs w:val="15"/>
          <w:color w:val="auto"/>
        </w:rPr>
        <w:t>All of the shares of Common Stock offered hereby are being sold by USA Waste Services, Inc. See "Underwriting."</w:t>
      </w:r>
    </w:p>
    <w:p>
      <w:pPr>
        <w:spacing w:after="0" w:line="175" w:lineRule="exact"/>
        <w:rPr>
          <w:sz w:val="24"/>
          <w:szCs w:val="24"/>
          <w:color w:val="auto"/>
        </w:rPr>
      </w:pPr>
    </w:p>
    <w:p>
      <w:pPr>
        <w:ind w:left="9" w:right="3479" w:firstLine="444"/>
        <w:spacing w:after="0" w:line="258" w:lineRule="auto"/>
        <w:rPr>
          <w:sz w:val="20"/>
          <w:szCs w:val="20"/>
          <w:color w:val="auto"/>
        </w:rPr>
      </w:pPr>
      <w:r>
        <w:rPr>
          <w:rFonts w:ascii="Courier New" w:cs="Courier New" w:eastAsia="Courier New" w:hAnsi="Courier New"/>
          <w:sz w:val="14"/>
          <w:szCs w:val="14"/>
          <w:color w:val="auto"/>
        </w:rPr>
        <w:t>Concurrently with this Offering, the Company is offering, pursuant to a separate Prospectus Supplement, $300,000,000 aggregate principal amount of</w:t>
      </w:r>
    </w:p>
    <w:p>
      <w:pPr>
        <w:ind w:left="9" w:right="3119" w:firstLine="435"/>
        <w:spacing w:after="0" w:line="258" w:lineRule="auto"/>
        <w:tabs>
          <w:tab w:leader="none" w:pos="63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Subordinated Notes due 2002 ($345,000,000 if the underwriters' over-allotment option is exercised in full). The net proceeds of this Offering, together with the net proceeds of the Notes Offering, are expected to be used to repay a portion of the outstanding indebtedness under the Company's revolving Credit Facility. Amounts repaid on the Credit Facility may be reborrowed from time to time for possible future acquisitions (including the pending Canadian Acquisition), capital expenditures and other general corporate purposes. Consummation of this Offering is not a condition to consummation of the Notes Offering, and consummation of the Notes Offering is not a condition to</w:t>
      </w:r>
    </w:p>
    <w:p>
      <w:pPr>
        <w:spacing w:after="0" w:line="2" w:lineRule="exact"/>
        <w:rPr>
          <w:sz w:val="24"/>
          <w:szCs w:val="24"/>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consummation of this Offering. See "Prospectus Supplement Summary -- The Company -- Recent Developments" and "Use of Proceeds."</w:t>
      </w:r>
    </w:p>
    <w:p>
      <w:pPr>
        <w:spacing w:after="0" w:line="175" w:lineRule="exact"/>
        <w:rPr>
          <w:sz w:val="24"/>
          <w:szCs w:val="24"/>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Common Stock is listed on the New York Stock Exchange and traded under the symbol "UW." On January 13, 1997, the closing sale price of the Common Stock as reported on the New York Stock Exchange Composite Tape was $31 per share. See "Price Range of Common Stock."</w:t>
      </w:r>
    </w:p>
    <w:p>
      <w:pPr>
        <w:spacing w:after="0" w:line="176" w:lineRule="exact"/>
        <w:rPr>
          <w:sz w:val="24"/>
          <w:szCs w:val="24"/>
          <w:color w:val="auto"/>
        </w:rPr>
      </w:pPr>
    </w:p>
    <w:p>
      <w:pPr>
        <w:ind w:left="9" w:right="3659" w:firstLine="532"/>
        <w:spacing w:after="0" w:line="238" w:lineRule="auto"/>
        <w:rPr>
          <w:sz w:val="20"/>
          <w:szCs w:val="20"/>
          <w:color w:val="auto"/>
        </w:rPr>
      </w:pPr>
      <w:r>
        <w:rPr>
          <w:rFonts w:ascii="Courier New" w:cs="Courier New" w:eastAsia="Courier New" w:hAnsi="Courier New"/>
          <w:sz w:val="15"/>
          <w:szCs w:val="15"/>
          <w:color w:val="auto"/>
        </w:rPr>
        <w:t>SEE "RISK FACTORS" BEGINNING ON PAGE S-5 FOR A DISCUSSION OF CERTAIN FACTORS THAT SHOULD BE CONSIDERED BY PROSPECTIVE INVESTORS.</w:t>
      </w:r>
    </w:p>
    <w:p>
      <w:pPr>
        <w:spacing w:after="0" w:line="172"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COMMISSION PASSED UPON THE ACCURACY OR ADEQUACY OF</w:t>
      </w:r>
    </w:p>
    <w:p>
      <w:pPr>
        <w:spacing w:after="0" w:line="1"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THIS PROSPECTUS. ANY REPRESENTATION TO THE</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CONTRARY IS A CRIMINAL OFFENSE.</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4"/>
          <w:szCs w:val="24"/>
          <w:color w:val="auto"/>
        </w:rPr>
      </w:pPr>
    </w:p>
    <w:p>
      <w:pPr>
        <w:spacing w:after="0" w:line="313" w:lineRule="exact"/>
        <w:rPr>
          <w:sz w:val="24"/>
          <w:szCs w:val="24"/>
          <w:color w:val="auto"/>
        </w:rPr>
      </w:pPr>
    </w:p>
    <w:p>
      <w:pPr>
        <w:ind w:left="4529"/>
        <w:spacing w:after="0"/>
        <w:tabs>
          <w:tab w:leader="none" w:pos="6009" w:val="left"/>
          <w:tab w:leader="none" w:pos="8049"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w:t>
      </w:r>
    </w:p>
    <w:p>
      <w:pPr>
        <w:spacing w:after="0" w:line="1" w:lineRule="exact"/>
        <w:rPr>
          <w:sz w:val="24"/>
          <w:szCs w:val="24"/>
          <w:color w:val="auto"/>
        </w:rPr>
      </w:pPr>
    </w:p>
    <w:p>
      <w:pPr>
        <w:ind w:left="4429"/>
        <w:spacing w:after="0"/>
        <w:tabs>
          <w:tab w:leader="none" w:pos="6009" w:val="left"/>
          <w:tab w:leader="none" w:pos="8149" w:val="left"/>
        </w:tabs>
        <w:rPr>
          <w:sz w:val="20"/>
          <w:szCs w:val="20"/>
          <w:color w:val="auto"/>
        </w:rPr>
      </w:pPr>
      <w:r>
        <w:rPr>
          <w:rFonts w:ascii="Courier New" w:cs="Courier New" w:eastAsia="Courier New" w:hAnsi="Courier New"/>
          <w:sz w:val="15"/>
          <w:szCs w:val="15"/>
          <w:color w:val="auto"/>
        </w:rPr>
        <w:t>TO THE</w:t>
      </w:r>
      <w:r>
        <w:rPr>
          <w:sz w:val="20"/>
          <w:szCs w:val="20"/>
          <w:color w:val="auto"/>
        </w:rPr>
        <w:tab/>
      </w:r>
      <w:r>
        <w:rPr>
          <w:rFonts w:ascii="Courier New" w:cs="Courier New" w:eastAsia="Courier New" w:hAnsi="Courier New"/>
          <w:sz w:val="15"/>
          <w:szCs w:val="15"/>
          <w:color w:val="auto"/>
        </w:rPr>
        <w:t>DISCOUNTS AND</w:t>
      </w:r>
      <w:r>
        <w:rPr>
          <w:sz w:val="20"/>
          <w:szCs w:val="20"/>
          <w:color w:val="auto"/>
        </w:rPr>
        <w:tab/>
      </w:r>
      <w:r>
        <w:rPr>
          <w:rFonts w:ascii="Courier New" w:cs="Courier New" w:eastAsia="Courier New" w:hAnsi="Courier New"/>
          <w:sz w:val="14"/>
          <w:szCs w:val="14"/>
          <w:color w:val="auto"/>
        </w:rPr>
        <w:t>TO THE</w:t>
      </w:r>
    </w:p>
    <w:p>
      <w:pPr>
        <w:spacing w:after="0" w:line="3" w:lineRule="exact"/>
        <w:rPr>
          <w:sz w:val="24"/>
          <w:szCs w:val="24"/>
          <w:color w:val="auto"/>
        </w:rPr>
      </w:pPr>
    </w:p>
    <w:p>
      <w:pPr>
        <w:ind w:left="4429"/>
        <w:spacing w:after="0"/>
        <w:tabs>
          <w:tab w:leader="none" w:pos="5929" w:val="left"/>
          <w:tab w:leader="none" w:pos="7969"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5"/>
          <w:szCs w:val="15"/>
          <w:color w:val="auto"/>
        </w:rPr>
        <w:t>COMMISSIONS(1)</w:t>
      </w:r>
      <w:r>
        <w:rPr>
          <w:sz w:val="20"/>
          <w:szCs w:val="20"/>
          <w:color w:val="auto"/>
        </w:rPr>
        <w:tab/>
      </w:r>
      <w:r>
        <w:rPr>
          <w:rFonts w:ascii="Courier New" w:cs="Courier New" w:eastAsia="Courier New" w:hAnsi="Courier New"/>
          <w:sz w:val="14"/>
          <w:szCs w:val="14"/>
          <w:color w:val="auto"/>
        </w:rPr>
        <w:t>COMPANY(2)</w:t>
      </w:r>
    </w:p>
    <w:p>
      <w:pPr>
        <w:spacing w:after="0" w:line="329"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9"/>
        <w:spacing w:after="0"/>
        <w:tabs>
          <w:tab w:leader="none" w:pos="4409" w:val="left"/>
          <w:tab w:leader="none" w:pos="6189" w:val="left"/>
          <w:tab w:leader="none" w:pos="8049" w:val="left"/>
        </w:tabs>
        <w:rPr>
          <w:sz w:val="20"/>
          <w:szCs w:val="20"/>
          <w:color w:val="auto"/>
        </w:rPr>
      </w:pPr>
      <w:r>
        <w:rPr>
          <w:rFonts w:ascii="Courier New" w:cs="Courier New" w:eastAsia="Courier New" w:hAnsi="Courier New"/>
          <w:sz w:val="15"/>
          <w:szCs w:val="15"/>
          <w:color w:val="auto"/>
        </w:rPr>
        <w:t>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 w:lineRule="exact"/>
        <w:rPr>
          <w:sz w:val="24"/>
          <w:szCs w:val="24"/>
          <w:color w:val="auto"/>
        </w:rPr>
      </w:pPr>
    </w:p>
    <w:p>
      <w:pPr>
        <w:ind w:left="9"/>
        <w:spacing w:after="0"/>
        <w:tabs>
          <w:tab w:leader="none" w:pos="4409" w:val="left"/>
          <w:tab w:leader="none" w:pos="6189" w:val="left"/>
          <w:tab w:leader="none" w:pos="8049" w:val="left"/>
        </w:tabs>
        <w:rPr>
          <w:sz w:val="20"/>
          <w:szCs w:val="20"/>
          <w:color w:val="auto"/>
        </w:rPr>
      </w:pPr>
      <w:r>
        <w:rPr>
          <w:rFonts w:ascii="Courier New" w:cs="Courier New" w:eastAsia="Courier New" w:hAnsi="Courier New"/>
          <w:sz w:val="15"/>
          <w:szCs w:val="15"/>
          <w:color w:val="auto"/>
        </w:rPr>
        <w:t>Total (3)..................................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53" w:lineRule="exact"/>
        <w:rPr>
          <w:sz w:val="24"/>
          <w:szCs w:val="24"/>
          <w:color w:val="auto"/>
        </w:rPr>
      </w:pPr>
    </w:p>
    <w:p>
      <w:pPr>
        <w:ind w:left="349" w:right="3579" w:hanging="349"/>
        <w:spacing w:after="0" w:line="239"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See "Underwriting."</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$400,000.</w:t>
      </w:r>
    </w:p>
    <w:p>
      <w:pPr>
        <w:spacing w:after="0" w:line="3" w:lineRule="exact"/>
        <w:rPr>
          <w:rFonts w:ascii="Courier New" w:cs="Courier New" w:eastAsia="Courier New" w:hAnsi="Courier New"/>
          <w:sz w:val="15"/>
          <w:szCs w:val="15"/>
          <w:color w:val="auto"/>
        </w:rPr>
      </w:pPr>
    </w:p>
    <w:p>
      <w:pPr>
        <w:ind w:left="349" w:right="3219" w:hanging="349"/>
        <w:spacing w:after="0" w:line="258" w:lineRule="auto"/>
        <w:tabs>
          <w:tab w:leader="none" w:pos="34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to the Underwriters an option exercisable within 30 days after the date of this Prospectus Supplement to purchase up to an aggregate of 1,500,000 additional shares of Common Stock, on the same terms as set forth above, at the Price to the Public, less the Underwriting Discounts and Commissions, solely for the purpose of covering over-allotments, if any. If such option is exercised in full, the total</w:t>
      </w:r>
    </w:p>
    <w:p>
      <w:pPr>
        <w:ind w:left="349"/>
        <w:spacing w:after="0" w:line="237" w:lineRule="auto"/>
        <w:rPr>
          <w:sz w:val="20"/>
          <w:szCs w:val="20"/>
          <w:color w:val="auto"/>
        </w:rPr>
      </w:pPr>
      <w:r>
        <w:rPr>
          <w:rFonts w:ascii="Courier New" w:cs="Courier New" w:eastAsia="Courier New" w:hAnsi="Courier New"/>
          <w:sz w:val="15"/>
          <w:szCs w:val="15"/>
          <w:color w:val="auto"/>
        </w:rPr>
        <w:t>Price to the Public, Underwriting Discounts and Commissions and Proceeds to</w:t>
      </w:r>
    </w:p>
    <w:p>
      <w:pPr>
        <w:spacing w:after="0" w:line="1" w:lineRule="exact"/>
        <w:rPr>
          <w:sz w:val="24"/>
          <w:szCs w:val="24"/>
          <w:color w:val="auto"/>
        </w:rPr>
      </w:pPr>
    </w:p>
    <w:p>
      <w:pPr>
        <w:ind w:left="349"/>
        <w:spacing w:after="0"/>
        <w:tabs>
          <w:tab w:leader="none" w:pos="3089" w:val="left"/>
          <w:tab w:leader="none" w:pos="4249" w:val="left"/>
          <w:tab w:leader="none" w:pos="5569" w:val="left"/>
        </w:tabs>
        <w:rPr>
          <w:sz w:val="20"/>
          <w:szCs w:val="20"/>
          <w:color w:val="auto"/>
        </w:rPr>
      </w:pPr>
      <w:r>
        <w:rPr>
          <w:rFonts w:ascii="Courier New" w:cs="Courier New" w:eastAsia="Courier New" w:hAnsi="Courier New"/>
          <w:sz w:val="15"/>
          <w:szCs w:val="15"/>
          <w:color w:val="auto"/>
        </w:rPr>
        <w:t>the Company will be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and $</w:t>
      </w:r>
      <w:r>
        <w:rPr>
          <w:sz w:val="20"/>
          <w:szCs w:val="20"/>
          <w:color w:val="auto"/>
        </w:rPr>
        <w:tab/>
      </w:r>
      <w:r>
        <w:rPr>
          <w:rFonts w:ascii="Courier New" w:cs="Courier New" w:eastAsia="Courier New" w:hAnsi="Courier New"/>
          <w:sz w:val="14"/>
          <w:szCs w:val="14"/>
          <w:color w:val="auto"/>
        </w:rPr>
        <w:t>, respectively.</w:t>
      </w:r>
    </w:p>
    <w:p>
      <w:pPr>
        <w:spacing w:after="0" w:line="1"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See "Underwriting."</w:t>
      </w:r>
    </w:p>
    <w:p>
      <w:pPr>
        <w:spacing w:after="0" w:line="17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w w:val="99"/>
              </w:rPr>
              <w:t>The shares</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Common Stock are</w:t>
            </w:r>
          </w:p>
        </w:tc>
        <w:tc>
          <w:tcPr>
            <w:tcW w:w="3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offered by the several Underwriters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when, as</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if delivered to</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and accepted by</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them, subject to</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certain conditions,</w:t>
            </w:r>
          </w:p>
        </w:tc>
        <w:tc>
          <w:tcPr>
            <w:tcW w:w="720" w:type="dxa"/>
            <w:vAlign w:val="bottom"/>
          </w:tcPr>
          <w:p>
            <w:pPr>
              <w:spacing w:after="0"/>
              <w:rPr>
                <w:sz w:val="14"/>
                <w:szCs w:val="14"/>
                <w:color w:val="auto"/>
              </w:rPr>
            </w:pP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including their</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rights to withdraw,</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cancel or reject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orders in whole or</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in part.</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It is expected that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delivery of the</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shares of Common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Stock will be made</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in New</w:t>
            </w:r>
          </w:p>
        </w:tc>
      </w:tr>
      <w:tr>
        <w:trPr>
          <w:trHeight w:val="171"/>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York, New York,</w:t>
            </w:r>
          </w:p>
        </w:tc>
        <w:tc>
          <w:tcPr>
            <w:tcW w:w="178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on or about</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 1997.</w:t>
            </w: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DONALDSON, LUFKIN &amp;</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JENRETTE</w:t>
            </w:r>
          </w:p>
        </w:tc>
        <w:tc>
          <w:tcPr>
            <w:tcW w:w="1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1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SECURITIES CORPORATION</w:t>
            </w:r>
          </w:p>
        </w:tc>
        <w:tc>
          <w:tcPr>
            <w:tcW w:w="1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ectPr>
          <w:pgSz w:w="11900" w:h="16838" w:orient="portrait"/>
          <w:cols w:equalWidth="0" w:num="1">
            <w:col w:w="10228"/>
          </w:cols>
          <w:pgMar w:left="231" w:top="230" w:right="1440" w:bottom="0" w:gutter="0" w:footer="0" w:header="0"/>
        </w:sectPr>
      </w:pPr>
    </w:p>
    <w:bookmarkStart w:id="1" w:name="page2"/>
    <w:bookmarkEnd w:id="1"/>
    <w:p>
      <w:pPr>
        <w:ind w:left="660"/>
        <w:spacing w:after="0"/>
        <w:rPr>
          <w:sz w:val="20"/>
          <w:szCs w:val="20"/>
          <w:color w:val="auto"/>
        </w:rPr>
      </w:pPr>
      <w:r>
        <w:rPr>
          <w:rFonts w:ascii="Courier New" w:cs="Courier New" w:eastAsia="Courier New" w:hAnsi="Courier New"/>
          <w:sz w:val="15"/>
          <w:szCs w:val="15"/>
          <w:color w:val="auto"/>
        </w:rPr>
        <w:t>DEUTSCHE MORGAN GRENFELL</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MERRILL LYNCH &amp; CO.</w:t>
      </w:r>
    </w:p>
    <w:p>
      <w:pPr>
        <w:sectPr>
          <w:pgSz w:w="11900" w:h="16838" w:orient="portrait"/>
          <w:cols w:equalWidth="0" w:num="1">
            <w:col w:w="9019"/>
          </w:cols>
          <w:pgMar w:left="1440" w:top="30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CONNECTION WITH THE OFFERING, THE UNDERWRITERS MAY OVER-ALLOT OR EFFECT TRANSACTIONS WHICH STABILIZE OR MAINTAIN THE MARKET PRICE OF THE NOTES OR THE COMMON STOCK AT LEVELS ABOVE THAT WHICH MIGHT OTHERWISE PREVAIL IN THE OPEN MARKET. SUCH TRANSACTIONS MAY BE EFFECTED ON THE NEW YORK STOCK EXCHANGE OR OTHERWISE. SUCH STABILIZING, IF COMMENCED, MAY BE DISCONTINUED AT ANY TIME.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87" w:right="1440"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PROSPECTUS SUPPLEMENT SUMMARY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the Selected Consolidated Financial Data and the Company's Consolidated Financial Statements and Notes thereto, included or incorporated by reference in this Prospectus Supplement and the accompanying Prospectus. Except as otherwise specified, all information in this Prospectus Supplement assumes that the Underwriters do not exercise the over-allotment option described under the caption "Underwriting." The "Company" and "USA Waste" refer to USA Waste Services, Inc. and its subsidiaries and predecessors, unless otherwise indicated or the context requires otherwise.</w:t>
      </w:r>
    </w:p>
    <w:p>
      <w:pPr>
        <w:spacing w:after="0" w:line="175"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THE COMPANY</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2.0 million customers.</w:t>
      </w:r>
    </w:p>
    <w:p>
      <w:pPr>
        <w:spacing w:after="0" w:line="177"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For the nine months ended September 30, 1996, approximately 52.9% of the Company's revenues was attributable to collection operations, approximately 28.9% was attributable to landfill operations and approximately 10.6% was attributable to transfer operations. Of the collection revenues, approximately 39.6%, 28.8% and 31.6% were from commercial, residential, and industrial customers, respectively. For the nine months ended September 30, 1996, the Company's average landfill volume was approximately 72,500 tons per day.</w:t>
      </w:r>
    </w:p>
    <w:p>
      <w:pPr>
        <w:spacing w:after="0" w:line="163"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The Company's strategy includes the following key elements: (i) increasing productivity and operating efficiencies in existing and acquired operations,</w:t>
      </w:r>
    </w:p>
    <w:p>
      <w:pPr>
        <w:ind w:left="9" w:right="3299" w:hanging="9"/>
        <w:spacing w:after="0"/>
        <w:tabs>
          <w:tab w:leader="none" w:pos="45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in its existing markets through "tuck-in" acquisitions, and (iii) expanding into new markets through acquisitions. The Company seeks to become the low-cost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0"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 (713) 512-6200.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RECENT DEVELOPMENTS</w:t>
      </w:r>
    </w:p>
    <w:p>
      <w:pPr>
        <w:spacing w:after="0" w:line="174"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On December 16, 1996, the Company acquired Empire Sanitary Landfill, Inc., a large landfill, and Danella Environmental Technologies, Inc., a collection operation, both located near Scranton, Pennsylvania. The annualized revenues from these acquired operations are approximately $52 million.</w:t>
      </w:r>
    </w:p>
    <w:p>
      <w:pPr>
        <w:spacing w:after="0" w:line="161" w:lineRule="exact"/>
        <w:rPr>
          <w:sz w:val="20"/>
          <w:szCs w:val="20"/>
          <w:color w:val="auto"/>
        </w:rPr>
      </w:pPr>
    </w:p>
    <w:p>
      <w:pPr>
        <w:ind w:left="9" w:right="3299" w:firstLine="444"/>
        <w:spacing w:after="0" w:line="259" w:lineRule="auto"/>
        <w:rPr>
          <w:sz w:val="20"/>
          <w:szCs w:val="20"/>
          <w:color w:val="auto"/>
        </w:rPr>
      </w:pPr>
      <w:r>
        <w:rPr>
          <w:rFonts w:ascii="Courier New" w:cs="Courier New" w:eastAsia="Courier New" w:hAnsi="Courier New"/>
          <w:sz w:val="14"/>
          <w:szCs w:val="14"/>
          <w:color w:val="auto"/>
        </w:rPr>
        <w:t>USA Waste has signed a definitive agreement, effective as of January 15, 1997, to acquire the Canadian operations of Allied Waste Industries, Inc. for approximately US $518 million in cash (the "Canadian Acquisition"). Allied acquired these operations from Laidlaw Inc. on December 30, 1996. The Canadian Acquisition includes landfill and collection operations in the provinces of Alberta, British Columbia, Manitoba, Ontario, Quebec and Saskatchewan. The annualized revenues from the Canadian Acquisition are approximately US $270 million. Completion of the Canadian Acquisition is subject to certain Canadian regulatory approvals and other customary conditions. There can be no assurance that the Canadian Acquisition will be completed. Consummation of this Offering is not conditioned on consummation of the</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28"/>
          </w:cols>
          <w:pgMar w:left="231"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4099"/>
        <w:spacing w:after="0" w:line="238" w:lineRule="auto"/>
        <w:rPr>
          <w:sz w:val="20"/>
          <w:szCs w:val="20"/>
          <w:color w:val="auto"/>
        </w:rPr>
      </w:pPr>
      <w:r>
        <w:rPr>
          <w:rFonts w:ascii="Courier New" w:cs="Courier New" w:eastAsia="Courier New" w:hAnsi="Courier New"/>
          <w:sz w:val="15"/>
          <w:szCs w:val="15"/>
          <w:color w:val="auto"/>
        </w:rPr>
        <w:t>Canadian Acquisition, nor is consummation of the Canadian Acquisition conditioned on consummation of this Offering.</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received a commitment from a group of commercial banks for a $400 million bridge credit facility with an 18-month maturity and other proposed terms that the Company believes to be generally acceptable (the "Bank Bridge Facility"). In the event that this offering (the "Offering") or the Company's concurrent offering of % Convertible Subordinated Notes due 2002 (the "Notes Offering") is not consummated or is delayed, the Company intends to use the proceeds from the Bank Bridge Facility to fund a portion of the Canadian Acquisition.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31, 1996, the Company was served with subpoenas relating to documents covering a period from 1990 to the present in connection with an ongoing investigation being conducted by the United States Attorney's Office for the Central District of California. The Company has been informed that it is not a target of the investigation but that one of its subsidiaries, Western Waste Industries, which the Company acquired in May of 1996, is a target of the investigation. The Company has pledged its full cooperation in the investigation.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2300" w:type="dxa"/>
            <w:vAlign w:val="bottom"/>
          </w:tcPr>
          <w:p>
            <w:pPr>
              <w:ind w:left="120"/>
              <w:spacing w:after="0"/>
              <w:rPr>
                <w:sz w:val="20"/>
                <w:szCs w:val="20"/>
                <w:color w:val="auto"/>
              </w:rPr>
            </w:pPr>
            <w:r>
              <w:rPr>
                <w:rFonts w:ascii="Courier New" w:cs="Courier New" w:eastAsia="Courier New" w:hAnsi="Courier New"/>
                <w:sz w:val="15"/>
                <w:szCs w:val="15"/>
                <w:color w:val="auto"/>
              </w:rPr>
              <w:t>THE OFFERING</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Common Stock offered by the</w:t>
            </w:r>
          </w:p>
        </w:tc>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880" w:type="dxa"/>
            <w:vAlign w:val="bottom"/>
          </w:tcPr>
          <w:p>
            <w:pPr>
              <w:ind w:left="160"/>
              <w:spacing w:after="0"/>
              <w:rPr>
                <w:sz w:val="20"/>
                <w:szCs w:val="20"/>
                <w:color w:val="auto"/>
              </w:rPr>
            </w:pPr>
            <w:r>
              <w:rPr>
                <w:rFonts w:ascii="Courier New" w:cs="Courier New" w:eastAsia="Courier New" w:hAnsi="Courier New"/>
                <w:sz w:val="15"/>
                <w:szCs w:val="15"/>
                <w:color w:val="auto"/>
              </w:rPr>
              <w:t>Company.....................</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10,000,000 shares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Common Stock to be outstanding</w:t>
            </w:r>
          </w:p>
        </w:tc>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after the Offering............</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149,548,045 shares(1)</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Concurrent Offering...........</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Concurrently with this Offering of Common</w:t>
            </w:r>
          </w:p>
        </w:tc>
        <w:tc>
          <w:tcPr>
            <w:tcW w:w="100" w:type="dxa"/>
            <w:vAlign w:val="bottom"/>
          </w:tcPr>
          <w:p>
            <w:pPr>
              <w:spacing w:after="0"/>
              <w:rPr>
                <w:sz w:val="24"/>
                <w:szCs w:val="24"/>
                <w:color w:val="auto"/>
              </w:rPr>
            </w:pPr>
          </w:p>
        </w:tc>
      </w:tr>
      <w:tr>
        <w:trPr>
          <w:trHeight w:val="171"/>
        </w:trPr>
        <w:tc>
          <w:tcPr>
            <w:tcW w:w="2880" w:type="dxa"/>
            <w:vAlign w:val="bottom"/>
          </w:tcPr>
          <w:p>
            <w:pPr>
              <w:spacing w:after="0"/>
              <w:rPr>
                <w:sz w:val="14"/>
                <w:szCs w:val="14"/>
                <w:color w:val="auto"/>
              </w:rPr>
            </w:pPr>
          </w:p>
        </w:tc>
        <w:tc>
          <w:tcPr>
            <w:tcW w:w="42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Stock, par value $.01 per share, of the Company</w:t>
            </w: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"Common Stock"), the Company is offering</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$300,000,000 aggregate principal amount of</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Convertible Subordinated Notes due 2002 (the</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"Notes") ($345,000,000 if the underwriters'</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over-allotment option is exercised in full)</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pursuant to a separate Prospectus Supplement.</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The Notes are convertible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w w:val="97"/>
              </w:rPr>
              <w:t>into Common Stock at</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a conversion price of $</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Consummation of this Offering is not a</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condition to consummation of the Notes</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Offering, and consummation of the Notes</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Offering is not a condition to consummation of</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this Offering.</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net proceeds of this Offering, together</w:t>
            </w:r>
          </w:p>
        </w:tc>
        <w:tc>
          <w:tcPr>
            <w:tcW w:w="100" w:type="dxa"/>
            <w:vAlign w:val="bottom"/>
          </w:tcPr>
          <w:p>
            <w:pPr>
              <w:spacing w:after="0"/>
              <w:rPr>
                <w:sz w:val="24"/>
                <w:szCs w:val="2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with the net proceeds of the Notes Offering,</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are expected to be used to repay a portion of</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outstanding indebtedness under the</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Company's revolving credit facility (the</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"Credit Facility"). Amounts repaid on the</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Credit Facility may be reborrowed from time to</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time for possible future acquisitions</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(including the pending Canadian Acquisition),</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capital expenditures and other general</w:t>
            </w: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purposes. See "Use of Proceeds."</w:t>
            </w:r>
          </w:p>
        </w:tc>
        <w:tc>
          <w:tcPr>
            <w:tcW w:w="100" w:type="dxa"/>
            <w:vAlign w:val="bottom"/>
          </w:tcPr>
          <w:p>
            <w:pPr>
              <w:spacing w:after="0"/>
              <w:rPr>
                <w:sz w:val="14"/>
                <w:szCs w:val="14"/>
                <w:color w:val="auto"/>
              </w:rPr>
            </w:pP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New York Stock Exchange</w:t>
            </w:r>
          </w:p>
        </w:tc>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880" w:type="dxa"/>
            <w:vAlign w:val="bottom"/>
          </w:tcPr>
          <w:p>
            <w:pPr>
              <w:ind w:left="160"/>
              <w:spacing w:after="0"/>
              <w:rPr>
                <w:sz w:val="20"/>
                <w:szCs w:val="20"/>
                <w:color w:val="auto"/>
              </w:rPr>
            </w:pPr>
            <w:r>
              <w:rPr>
                <w:rFonts w:ascii="Courier New" w:cs="Courier New" w:eastAsia="Courier New" w:hAnsi="Courier New"/>
                <w:sz w:val="15"/>
                <w:szCs w:val="15"/>
                <w:color w:val="auto"/>
              </w:rPr>
              <w:t>("NYSE") symbol.............</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rPr>
              <w:t>UW</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Based on the number of shares of Common Stock outstanding as of December 31,</w:t>
      </w:r>
    </w:p>
    <w:p>
      <w:pPr>
        <w:spacing w:after="0" w:line="9" w:lineRule="exact"/>
        <w:rPr>
          <w:sz w:val="20"/>
          <w:szCs w:val="20"/>
          <w:color w:val="auto"/>
        </w:rPr>
      </w:pPr>
    </w:p>
    <w:p>
      <w:pPr>
        <w:ind w:left="340"/>
        <w:spacing w:after="0"/>
        <w:tabs>
          <w:tab w:leader="none" w:pos="3600" w:val="left"/>
        </w:tabs>
        <w:rPr>
          <w:sz w:val="20"/>
          <w:szCs w:val="20"/>
          <w:color w:val="auto"/>
        </w:rPr>
      </w:pPr>
      <w:r>
        <w:rPr>
          <w:rFonts w:ascii="Courier New" w:cs="Courier New" w:eastAsia="Courier New" w:hAnsi="Courier New"/>
          <w:sz w:val="15"/>
          <w:szCs w:val="15"/>
          <w:color w:val="auto"/>
        </w:rPr>
        <w:t>1996. Does not include (i)</w:t>
      </w:r>
      <w:r>
        <w:rPr>
          <w:sz w:val="20"/>
          <w:szCs w:val="20"/>
          <w:color w:val="auto"/>
        </w:rPr>
        <w:tab/>
      </w:r>
      <w:r>
        <w:rPr>
          <w:rFonts w:ascii="Courier New" w:cs="Courier New" w:eastAsia="Courier New" w:hAnsi="Courier New"/>
          <w:sz w:val="14"/>
          <w:szCs w:val="14"/>
          <w:color w:val="auto"/>
        </w:rPr>
        <w:t>shares issuable upon conversion of the</w:t>
      </w:r>
    </w:p>
    <w:p>
      <w:pPr>
        <w:spacing w:after="0" w:line="1" w:lineRule="exact"/>
        <w:rPr>
          <w:sz w:val="20"/>
          <w:szCs w:val="20"/>
          <w:color w:val="auto"/>
        </w:rPr>
      </w:pPr>
    </w:p>
    <w:p>
      <w:pPr>
        <w:ind w:left="960" w:hanging="170"/>
        <w:spacing w:after="0"/>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Subordinated Notes due 2002 at a conversion price of</w:t>
      </w:r>
    </w:p>
    <w:p>
      <w:pPr>
        <w:spacing w:after="0" w:line="3" w:lineRule="exact"/>
        <w:rPr>
          <w:rFonts w:ascii="Courier New" w:cs="Courier New" w:eastAsia="Courier New" w:hAnsi="Courier New"/>
          <w:sz w:val="15"/>
          <w:szCs w:val="15"/>
          <w:color w:val="auto"/>
        </w:rPr>
      </w:pPr>
    </w:p>
    <w:p>
      <w:pPr>
        <w:ind w:left="34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per share, (ii) 4,062,168 shares issuable upon conversion of the Company's outstanding 5% Convertible Subordinated Debentures due 2006 at a conversion price of $28.31 per share, or (iii) 18,565,613 shares issuable upon exercise of outstanding stock options under the Company's stock option plans and outstanding warrants as of such date.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addition to the other information contained in or incorporated by reference in this Prospectus Supplement or the accompanying Prospectus, prospective investors should consider carefully the following factors relating to the business of the Company and the sale of the Common Stock before acquiring any of the Common Stock offered hereby. Information contained or incorporated by reference in this Prospectus Supplement or the accompanying Prospectus contains "forward-looking statements." No assurance can be given that the future results covered by the forward-looking statements will be achieved. The following cautionary statements identify certain important factors with respect to such forward-looking statements, including certain risks and uncertainties, that could cause actual results to vary materially from the future results covered in such forward-looking statements. Other factors also could cause actual results to vary materially from the future results covered in such forward-looking statements. In addition, prospective investors should consider carefully the information set forth under the captions "Business -- Regulation" and</w:t>
      </w:r>
    </w:p>
    <w:p>
      <w:pPr>
        <w:spacing w:after="0" w:line="3"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 Factors Influencing Future Results and Accuracy of Forward-Looking Statements" in Part I of the Company's Annual Report on Form 10-K for the fiscal year ended December 31, 1995, which is incorporated by reference herein.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 ability of the combined companies to achieve administrative cost savings, rationalization of collection routes, insurance and bonding cost reductions, general economies of scale and the ability of the Company, generally, to capitalize on its combined asset base and strategic position. Moreover, the ability of the Company to continue to grow will depend on a number of factors, including competition from other waste management companies, availability of capital, ability to maintain margins and the management of costs in a changing regulatory environment. There can be no assurance that the Company will be able to continue to expand and successfully manage its growth.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regularly pursues opportunities to expand through acquisitions. The Company plans to continue to seek acquisitions that complement its services, broaden its customer base and improve its operating efficiencies. The Company's acquisition strategy involves certain potential risks associated with assessing, acquiring and integrating the operations of acquired companies. Although the Company generally has been successful in implementing its acquisition strategy, there can be no assurance that attractive acquisition opportunities will continue to be available,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EXPANSION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the pending Canadian Acquisition is consummated, a significant portion of the Company's operations will be conducted in Canada. The Company's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solid waste management industry in general.</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proceeds to the Company from the sale of the Common Stock in this Offering, after deducting underwriting discounts and commissions and estimated offering expenses, are estimated to be $297.2 million ($341.8 million if the Underwriters' over-allotment option is exercised in full), based upon the closing sale price of the Common Stock as reported on the NYSE Composite Tape on January 13, 1997. The proceeds to the Company from the Notes Offering, after deducting underwriting discounts and commissions and estimated offering expenses, are estimated to be $292.1 million ($336.0 million if the underwriters' over-allotment option is exercised in full).</w:t>
      </w:r>
    </w:p>
    <w:p>
      <w:pPr>
        <w:spacing w:after="0" w:line="177"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net proceeds of this Offering, together with the net proceeds of the Notes Offering, are expected to be used to repay a portion of the outstanding indebtedness under the Credit Facility. At January 8, 1997, the aggregate outstanding balance under the Credit Facility was $722.0 million. Borrowings under the Credit Facility bear interest at a rate equal to the Eurodollar rate plus an amount not in excess of 0.75% per annum (currently 5.75%) and mature on August 30, 2001. Amounts currently outstanding under the Credit Facility were incurred primarily to fund acquisitions and to refinance existing indebtedness. Amounts repaid on the Credit Facility may be reborrowed from time to time for possible future acquisitions (including the pending Canadian Acquisition), capital expenditures and other general corporate purposes.</w:t>
      </w:r>
    </w:p>
    <w:p>
      <w:pPr>
        <w:spacing w:after="0" w:line="165"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Consummation of this Offering is not a condition to consummation of the Notes Offering, and consummation of the Notes Offering is not a condition to consummation of this Offering.</w:t>
      </w:r>
    </w:p>
    <w:p>
      <w:pPr>
        <w:spacing w:after="0" w:line="17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NYSE under the symbol "UW." The following table sets forth the range of the high and low per share sales prices for the Common Stock as reported on the NYSE Composite Tape for the period from January 1, 1995 through January 13, 1997.</w:t>
      </w:r>
    </w:p>
    <w:p>
      <w:pPr>
        <w:spacing w:after="0" w:line="200" w:lineRule="exact"/>
        <w:rPr>
          <w:sz w:val="20"/>
          <w:szCs w:val="20"/>
          <w:color w:val="auto"/>
        </w:rPr>
      </w:pPr>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4"/>
              </w:rPr>
              <w:t>PRICE RANGE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w:t>
            </w: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3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LOW</w:t>
            </w:r>
          </w:p>
        </w:tc>
        <w:tc>
          <w:tcPr>
            <w:tcW w:w="300" w:type="dxa"/>
            <w:vAlign w:val="bottom"/>
          </w:tcPr>
          <w:p>
            <w:pPr>
              <w:spacing w:after="0"/>
              <w:rPr>
                <w:sz w:val="14"/>
                <w:szCs w:val="14"/>
                <w:color w:val="auto"/>
              </w:rPr>
            </w:pPr>
          </w:p>
        </w:tc>
      </w:tr>
      <w:tr>
        <w:trPr>
          <w:trHeight w:val="341"/>
        </w:trPr>
        <w:tc>
          <w:tcPr>
            <w:tcW w:w="52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First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$10</w:t>
            </w:r>
          </w:p>
        </w:tc>
        <w:tc>
          <w:tcPr>
            <w:tcW w:w="300" w:type="dxa"/>
            <w:vAlign w:val="bottom"/>
          </w:tcPr>
          <w:p>
            <w:pPr>
              <w:spacing w:after="0"/>
              <w:rPr>
                <w:sz w:val="14"/>
                <w:szCs w:val="14"/>
                <w:color w:val="auto"/>
              </w:rPr>
            </w:pP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Second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Third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Fourth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First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$17 1/4</w:t>
            </w: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Second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300" w:type="dxa"/>
            <w:vAlign w:val="bottom"/>
          </w:tcPr>
          <w:p>
            <w:pPr>
              <w:spacing w:after="0"/>
              <w:rPr>
                <w:sz w:val="14"/>
                <w:szCs w:val="14"/>
                <w:color w:val="auto"/>
              </w:rPr>
            </w:pP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Third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Fourth Quarter.......................................</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1"/>
        </w:trPr>
        <w:tc>
          <w:tcPr>
            <w:tcW w:w="52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First Quarter (through January 13, 1997).............</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$28 5/8</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On January 13, 1997, the closing sale price of the Common Stock as reported on the NYSE Composite Tape was $31 per share.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The Company has never paid cash dividends on its Common Stock, and the Company's Board of Directors presently intends to retain any earnings in the foreseeable future for use in the Company's business. Payment of dividends on the Common Stock is restricted by terms of the Credit Facility.</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following table sets forth the consolidated capitalization of the Company at September 30, 1996 (i) on an historical basis; (ii) "As Adjusted" to reflect additional borrowings under the Credit Facility through January 8, 1997 primarily related to acquisitions and repayment of a note payable after September 30, 1996; and (iii) "As Further Adjusted" to give effect to this Offering (based upon the closing sale price of the Common Stock on the NYSE Composite Tape on January 13, 1997) and the sale by the Company of $300,000,000 aggregate principal amount of Notes in the Notes Offering and the anticipated application of the aggregate net proceeds from such offerings. See "Use of Proceeds." This table should be read in conjunction with and is qualified by reference to the Company's Consolidated Financial Statements and Notes thereto incorporated by reference herein.</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gridSpan w:val="3"/>
          </w:tcPr>
          <w:p>
            <w:pPr>
              <w:jc w:val="center"/>
              <w:ind w:right="106"/>
              <w:spacing w:after="0"/>
              <w:rPr>
                <w:sz w:val="20"/>
                <w:szCs w:val="20"/>
                <w:color w:val="auto"/>
              </w:rPr>
            </w:pPr>
            <w:r>
              <w:rPr>
                <w:rFonts w:ascii="Courier New" w:cs="Courier New" w:eastAsia="Courier New" w:hAnsi="Courier New"/>
                <w:sz w:val="15"/>
                <w:szCs w:val="15"/>
                <w:color w:val="auto"/>
                <w:w w:val="98"/>
              </w:rPr>
              <w:t>AS OF SEPTEMBER 30, 1996</w:t>
            </w:r>
          </w:p>
        </w:tc>
      </w:tr>
      <w:tr>
        <w:trPr>
          <w:trHeight w:val="171"/>
        </w:trPr>
        <w:tc>
          <w:tcPr>
            <w:tcW w:w="4960" w:type="dxa"/>
            <w:vAlign w:val="bottom"/>
          </w:tcPr>
          <w:p>
            <w:pPr>
              <w:spacing w:after="0"/>
              <w:rPr>
                <w:sz w:val="14"/>
                <w:szCs w:val="14"/>
                <w:color w:val="auto"/>
              </w:rPr>
            </w:pPr>
          </w:p>
        </w:tc>
        <w:tc>
          <w:tcPr>
            <w:tcW w:w="37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AS</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AS FURTHER</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ACTUAL</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ADJUSTED</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w w:val="94"/>
              </w:rPr>
              <w:t>ADJUSTED(1)</w:t>
            </w:r>
          </w:p>
        </w:tc>
      </w:tr>
      <w:tr>
        <w:trPr>
          <w:trHeight w:val="171"/>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(IN THOUSANDS)</w:t>
            </w:r>
          </w:p>
        </w:tc>
        <w:tc>
          <w:tcPr>
            <w:tcW w:w="1100" w:type="dxa"/>
            <w:vAlign w:val="bottom"/>
          </w:tcPr>
          <w:p>
            <w:pPr>
              <w:spacing w:after="0"/>
              <w:rPr>
                <w:sz w:val="14"/>
                <w:szCs w:val="14"/>
                <w:color w:val="auto"/>
              </w:rPr>
            </w:pPr>
          </w:p>
        </w:tc>
      </w:tr>
      <w:tr>
        <w:trPr>
          <w:trHeight w:val="341"/>
        </w:trPr>
        <w:tc>
          <w:tcPr>
            <w:tcW w:w="496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8"/>
              </w:rPr>
              <w:t>Long-term debt (including current maturities):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Credit facility......................................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506,000</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722,000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132,700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Senior notes, maturing through 2005..................</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106,947</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106,947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106,947</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Note payable to bank.................................</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60,000</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112,069</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112,069</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112,069</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Convertible subordinated notes due 2002..........</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300,000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Subordinated debt, maturing through 2008.............</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6,931</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6,931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6,931</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Industrial revenue bonds.............................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163,230</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163,230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163,230</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71,254</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71,254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71,254</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Total long-term debt, including current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1,026,431</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1,182,431</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893,131</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3026"/>
              <w:spacing w:after="0"/>
              <w:rPr>
                <w:sz w:val="20"/>
                <w:szCs w:val="20"/>
                <w:color w:val="auto"/>
              </w:rPr>
            </w:pPr>
            <w:r>
              <w:rPr>
                <w:rFonts w:ascii="Courier New" w:cs="Courier New" w:eastAsia="Courier New" w:hAnsi="Courier New"/>
                <w:sz w:val="15"/>
                <w:szCs w:val="15"/>
                <w:color w:val="auto"/>
                <w:w w:val="97"/>
              </w:rPr>
              <w:t>Stockholders' equity: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Preferred stock, 10,000,000 shares authorized, none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Common stock, 300,000,000 shares authorized,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138,343,184 shares issued (Actual and As Adjusted)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9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and 148,343,184 shares issued (As Further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Adjusted)(2)......................................</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1,383</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1,383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1,483</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1,232,775</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1,232,775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1,529,875</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(131,875)</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(131,875)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(131,875)</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 currency translation 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(14,625)</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(14,625)</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 treasury stock at cost, 23,485 shares...........</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(484)</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1,087,174</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1,087,174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1,384,374</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2,113,605</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$2,269,605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$2,277,505</w:t>
            </w:r>
          </w:p>
        </w:tc>
      </w:tr>
      <w:tr>
        <w:trPr>
          <w:trHeight w:val="171"/>
        </w:trPr>
        <w:tc>
          <w:tcPr>
            <w:tcW w:w="49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71" w:lineRule="auto"/>
        <w:tabs>
          <w:tab w:leader="none" w:pos="3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approximately $518 million of indebtedness which is expected to be incurred if the pending Canadian Acquisition is consummated.</w:t>
      </w: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of Common Stock outstanding as of September</w:t>
      </w:r>
    </w:p>
    <w:p>
      <w:pPr>
        <w:spacing w:after="0" w:line="171" w:lineRule="exact"/>
        <w:rPr>
          <w:sz w:val="20"/>
          <w:szCs w:val="20"/>
          <w:color w:val="auto"/>
        </w:rPr>
      </w:pPr>
    </w:p>
    <w:p>
      <w:pPr>
        <w:ind w:left="349" w:right="3219"/>
        <w:spacing w:after="0" w:line="239" w:lineRule="auto"/>
        <w:rPr>
          <w:sz w:val="20"/>
          <w:szCs w:val="20"/>
          <w:color w:val="auto"/>
        </w:rPr>
      </w:pPr>
      <w:r>
        <w:rPr>
          <w:rFonts w:ascii="Courier New" w:cs="Courier New" w:eastAsia="Courier New" w:hAnsi="Courier New"/>
          <w:sz w:val="15"/>
          <w:szCs w:val="15"/>
          <w:color w:val="auto"/>
        </w:rPr>
        <w:t>30, 1996. Does not include (i) shares issuable upon conversion of the Notes at a conversion price of $ per share, (ii) 4,062,168 shares issuable upon conversion of the Company's outstanding 5% Convertible</w:t>
      </w:r>
    </w:p>
    <w:p>
      <w:pPr>
        <w:spacing w:after="0" w:line="4" w:lineRule="exact"/>
        <w:rPr>
          <w:sz w:val="20"/>
          <w:szCs w:val="20"/>
          <w:color w:val="auto"/>
        </w:rPr>
      </w:pPr>
    </w:p>
    <w:p>
      <w:pPr>
        <w:ind w:left="349" w:right="3219"/>
        <w:spacing w:after="0" w:line="239" w:lineRule="auto"/>
        <w:rPr>
          <w:sz w:val="20"/>
          <w:szCs w:val="20"/>
          <w:color w:val="auto"/>
        </w:rPr>
      </w:pPr>
      <w:r>
        <w:rPr>
          <w:rFonts w:ascii="Courier New" w:cs="Courier New" w:eastAsia="Courier New" w:hAnsi="Courier New"/>
          <w:sz w:val="15"/>
          <w:szCs w:val="15"/>
          <w:color w:val="auto"/>
        </w:rPr>
        <w:t>Subordinated Debentures due 2006 at a conversion price of $28.31 per share, or (iii) 18,026,775 shares issuable upon exercise of outstanding stock options under the Company's stock option plans and outstanding warrants as of such date.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28"/>
          </w:cols>
          <w:pgMar w:left="231"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4420" w:firstLine="444"/>
        <w:spacing w:after="0" w:line="258" w:lineRule="auto"/>
        <w:rPr>
          <w:sz w:val="20"/>
          <w:szCs w:val="20"/>
          <w:color w:val="auto"/>
        </w:rPr>
      </w:pPr>
      <w:r>
        <w:rPr>
          <w:rFonts w:ascii="Courier New" w:cs="Courier New" w:eastAsia="Courier New" w:hAnsi="Courier New"/>
          <w:sz w:val="14"/>
          <w:szCs w:val="14"/>
          <w:color w:val="auto"/>
        </w:rPr>
        <w:t>The following selected consolidated financial data of the Company as of December 31, 1994 and 1995, and for each of the three years in the period ended December 31, 1995, have been derived from the audited Consolidated Financial Statements and Notes thereto of the Company. The following selected consolidated financial data of the Company as of December 31, 1991, 1992 and 1993, for each of the two years in the period ended December 31, 1992, and as of and for the nine months ended September 30, 1995 and 1996, have been derived from the unaudited Consolidated Financial Statements of the Company, which in the opinion of the Company, reflect all adjustments, consisting only of normal recurring adjustments, necessary for a fair presentation of the Company's financial condition and results of operations as of such date and for such periods. This data should be read in conjunction with the Consolidated Financial Statements and the Notes thereto incorporated by reference in this Prospectus Supplement and the accompanying Prospectus. The data set forth below include the accounts of the Company and the businesses it has acquired in transactions accounted for as poolings of interests as if such businesses had been combined since their inception. The accounts of businesses acquired by the Company in transactions accounted for as purchases are included from their respective dates of acquisition. Results for the nine months ended September 30, 1996 are not necessarily indicative of results to be expected for the full year.</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NINE MONTHS ENDED</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YEARS ENDED DECEMBER 31,</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SEPTEMBER 30,</w:t>
            </w:r>
          </w:p>
        </w:tc>
      </w:tr>
      <w:tr>
        <w:trPr>
          <w:trHeight w:val="171"/>
        </w:trPr>
        <w:tc>
          <w:tcPr>
            <w:tcW w:w="25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3"/>
                <w:szCs w:val="3"/>
                <w:color w:val="auto"/>
                <w:w w:val="90"/>
              </w:rPr>
              <w: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1991</w:t>
            </w:r>
          </w:p>
        </w:tc>
        <w:tc>
          <w:tcPr>
            <w:tcW w:w="26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1992</w:t>
            </w:r>
          </w:p>
        </w:tc>
        <w:tc>
          <w:tcPr>
            <w:tcW w:w="22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6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rPr>
              <w:t>(IN THOUSANDS, EXCEPT PER SHARE AND RATIO DATA)</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571,588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682,869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778,966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897,644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987,705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726,148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963,021</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414,369</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424,497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455,282</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520,255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551,305</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408,053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522,698</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General and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72,379</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130,956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126,347</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138,819</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140,051</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104,859</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118,557</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67,176</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77,872</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96,861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112,860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119,570</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88,934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111,157</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Merger costs..............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3,782</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25,639</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25,639</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120,656</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Unusual items.............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72,090</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2,672</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8,863</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4,733</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4,733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63,800</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553,924</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705,415</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681,162</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784,579</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841,298</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632,218</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936,868</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17,664</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(22,546)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97,804</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113,065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146,407</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93,930</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26,153</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Shareholder litigation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settlement and other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340"/>
              <w:spacing w:after="0"/>
              <w:rPr>
                <w:sz w:val="20"/>
                <w:szCs w:val="20"/>
                <w:color w:val="auto"/>
              </w:rPr>
            </w:pPr>
            <w:r>
              <w:rPr>
                <w:rFonts w:ascii="Courier New" w:cs="Courier New" w:eastAsia="Courier New" w:hAnsi="Courier New"/>
                <w:sz w:val="15"/>
                <w:szCs w:val="15"/>
                <w:color w:val="auto"/>
              </w:rPr>
              <w:t>litigation related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(10,853)</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(5,500)</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(79,400)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Nonrecurring interest...</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(1,254)</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(10,994)</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(10,994)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(41,282)</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(44,612)</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(46,032)</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(47,678)</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(48,558)</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(37,917)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(33,977)</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12,352</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6,840</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4,835</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4,670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5,482</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4,077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4,015</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Other income, net.........</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(8,713)</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2,285</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2,570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5,143</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3,497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4,853</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(37,643)</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(46,340)</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(45,536)</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(121,092)</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(48,927)</w:t>
            </w:r>
          </w:p>
        </w:tc>
        <w:tc>
          <w:tcPr>
            <w:tcW w:w="1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(41,337)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(25,109)</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(19,979)</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(68,886)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52,268</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(8,027)</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97,480</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52,593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1,044</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for (benefit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(7,992)</w:t>
            </w:r>
          </w:p>
        </w:tc>
        <w:tc>
          <w:tcPr>
            <w:tcW w:w="2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(27,554)</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24,249</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1,015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44,992</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27,037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14,324</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(41,332)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52,488</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25,556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(13,280)</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continuing operations per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common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0.46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common and common</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ind w:left="160"/>
              <w:spacing w:after="0"/>
              <w:rPr>
                <w:sz w:val="20"/>
                <w:szCs w:val="20"/>
                <w:color w:val="auto"/>
              </w:rPr>
            </w:pPr>
            <w:r>
              <w:rPr>
                <w:rFonts w:ascii="Courier New" w:cs="Courier New" w:eastAsia="Courier New" w:hAnsi="Courier New"/>
                <w:sz w:val="15"/>
                <w:szCs w:val="15"/>
                <w:color w:val="auto"/>
              </w:rPr>
              <w:t>equivalent shares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89,772</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88,371</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95,858</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103,422</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113,279</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108,710</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138,262</w:t>
            </w:r>
          </w:p>
        </w:tc>
      </w:tr>
      <w:tr>
        <w:trPr>
          <w:trHeight w:val="171"/>
        </w:trPr>
        <w:tc>
          <w:tcPr>
            <w:tcW w:w="2520" w:type="dxa"/>
            <w:vAlign w:val="bottom"/>
          </w:tcPr>
          <w:p>
            <w:pPr>
              <w:spacing w:after="0"/>
              <w:rPr>
                <w:sz w:val="14"/>
                <w:szCs w:val="14"/>
                <w:color w:val="auto"/>
              </w:rPr>
            </w:pPr>
          </w:p>
        </w:tc>
        <w:tc>
          <w:tcPr>
            <w:tcW w:w="12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3"/>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Working capital.............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177,388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75,143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45,805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30,109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33,448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15,814</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Intangible assets, net......</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91,056</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104,471</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152,370</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185,066</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262,205</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231,307</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487,321</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assets................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1,277,428</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1,311,828</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1,428,444</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1,588,996</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1,933,557</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1,805,118</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2,628,977</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current maturities........</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606,562</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614,684</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650,331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688,673</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731,741</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826,473</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1,026,431</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w w:val="97"/>
              </w:rPr>
              <w:t>Stockholders' equity........</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440,445</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457,745</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534,989</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560,616</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907,622</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716,619</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1,087,174</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720" w:type="dxa"/>
            <w:vAlign w:val="bottom"/>
            <w:gridSpan w:val="3"/>
          </w:tcPr>
          <w:p>
            <w:pPr>
              <w:spacing w:after="0"/>
              <w:rPr>
                <w:sz w:val="20"/>
                <w:szCs w:val="20"/>
                <w:color w:val="auto"/>
              </w:rPr>
            </w:pPr>
            <w:r>
              <w:rPr>
                <w:rFonts w:ascii="Courier New" w:cs="Courier New" w:eastAsia="Courier New" w:hAnsi="Courier New"/>
                <w:sz w:val="15"/>
                <w:szCs w:val="15"/>
                <w:color w:val="auto"/>
              </w:rPr>
              <w:t>Ratio of earnings to fixed charges(1):</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1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0.53x</w:t>
            </w:r>
          </w:p>
        </w:tc>
        <w:tc>
          <w:tcPr>
            <w:tcW w:w="2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(0.20)x</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1.68x</w:t>
            </w:r>
          </w:p>
        </w:tc>
        <w:tc>
          <w:tcPr>
            <w:tcW w:w="26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0.73x</w:t>
            </w:r>
          </w:p>
        </w:tc>
        <w:tc>
          <w:tcPr>
            <w:tcW w:w="26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2.08x</w:t>
            </w:r>
          </w:p>
        </w:tc>
        <w:tc>
          <w:tcPr>
            <w:tcW w:w="160" w:type="dxa"/>
            <w:vAlign w:val="bottom"/>
          </w:tcPr>
          <w:p>
            <w:pPr>
              <w:spacing w:after="0"/>
              <w:rPr>
                <w:sz w:val="14"/>
                <w:szCs w:val="14"/>
                <w:color w:val="auto"/>
              </w:rPr>
            </w:pP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1.69x</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0.77x</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Supplemental..............</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0.53</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1.81</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2.88</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2.64</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4.31</w:t>
            </w:r>
          </w:p>
        </w:tc>
      </w:tr>
      <w:tr>
        <w:trPr>
          <w:trHeight w:val="171"/>
        </w:trPr>
        <w:tc>
          <w:tcPr>
            <w:tcW w:w="2520" w:type="dxa"/>
            <w:vAlign w:val="bottom"/>
          </w:tcPr>
          <w:p>
            <w:pPr>
              <w:spacing w:after="0"/>
              <w:rPr>
                <w:sz w:val="20"/>
                <w:szCs w:val="20"/>
                <w:color w:val="auto"/>
              </w:rPr>
            </w:pPr>
            <w:r>
              <w:rPr>
                <w:rFonts w:ascii="Courier New" w:cs="Courier New" w:eastAsia="Courier New" w:hAnsi="Courier New"/>
                <w:sz w:val="15"/>
                <w:szCs w:val="15"/>
                <w:color w:val="auto"/>
              </w:rPr>
              <w:t>EBITDA(2):</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55,326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194,665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225,925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265,977</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182,864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137,310</w:t>
            </w:r>
          </w:p>
        </w:tc>
      </w:tr>
      <w:tr>
        <w:trPr>
          <w:trHeight w:val="171"/>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Supplemental..............</w:t>
            </w:r>
          </w:p>
        </w:tc>
        <w:tc>
          <w:tcPr>
            <w:tcW w:w="14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84,840</w:t>
            </w:r>
          </w:p>
        </w:tc>
        <w:tc>
          <w:tcPr>
            <w:tcW w:w="2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127,416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197,337</w:t>
            </w:r>
          </w:p>
        </w:tc>
        <w:tc>
          <w:tcPr>
            <w:tcW w:w="2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238,570</w:t>
            </w:r>
          </w:p>
        </w:tc>
        <w:tc>
          <w:tcPr>
            <w:tcW w:w="26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296,349</w:t>
            </w:r>
          </w:p>
        </w:tc>
        <w:tc>
          <w:tcPr>
            <w:tcW w:w="16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213,236</w:t>
            </w:r>
          </w:p>
        </w:tc>
        <w:tc>
          <w:tcPr>
            <w:tcW w:w="2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321,766</w:t>
            </w:r>
          </w:p>
        </w:tc>
      </w:tr>
    </w:tbl>
    <w:p>
      <w:pPr>
        <w:sectPr>
          <w:pgSz w:w="11900" w:h="16838" w:orient="portrait"/>
          <w:cols w:equalWidth="0" w:num="1">
            <w:col w:w="11520"/>
          </w:cols>
          <w:pgMar w:left="240" w:top="287" w:right="139" w:bottom="0" w:gutter="0" w:footer="0" w:header="0"/>
        </w:sectPr>
      </w:pPr>
    </w:p>
    <w:bookmarkStart w:id="9" w:name="page10"/>
    <w:bookmarkEnd w:id="9"/>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computing the actual ratio of earnings to fixed charges, earnings consist of income (loss) from continuing operations, taxes and fixed charges, excluding capitalized interest. Fixed charges consist of interest, whether expensed or capitalized, amortization of debt expense and discount on premium relating to indebtedness, whether expensed or capitalized, and such portion of rental expenses that can be demonstrated to be representative of the interest factor in the particular case. For purposes of computing the supplemental ratio of earnings to fixed charges, merger costs, unusual items, shareholder litigation settlement and other litigation related costs and nonrecurring interest expense are excluded.</w:t>
      </w:r>
    </w:p>
    <w:p>
      <w:pPr>
        <w:spacing w:after="0" w:line="178" w:lineRule="exact"/>
        <w:rPr>
          <w:rFonts w:ascii="Courier New" w:cs="Courier New" w:eastAsia="Courier New" w:hAnsi="Courier New"/>
          <w:sz w:val="15"/>
          <w:szCs w:val="15"/>
          <w:color w:val="auto"/>
        </w:rPr>
      </w:pPr>
    </w:p>
    <w:p>
      <w:pPr>
        <w:ind w:left="349" w:right="3119" w:hanging="349"/>
        <w:spacing w:after="0" w:line="260" w:lineRule="auto"/>
        <w:tabs>
          <w:tab w:leader="none" w:pos="34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means earnings from operations before interest, taxes, depreciation and amortization. EBITDA is frequently used by securities analysts and other financial statement users and is presented herein to provide additional information about the Company's operations. EBITDA is not a measurement presented in accordance with generally accepted accounting principles ("GAAP") and is not intended to be used in lieu of GAAP presentations of net income and cash provided by operating activities. For purposes of computing the supplemental EBITDA, merger costs and unusual items are excluded.</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28"/>
          </w:cols>
          <w:pgMar w:left="231" w:top="13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terms and conditions contained in the Underwriting Agreement (the "Underwriting Agreement"), the Underwriters named below for whom Donaldson, Lufkin &amp; Jenrette Securities Corporation ("DLJ"), Deutsche Morgan Grenfell Inc., Goldman, Sachs &amp; Co. and Merrill Lynch, Pierce, Fenner &amp; Smith Incorporated are acting as representatives (the "Representatives"), have severally agreed to purchase from the Company an aggregate of 10,000,000 shares of Common Stock. The number of shares of Common Stock that each Underwriter has agreed to purchase is set forth opposite its name below:</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sectPr>
          <w:pgSz w:w="11900" w:h="16838" w:orient="portrait"/>
          <w:cols w:equalWidth="0" w:num="2">
            <w:col w:w="5920" w:space="720"/>
            <w:col w:w="3579"/>
          </w:cols>
          <w:pgMar w:left="240" w:top="28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Deutsche Morgan Grenfell Inc.....................................</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Goldman, Sachs &amp; Co..............................................</w:t>
      </w:r>
    </w:p>
    <w:p>
      <w:pPr>
        <w:spacing w:after="0" w:line="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3" w:lineRule="exact"/>
        <w:rPr>
          <w:sz w:val="20"/>
          <w:szCs w:val="20"/>
          <w:color w:val="auto"/>
        </w:rPr>
      </w:pPr>
    </w:p>
    <w:p>
      <w:pPr>
        <w:ind w:left="1860"/>
        <w:spacing w:after="0"/>
        <w:rPr>
          <w:sz w:val="20"/>
          <w:szCs w:val="20"/>
          <w:color w:val="auto"/>
        </w:rPr>
      </w:pPr>
      <w:r>
        <w:rPr>
          <w:rFonts w:ascii="Courier New" w:cs="Courier New" w:eastAsia="Courier New" w:hAnsi="Courier New"/>
          <w:sz w:val="14"/>
          <w:szCs w:val="14"/>
          <w:color w:val="auto"/>
        </w:rPr>
        <w:t>Incorporated........................................</w:t>
      </w:r>
    </w:p>
    <w:p>
      <w:pPr>
        <w:sectPr>
          <w:pgSz w:w="11900" w:h="16838" w:orient="portrait"/>
          <w:cols w:equalWidth="0" w:num="1">
            <w:col w:w="10219"/>
          </w:cols>
          <w:pgMar w:left="240" w:top="287" w:right="1440" w:bottom="1440" w:gutter="0" w:footer="0" w:header="0"/>
          <w:type w:val="continuous"/>
        </w:sectPr>
      </w:pPr>
    </w:p>
    <w:p>
      <w:pPr>
        <w:spacing w:after="0" w:line="18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jc w:val="right"/>
        <w:ind w:right="267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5"/>
          <w:szCs w:val="15"/>
          <w:color w:val="auto"/>
        </w:rPr>
        <w:t>10,000,000</w:t>
      </w:r>
    </w:p>
    <w:p>
      <w:pPr>
        <w:spacing w:after="0" w:line="1"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460" w:space="180"/>
            <w:col w:w="3579"/>
          </w:cols>
          <w:pgMar w:left="240" w:top="287" w:right="1440" w:bottom="1440" w:gutter="0" w:footer="0" w:header="0"/>
          <w:type w:val="continuous"/>
        </w:sectPr>
      </w:pPr>
    </w:p>
    <w:p>
      <w:pPr>
        <w:spacing w:after="0" w:line="1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purchase and accept delivery of the shares of Common Stock offered hereby are subject to approval of certain legal matters by counsel and to certain other conditions. If any of the shares of Common Stock are purchased by the Underwriters pursuant to the Underwriting Agreement, all such shares (other than those covered by the over-allotment option described below) must be purchased.</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has agreed to indemnify the Underwriters against certain liabilities, including liabilities under the Securities Act of 1933, as amended, or to contribute to payments that the Underwriters may be required to make in respect thereof.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Representatives have</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advised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the Company</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that the Underwriters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propose</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to offer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shares of Common</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 to the public</w:t>
            </w: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initially at the price set</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forth 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590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cover page of this Prospectus Supplement and to certain dealers</w:t>
            </w:r>
          </w:p>
        </w:tc>
      </w:tr>
      <w:tr>
        <w:trPr>
          <w:trHeight w:val="171"/>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(who may</w:t>
            </w:r>
          </w:p>
        </w:tc>
        <w:tc>
          <w:tcPr>
            <w:tcW w:w="25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include the Underwriters) at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such price,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less a concession not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excess of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9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per share. The Underwriters</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may allow, and such dealers may</w:t>
            </w:r>
          </w:p>
        </w:tc>
      </w:tr>
      <w:tr>
        <w:trPr>
          <w:trHeight w:val="171"/>
        </w:trPr>
        <w:tc>
          <w:tcPr>
            <w:tcW w:w="2080" w:type="dxa"/>
            <w:vAlign w:val="bottom"/>
            <w:gridSpan w:val="4"/>
          </w:tcPr>
          <w:p>
            <w:pPr>
              <w:spacing w:after="0"/>
              <w:rPr>
                <w:sz w:val="20"/>
                <w:szCs w:val="20"/>
                <w:color w:val="auto"/>
              </w:rPr>
            </w:pPr>
            <w:r>
              <w:rPr>
                <w:rFonts w:ascii="Courier New" w:cs="Courier New" w:eastAsia="Courier New" w:hAnsi="Courier New"/>
                <w:sz w:val="15"/>
                <w:szCs w:val="15"/>
                <w:color w:val="auto"/>
                <w:w w:val="99"/>
              </w:rPr>
              <w:t>re-allow, discounts not</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excess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per</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share to any other</w:t>
            </w:r>
          </w:p>
        </w:tc>
      </w:tr>
      <w:tr>
        <w:trPr>
          <w:trHeight w:val="171"/>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Underwriter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certain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3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dealers. After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initial offering, the offering</w:t>
            </w:r>
          </w:p>
        </w:tc>
      </w:tr>
      <w:tr>
        <w:trPr>
          <w:trHeight w:val="171"/>
        </w:trPr>
        <w:tc>
          <w:tcPr>
            <w:tcW w:w="1360" w:type="dxa"/>
            <w:vAlign w:val="bottom"/>
            <w:gridSpan w:val="3"/>
          </w:tcPr>
          <w:p>
            <w:pPr>
              <w:spacing w:after="0"/>
              <w:rPr>
                <w:sz w:val="20"/>
                <w:szCs w:val="20"/>
                <w:color w:val="auto"/>
              </w:rPr>
            </w:pPr>
            <w:r>
              <w:rPr>
                <w:rFonts w:ascii="Courier New" w:cs="Courier New" w:eastAsia="Courier New" w:hAnsi="Courier New"/>
                <w:sz w:val="15"/>
                <w:szCs w:val="15"/>
                <w:color w:val="auto"/>
                <w:w w:val="99"/>
              </w:rPr>
              <w:t>price and other</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selling</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terms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may</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changed</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by the</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Underwriters.</w:t>
            </w:r>
          </w:p>
        </w:tc>
      </w:tr>
    </w:tbl>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Company has granted to the Underwriters an option to purchase up to an aggregate of 1,500,000 additional shares of Common Stock, at the initial public offering price less underwriting discounts and commissions, solely to cover over-allotments. Such option may be exercised at any time until 30 days after the date of this Prospectus Supplement. To the extent that the Underwriters exercise such option, each of the Underwriters will be committed, subject to certain conditions, to purchase a number of shares proportionate to such Underwriter's initial commitment as indicated in the preceding table.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and its executive officers and directors, who collectively are the beneficial owners of 25,028,928 shares of Common Stock, have agreed with the Underwriters not to, directly or indirectly, offer, sell, contract to sell, grant any option to purchase or otherwise dispose of, without the prior written consent of DLJ, any shares of Common Stock or any securities convertible into or exercisable or exchangeable for, or warrants, options or rights to purchase or acquire, Common Stock or in any other manner transfer all or a portion of the economic consequences associated with the ownership of any Common Stock, or enter into any agreement to do any of the foregoing for a period of 90 days after the date of this Prospectus Supplement. The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restriction on the Company is subject to exceptions for issuances of Common Stock pursuant to acquisitions, existing director and employee benefit plans, existing contractual obligations, conversion of outstanding convertible securities and exercise of outstanding warrants. The Underwriters have agreed that 250,000 of the shares of Common Stock owned by Donald F. Moorehead, Jr., a director and executive officer of the Company, and a total of 500,000 shares of the Common Stock owned by John G. Rangos, Sr. and Alexander W. Rangos, both directors of the Company, will not be subject to the foregoing restriction.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DLJ and Deutsche Morgan Grenfell Inc. has in the past provided, and may in the future provide, investment banking services for the Company. Additionally, the Representatives are participating as underwriters in the Notes Offering. Consummation of this Offering is not a condition to consummation of the Notes Offering, and consummation of the Notes Offering is not a condition to consummation of this Offering.</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validity of the Common Stock offered hereby will be passed upon for the Company by Vinson &amp; Elkins L.L.P., Houston, Texas and certain legal matters will be passed upon for the Underwriters by McDermott, Will &amp; Emery, Chicago, Illinois.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DEBT SECURITIES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$850,000,000 or, if applicable, the equivalent thereof in any other currency or currency unit. The Securities will be offered in amounts, at prices and on terms to be determined in light of market conditions at the time of sale and set forth in a supplement to this Prospectus (a "Prospectus Supplement").</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issued in registered form or bearer form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This Prospectus may not be used to consummate sales of the Securities unless accompanied by a Prospectus Supplement.</w:t>
      </w:r>
    </w:p>
    <w:p>
      <w:pPr>
        <w:spacing w:after="0" w:line="34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THE DATE OF THIS PROSPECTUS IS JANUARY 15, 1997.</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 and New York Regional Office, Seven World Trade Center, New York, New York 10048. Copies of such material can be obtained from the Public Reference Section of the Commission at 450 Fifth Street, N.W., Washington, D.C. 20549, at prescribed rates. The Commission maintains a World Wide Web site on the Internet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78"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5" w:lineRule="exact"/>
        <w:rPr>
          <w:sz w:val="20"/>
          <w:szCs w:val="20"/>
          <w:color w:val="auto"/>
        </w:rPr>
      </w:pPr>
    </w:p>
    <w:p>
      <w:pPr>
        <w:ind w:left="780" w:right="3399" w:hanging="345"/>
        <w:spacing w:after="0" w:line="238" w:lineRule="auto"/>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1995;</w:t>
      </w:r>
    </w:p>
    <w:p>
      <w:pPr>
        <w:spacing w:after="0" w:line="174" w:lineRule="exact"/>
        <w:rPr>
          <w:rFonts w:ascii="Courier New" w:cs="Courier New" w:eastAsia="Courier New" w:hAnsi="Courier New"/>
          <w:sz w:val="15"/>
          <w:szCs w:val="15"/>
          <w:color w:val="auto"/>
        </w:rPr>
      </w:pPr>
    </w:p>
    <w:p>
      <w:pPr>
        <w:ind w:left="780" w:right="3479" w:hanging="345"/>
        <w:spacing w:after="0" w:line="238" w:lineRule="auto"/>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on Form 10-Q for the quarters ended March 31, 1996, June 30, 1996 and September 30, 1996;</w:t>
      </w:r>
    </w:p>
    <w:p>
      <w:pPr>
        <w:spacing w:after="0" w:line="174" w:lineRule="exact"/>
        <w:rPr>
          <w:rFonts w:ascii="Courier New" w:cs="Courier New" w:eastAsia="Courier New" w:hAnsi="Courier New"/>
          <w:sz w:val="15"/>
          <w:szCs w:val="15"/>
          <w:color w:val="auto"/>
        </w:rPr>
      </w:pPr>
    </w:p>
    <w:p>
      <w:pPr>
        <w:ind w:left="780" w:right="3119" w:hanging="345"/>
        <w:spacing w:after="0"/>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January 9, 1996, Current Report on Form 8-K dated May 7, 1996, as amended by Form 8-K/A (Amendment No. 1) filed on May 29, 1996, Form 8-K/A (Amendment No. 2) filed June 28, 1996, and Form 8-K/A (Amendment No. 3) filed July 1, 1996, and Current Report on Form 8-K dated June 22, 1996, Current Report on Form 8-K dated September 3, 1996, Current Report on Form 8-K dated September 12, 1996, as amended by Form 8-K/A (Amendment No. 1) filed November 14, 1996 and Form 8-K/A (Amendment No. 2) filed November 15, 1996, Current Report on Form 8-K dated November 12, 1996, and Current Report on Form 8-K dated January 13, 1997; and</w:t>
      </w:r>
    </w:p>
    <w:p>
      <w:pPr>
        <w:spacing w:after="0" w:line="178"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9" w:right="440"/>
        <w:spacing w:after="0" w:line="239" w:lineRule="auto"/>
        <w:rPr>
          <w:sz w:val="20"/>
          <w:szCs w:val="20"/>
          <w:color w:val="auto"/>
        </w:rPr>
      </w:pPr>
      <w:r>
        <w:rPr>
          <w:rFonts w:ascii="Courier New" w:cs="Courier New" w:eastAsia="Courier New" w:hAnsi="Courier New"/>
          <w:sz w:val="15"/>
          <w:szCs w:val="15"/>
          <w:color w:val="auto"/>
        </w:rPr>
        <w:t>incorporated by reference herein modifies or supersedes such statement. Any such statement so modified or superseded shall not be deemed, except as so modified or superseded, to constitute a part of this Prospectus.</w:t>
      </w:r>
    </w:p>
    <w:p>
      <w:pPr>
        <w:spacing w:after="0" w:line="175" w:lineRule="exact"/>
        <w:rPr>
          <w:sz w:val="20"/>
          <w:szCs w:val="20"/>
          <w:color w:val="auto"/>
        </w:rPr>
      </w:pPr>
    </w:p>
    <w:p>
      <w:pPr>
        <w:ind w:left="9" w:right="540" w:firstLine="444"/>
        <w:spacing w:after="0"/>
        <w:rPr>
          <w:sz w:val="20"/>
          <w:szCs w:val="20"/>
          <w:color w:val="auto"/>
        </w:rPr>
      </w:pPr>
      <w:r>
        <w:rPr>
          <w:rFonts w:ascii="Courier New" w:cs="Courier New" w:eastAsia="Courier New" w:hAnsi="Courier New"/>
          <w:sz w:val="15"/>
          <w:szCs w:val="15"/>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1001 Fannin Street, Suite 4000, Houston, Texas 77002, telephone number (713) 512-6200.</w:t>
      </w:r>
    </w:p>
    <w:p>
      <w:pPr>
        <w:spacing w:after="0" w:line="173"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THE COMPANY</w:t>
      </w:r>
    </w:p>
    <w:p>
      <w:pPr>
        <w:spacing w:after="0" w:line="345" w:lineRule="exact"/>
        <w:rPr>
          <w:sz w:val="20"/>
          <w:szCs w:val="20"/>
          <w:color w:val="auto"/>
        </w:rPr>
      </w:pPr>
    </w:p>
    <w:p>
      <w:pPr>
        <w:ind w:left="9" w:right="440" w:firstLine="444"/>
        <w:spacing w:after="0" w:line="258" w:lineRule="auto"/>
        <w:rPr>
          <w:sz w:val="20"/>
          <w:szCs w:val="20"/>
          <w:color w:val="auto"/>
        </w:rPr>
      </w:pPr>
      <w:r>
        <w:rPr>
          <w:rFonts w:ascii="Courier New" w:cs="Courier New" w:eastAsia="Courier New" w:hAnsi="Courier New"/>
          <w:sz w:val="14"/>
          <w:szCs w:val="14"/>
          <w:color w:val="auto"/>
        </w:rPr>
        <w:t>USA Waste is the third largest solid waste management company in North America and serves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USA Waste owns or operates 101 landfills, 61 transfer stations and 123 collection operations and serves more than 2 million customers. USA Waste was incorporated under the laws of the State of Delaware in April 1995 to become the successor to USA Waste Services, Inc., an Oklahoma corporation organized in 1987. The principal executive offices of USA Waste are located at 1001 Fannin Street, Suite 4000, Houston, Texas 77002 and its telephone number is</w:t>
      </w:r>
    </w:p>
    <w:p>
      <w:pPr>
        <w:spacing w:after="0" w:line="2" w:lineRule="exact"/>
        <w:rPr>
          <w:sz w:val="20"/>
          <w:szCs w:val="20"/>
          <w:color w:val="auto"/>
        </w:rPr>
      </w:pPr>
    </w:p>
    <w:p>
      <w:pPr>
        <w:ind w:left="9" w:right="440" w:hanging="9"/>
        <w:spacing w:after="0" w:line="239" w:lineRule="auto"/>
        <w:tabs>
          <w:tab w:leader="none" w:pos="54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 The "Company" and "USA Waste" refer to USA Waste Services, Inc. and its subsidiaries and predecessors, unless otherwise indicated or the context requires otherwise.</w:t>
      </w:r>
    </w:p>
    <w:p>
      <w:pPr>
        <w:spacing w:after="0" w:line="343"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left="9" w:right="540" w:firstLine="444"/>
        <w:spacing w:after="0"/>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73"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4" w:lineRule="exact"/>
        <w:rPr>
          <w:sz w:val="20"/>
          <w:szCs w:val="20"/>
          <w:color w:val="auto"/>
        </w:rPr>
      </w:pPr>
    </w:p>
    <w:p>
      <w:pPr>
        <w:ind w:left="9" w:right="1160" w:firstLine="444"/>
        <w:spacing w:after="0" w:line="238"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349"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YEAR ENDED DECEMBER 31,</w:t>
            </w:r>
          </w:p>
        </w:tc>
        <w:tc>
          <w:tcPr>
            <w:tcW w:w="680" w:type="dxa"/>
            <w:vAlign w:val="bottom"/>
          </w:tcPr>
          <w:p>
            <w:pPr>
              <w:spacing w:after="0"/>
              <w:rPr>
                <w:sz w:val="14"/>
                <w:szCs w:val="14"/>
                <w:color w:val="auto"/>
              </w:rPr>
            </w:pPr>
          </w:p>
        </w:tc>
      </w:tr>
      <w:tr>
        <w:trPr>
          <w:trHeight w:val="171"/>
        </w:trPr>
        <w:tc>
          <w:tcPr>
            <w:tcW w:w="2760" w:type="dxa"/>
            <w:vAlign w:val="bottom"/>
          </w:tcPr>
          <w:p>
            <w:pPr>
              <w:spacing w:after="0"/>
              <w:rPr>
                <w:sz w:val="14"/>
                <w:szCs w:val="14"/>
                <w:color w:val="auto"/>
              </w:rPr>
            </w:pPr>
          </w:p>
        </w:tc>
        <w:tc>
          <w:tcPr>
            <w:tcW w:w="44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6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1992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76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0.53</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(0.20)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1.68</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0.73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Company's consolidated ratios of earnings to fixed charges were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computed by dividing earnings by fixed charges. For this purpose, earnings are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sum of income (loss) from continuing operations, taxes, and fixed charges,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excluding capitalized interest. Fixed charges are interest, whether expensed 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capitalized, amortization of debt expense and discount on premium relating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indebtedness, whether expensed or capitalized, and such portion of rental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expense that can be demonstrated to be representative of the interest factor 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particular case. For the nine months ended September 30, 1996 and the years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ended December 31, 1991, 1992, and 1994, earnings are insufficient to cover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fixed charges as evidenced by a less than one-to-one coverage ratio as shown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above. Additional earnings of $12,022,000, $27,827,000, $78,473,000,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$17,855,000 were necessary for the nine months ended September 30, 1996 and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1991, 1992, and 1994, respectively, to provide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one-to-one coverage ratio. Except for the year ended December 31, 1991,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nonrecurring costs, as discussed below, caused the less than one-to-one coverage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each of these periods.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0.77</w:t>
      </w:r>
    </w:p>
    <w:p>
      <w:pPr>
        <w:spacing w:after="0" w:line="3613" w:lineRule="exact"/>
        <w:rPr>
          <w:sz w:val="20"/>
          <w:szCs w:val="20"/>
          <w:color w:val="auto"/>
        </w:rPr>
      </w:pPr>
    </w:p>
    <w:p>
      <w:pPr>
        <w:sectPr>
          <w:pgSz w:w="11900" w:h="16838" w:orient="portrait"/>
          <w:cols w:equalWidth="0" w:num="2">
            <w:col w:w="7549" w:space="620"/>
            <w:col w:w="2059"/>
          </w:cols>
          <w:pgMar w:left="231" w:top="287" w:right="1440" w:bottom="1440" w:gutter="0" w:footer="0" w:header="0"/>
        </w:sectPr>
      </w:pPr>
    </w:p>
    <w:p>
      <w:pPr>
        <w:spacing w:after="0" w:line="145"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8"/>
          </w:cols>
          <w:pgMar w:left="231" w:top="287"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345"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NINE</w:t>
            </w:r>
          </w:p>
        </w:tc>
      </w:tr>
      <w:tr>
        <w:trPr>
          <w:trHeight w:val="17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MONTHS</w:t>
            </w:r>
          </w:p>
        </w:tc>
      </w:tr>
      <w:tr>
        <w:trPr>
          <w:trHeight w:val="17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gridSpan w:val="3"/>
          </w:tcPr>
          <w:p>
            <w:pPr>
              <w:jc w:val="right"/>
              <w:ind w:right="406"/>
              <w:spacing w:after="0"/>
              <w:rPr>
                <w:sz w:val="20"/>
                <w:szCs w:val="20"/>
                <w:color w:val="auto"/>
              </w:rPr>
            </w:pPr>
            <w:r>
              <w:rPr>
                <w:rFonts w:ascii="Courier New" w:cs="Courier New" w:eastAsia="Courier New" w:hAnsi="Courier New"/>
                <w:sz w:val="15"/>
                <w:szCs w:val="15"/>
                <w:color w:val="auto"/>
              </w:rPr>
              <w:t>YEAR ENDED DECEMBER 31,</w:t>
            </w: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w w:val="96"/>
              </w:rPr>
              <w:t>SEPTEMBER</w:t>
            </w:r>
          </w:p>
        </w:tc>
      </w:tr>
      <w:tr>
        <w:trPr>
          <w:trHeight w:val="171"/>
        </w:trPr>
        <w:tc>
          <w:tcPr>
            <w:tcW w:w="284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0"/>
              </w:rPr>
              <w:t>------------------------------------------------</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30,</w:t>
            </w:r>
          </w:p>
        </w:tc>
      </w:tr>
      <w:tr>
        <w:trPr>
          <w:trHeight w:val="171"/>
        </w:trPr>
        <w:tc>
          <w:tcPr>
            <w:tcW w:w="28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1991</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1992</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8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0.53</w:t>
            </w: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1.07</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1.81</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2.15</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2.88</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4.31</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Nonrecurring items for the nine months ended September 30, 1996, represent merger costs, primarily related to mergers with Sanifill, Inc. in August 1996 and Western Waste Industries ("Western") in May 1996, and unusual items, primarily related to operating losses and estimated losses associated with the disposition of certain non-core business assets.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violations against Chambers, certain of its officers and directors, its former auditors, and the underwriters of its securities. Nonrecurring items in 1992 primarily represent various restructuring charges and charges to asset reserves by Western and Chambers. Nonrecurring items in 1991 and 1993 were not material.</w:t>
      </w:r>
    </w:p>
    <w:p>
      <w:pPr>
        <w:spacing w:after="0" w:line="33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DESCRIPTION OF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a trustee (a "Trustee"), which may be the same Trustee, and in the form that has been filed as an exhibit to the Registration Statement of which this Prospectus is a part, subject to such amendments or supplements as may be adopted form time to time. The Senior Debt Indenture and the Subordinated Debt Indenture, as amended or supplemented from time to time, are sometimes hereinafter referred to individually as an "Indenture" and collectively as the "Indentures." The following summaries of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8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(the "Offered Debt Securities") will be described therein.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w:t>
      </w:r>
    </w:p>
    <w:p>
      <w:pPr>
        <w:sectPr>
          <w:pgSz w:w="11900" w:h="16838" w:orient="portrait"/>
          <w:cols w:equalWidth="0" w:num="1">
            <w:col w:w="10219"/>
          </w:cols>
          <w:pgMar w:left="240" w:top="287" w:right="1440" w:bottom="989" w:gutter="0" w:footer="0" w:header="0"/>
        </w:sectPr>
      </w:pP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7" w:right="1440" w:bottom="989"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Reference is made to the Prospectus Supplement for the following terms of and information relating to the Offered Debt Securities (to the extent such terms are applicable to such Offered Debt Securities): (i) the title of the Offered Debt Securities; (ii) classification as either Senior Debt Securities or Subordinated Debt Securities; (iii) whether the Offered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Offered Debt Securities; (v) whether the Offered Debt Securities are to be issuable as Registered Securities or Bearer Securities or both, whether any of the Offered Debt Securities are to be issuable initially in temporary global form and whether any of the Offered Debt Securities are to be in permanent global form; (vi) the price or prices (expressed as a percentage of the aggregate principal amount thereof) at which the Offered Debt Securities will be issued; (vii) the date or dates on which the Offered Debt Securities will mature; (viii) the rate or rates per annum (or the method by which such will be determined) at which the Offered Debt Securities will bear interest, if any, and the date from which any such interest will accrue; (ix) the Interest Payment Dates on which any such interest on the Offered Debt Securities will be payable, the date on which payment of such interest, if any, will commence and the Regular Record Dates for any interest payable on any Offered Debt Securities which are Registered Securities on any Interest Payment Date and the extent to which, or the manner in which, any interest payable on a temporary global Offered 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Offered Debt Securities will be payable and each office or agency where, subject to the terms of the Indentures as described below under "Form, Exchange, Registration and Transfer," the Offered Debt Securities may be presented for registration of transfer or exchange; (xii) the right, if any, or obligation, if any, of the Company to redeem the Offered Debt Securities at its option and the period or periods, if any, within which and the price or prices at which the Offered Debt Securities may, pursuant to any optional or mandatory redemption provisions, be redeemed, in whole or in part, and the other detailed terms and provisions of any such optional or mandatory redemption; (xiii) the denominations in which any Offered Debt Securities which are Registered Securities will be issuable, if other than denominations of $1,000 and any integral multiple thereof, and the denomination or denominations in which any Offered Debt Securities which are Bearer Securities will be issuable, if other than the denomination of $5,000; (xiv) the currency or currencies (including composite currencies) in which payment of principal of and any premium and interest on the Offered Debt Securities is payable if other than United States dollars; (xv) any index used to determine the amount of payments of principal of and any premium and interest on the Offered Debt Securities; (xvi) information with respect to book-entry procedures, if any; (xvii) any deletions from, modification of or additions to the Events of Default or covenants of the Company with respect to such Offered Debt Securities; and (xviii) any other terms of the Offered Debt Securities not inconsistent with the provisions of the Indentures. (Section 301) Any such Prospectus Supplement will also describe any special provisions for the payment of additional amounts with respect to the Offered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w:t>
      </w:r>
    </w:p>
    <w:p>
      <w:pPr>
        <w:sectPr>
          <w:pgSz w:w="11900" w:h="16838" w:orient="portrait"/>
          <w:cols w:equalWidth="0" w:num="1">
            <w:col w:w="10219"/>
          </w:cols>
          <w:pgMar w:left="240" w:top="287" w:right="1440" w:bottom="1440" w:gutter="0" w:footer="0" w:header="0"/>
        </w:sectPr>
      </w:pPr>
    </w:p>
    <w:p>
      <w:pPr>
        <w:spacing w:after="0" w:line="350"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7"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or denominated in other than United States dollars, will be set forth in a Prospectus Supplement relating thereto.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(Section 201) The Indentures also provide that Debt Securities of a series may be issuable in temporary or permanent global form. (Section 201)</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The Company will serve initially as Security Registrar. (Section 305) 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the event of any redemption in part, the Company shall not be required to (i) 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7"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35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79"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in either registered or bearer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and certain limitations and restrictions relating to a series of Bearer Securities in the form of one or more global Debt Securities will be described in the Prospectus Supplement relating to such series.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Events of Default. Any one of the following events constitutes an Event of Default under each Indenture with respect to Debt Securities of any series: (a) failure to pay any interest on any Debt Security of that series when due, continued for 30 days; (b) failure to pay principal of or any premium on any Debt Security of that series when due; (c) failure to deposit any sinking fund payment, when due, in respect of any Debt Security of that series; (d) failure to perform any other covenant of the Company in such Indenture (other than a covenant included in such Indenture solely for the benefit of any series of Debt Securities other than that series), continued for 90 days after written notice as provided in such Indenture; (e) certain events in bankruptcy, insolvency or reorganization involving the Company; and (f) any other Event of Default provided with respect to Debt Securities of that series. (Section 501)</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 Event of Default with respect to Debt Securities of any series at the time Outstanding occurs and is continuing, either the Trustee or the Holders of at least 25% in aggregate principal amount of the Outstanding Securities of that series by notice as provided in the applicable Indenture may declare the principal amount (or, if the Debt Securities of that series are Original Issue Discount Securities, such portion of the principal amount as may be specified in the terms of that series) of all the Debt Securities of that series to be due and payable immediately. At any time after a declaration of acceleration with respect to Debt Securities of any series has been made, but before a judgment or decree for payment of money has been obtained by the Trustee, the Holders of a majority in aggregate principal amount of the Outstanding Securities of that series may, under certain circumstances, rescind and annul such acceleration. (Section 502)</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Subject to such provisions for the indemnification of the Trustee, the Holders of a majority in aggregate principal amount of the Outstanding Securities of any series have the right to direct the time, method and place of conducting any proceeding for any remedy available to the Trustee, or exercising any trust or power conferred on the Trustee, with respect to the Debt Securities of that series; provided, however, that the Trustee is not obligated to take any action unduly prejudicial to Holders not joining in such direction or involving the Trustee in personal liability. (Section 512)</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performance by the Company of its obligations under each Indenture and as to any default in such performance. (Section 1007)</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Defeasance. If so specified with respect to any particular series of Debt Securities issued under an Indenture, the Company may discharge its indebtedness and its obligations or certain of its obligations under such Indenture with respect to such series by depositing funds or obligations issued or guaranteed by the United States of America with the Trustee. (Sections 1301-1303)</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Defeasance and Discharge. Each Indenture provides that, if so specified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w:t>
      </w:r>
    </w:p>
    <w:p>
      <w:pPr>
        <w:spacing w:after="0" w:line="162"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an Opinion of Counsel to the effect that (i) the Company has received from, or there has been published by, the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Covenant Defeasance. Each Indenture also provides that, if so specified with respect to the Debt Securities of any series issued thereunder, the Company may omit to comply with certain restrictive covenants, including (in the case of the Senior Debt Indenture) the covenant described under "Limitation on Liens" below, but excluding (in the case of the Subordinated Debt Indenture) any applicable obligation of the Company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The obligations of the Company under such Indenture and the Debt Securities of such series other than with respect to such covenants shall remain in full force and effect. (Section 1303) Such a trust may be 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w:t>
      </w:r>
    </w:p>
    <w:p>
      <w:pPr>
        <w:spacing w:after="0" w:line="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164"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The Subordinated Debt Indenture may not be amended to alter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any outstanding Subordinated Debt Securities without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each holder of Senior Indebtedness (as defined below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Provisions Applicable Solely to Subordinated Debt Securities") then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that would be adversely affected thereby. (Section 907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Debt Indenture)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1008)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6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any reconvened meeting, will be Persons holding or representing a majority in aggregate principal amount of the Outstanding Securities of a series. (Section 1404)</w:t>
      </w:r>
    </w:p>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Consolidation, Merger and Sale of Assets. The Company, without the consent of the Holders of any of the outstanding Securities under either Indenture, may consolidate with or merge into, or convey, transfer or lease its assets substantially as an entirety to, any Person which is a corporation, partnership or trust organized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and validly existing under the laws of any domestic jurisdiction, provided that any successor Person assumes the Company's obligations on the Securities and under such Indenture, and provided further that after giving effect to the transaction no Event of Default, and no event which, after notice or lapse of time, would become an Event of Default, shall have occurred and be continuing, and that certain other conditions are met. (Section 801)</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Notices. Except as otherwise provided in the Indentures, notices to Holders of Bearer Securities will be given by publication at least twice in a daily newspaper in The City of New York and in such other city or cities as may be specified in such Bearer Securities. Notices to Holders of Registered Securities will be given by mail to the addresses of such Holders as they appear in the Security Register. (Section 106)</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Title. 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owner of any Registered Security as the owner thereof (whether or not such Debt Security or coupon shall be overdue and notwithstanding any notice to the contrary) for the purpose of making payment and for all other purposes. (Section 308)</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became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6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Regarding the Trustee. The Trustee for each series of Debt Securities will be identified in the applicable Prospectus Supplement.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of Series so affected, voting as a single class) will have the right to direct the time, method and place of conducting any proceeding for exercising any remedy or power available to the Trustee for such Series or all such Series so affected.</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that may be issued.</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Certain Definitions. For purposes of the following discussion, the following definitions are applicable (Section 101 of the Senior Debt Indenture).</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Tangible Assets" means the total amount of assets appearing on a consolidated balance sheet of the Company and its Subsidiaries less, without duplication: (a) total current liabilities (excluding current maturities of long-term debt and preferred stock); (b) all reserves for depreciation and other asset valuation reserves but excluding reserves for deferred federal and state income taxes; (c) all intangible assets such as goodwill, trademarks, trade names, patents and unamortized debt discount and expense carried as an asset; and (d) all appropriate adjustments on account of minority interests of other Persons holding common stock in any Subsidiary.</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"Subsidiary" means a corporation more than 50% of the outstanding stock of which is owned, directly or indirectly, by the Company or by one or more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 Subordinated Debt Securities or otherwise made in capital stock of the Company. (Sections 1601, 1604 and 1605 of the Subordinated Debt Indenture)</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premium and interest,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(i) without the consent of the Company a court shall enter (A) an order for relief with respect to the Company under the United States federal bankruptcy laws, (B) a judgment, order or decree adjudging the Company a bankrupt or insolvent, or (C) an order for relief for reorganization, arrangement, adjustment or</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any applicable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then all Senior Indebtedness (including any interest thereon accruing after the commencement of any such proceedings) will first be paid in full before any payment or distribution, whether in cash, securities or other property, is made on account of the principal of, premium, if any, or interest, if any, on the Subordinated Debt Securities. In such event, any payment or distribution on account of the principal of, premium, if any, or interest, if any, on the Subordinated Debt Securities,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on account of the principal of, premium, if any, or interest, if any, on the Subordinated Debt Securities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any such proceeding, after payment in full of all sums owing with respect to Senior Indebtedness, the holders of Subordinated Debt Securities, together with the holders of any obligations of the Company ranking on a parity with the Subordinated Debt Securities, will be entitled to be repaid from the remaining assets of the Company the amounts at that time due and owing on account of unpaid principal of or any premium or interest on the Subordinated Debt Securities and such other obligations before any payment or other distribution, whether in cash, property or otherwise, shall</w:t>
      </w:r>
    </w:p>
    <w:p>
      <w:pPr>
        <w:sectPr>
          <w:pgSz w:w="11900" w:h="16838" w:orient="portrait"/>
          <w:cols w:equalWidth="0" w:num="1">
            <w:col w:w="10219"/>
          </w:cols>
          <w:pgMar w:left="240" w:top="287" w:right="1440" w:bottom="1440" w:gutter="0" w:footer="0" w:header="0"/>
        </w:sectPr>
      </w:pP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287" w:right="1440" w:bottom="1440" w:gutter="0" w:footer="0" w:header="0"/>
          <w:type w:val="continuous"/>
        </w:sectPr>
      </w:pPr>
    </w:p>
    <w:bookmarkStart w:id="25" w:name="page26"/>
    <w:bookmarkEnd w:id="25"/>
    <w:p>
      <w:pPr>
        <w:ind w:left="269"/>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be made on account of any capital stock or obligations of the Company ranking junior to the Subordinated Debt Securities and such other obligations. (Section 1601 of the Subordinated Debt Indenture)</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 will set forth any subordination provisions applicable to such series in addition to or different from those described above.</w:t>
      </w:r>
    </w:p>
    <w:p>
      <w:pPr>
        <w:spacing w:after="0" w:line="34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By reason of such subordination, in the event of liquidation, bankruptcy, reorganization, insolvency, receivership or similar proceeding involving the Company or an assignment for the benefit of creditors of the Company or any of its Subsidiaries or a marshalling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Indenture, to pursue any other rights or remedies with respect to the Subordinated Debt Securities.</w:t>
      </w:r>
    </w:p>
    <w:p>
      <w:pPr>
        <w:spacing w:after="0" w:line="350"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Prospectus Supplement for such Debt Securities.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7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Vinson</w:t>
      </w:r>
    </w:p>
    <w:p>
      <w:pPr>
        <w:spacing w:after="0" w:line="163" w:lineRule="exact"/>
        <w:rPr>
          <w:sz w:val="20"/>
          <w:szCs w:val="20"/>
          <w:color w:val="auto"/>
        </w:rPr>
      </w:pPr>
    </w:p>
    <w:p>
      <w:pPr>
        <w:ind w:left="9" w:right="3219" w:hanging="9"/>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Elkins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the record date for an interest payment and the interest payment date (except convertible Subordinated Debt Securities called for redemption on a redemption date during such period) must be accompanied by payment of an amount equal to the interest thereon which the registered holder is to receive. (Sections 1504 and 1502 of the Subordinated Debt Indenture)</w:t>
      </w:r>
    </w:p>
    <w:p>
      <w:pPr>
        <w:sectPr>
          <w:pgSz w:w="11900" w:h="16838" w:orient="portrait"/>
          <w:cols w:equalWidth="0" w:num="1">
            <w:col w:w="10228"/>
          </w:cols>
          <w:pgMar w:left="231" w:top="287" w:right="1440" w:bottom="1440" w:gutter="0" w:footer="0" w:header="0"/>
        </w:sectPr>
      </w:pPr>
    </w:p>
    <w:p>
      <w:pPr>
        <w:spacing w:after="0" w:line="179"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28"/>
          </w:cols>
          <w:pgMar w:left="231" w:top="287"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77"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is currently authorized to issue 300,000,000 shares of its Common Stock, par value $.01 per share, of which 138,343,184 shares were outstanding on September 30, 1996 and 10,000,000 shares of Preferred Stock, par value $.01 per share, none of which were outstanding on such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6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7" w:name="page28"/>
    <w:bookmarkEnd w:id="27"/>
    <w:p>
      <w:pPr>
        <w:ind w:left="269"/>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DELAWARE ANTI-TAKEOVER LAW</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203 of the DGCL ("Section 203") generally provides that a person who, together with affiliates and associates owns, or within three years did own, at least 15% but less than 85% of the outstanding voting stock of a corporation subject to the statute (an "Interested Stockholder") may not engage in certain business combinations with the corporation for a period of three years after the date on which the person became an Interested Stockholder unless</w:t>
      </w:r>
    </w:p>
    <w:p>
      <w:pPr>
        <w:spacing w:after="0" w:line="1" w:lineRule="exact"/>
        <w:rPr>
          <w:sz w:val="20"/>
          <w:szCs w:val="20"/>
          <w:color w:val="auto"/>
        </w:rPr>
      </w:pPr>
    </w:p>
    <w:p>
      <w:pPr>
        <w:ind w:left="9" w:right="3119" w:hanging="9"/>
        <w:spacing w:after="0"/>
        <w:tabs>
          <w:tab w:leader="none" w:pos="3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79"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provisions of Section 203, combined with the Board's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64"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Company may sell Securities to or through underwriters or dealers, and also may sell Securities directly to other purchasers or through agents.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34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Prospectus Supplement.</w:t>
      </w:r>
    </w:p>
    <w:p>
      <w:pPr>
        <w:spacing w:after="0" w:line="336" w:lineRule="exact"/>
        <w:rPr>
          <w:sz w:val="20"/>
          <w:szCs w:val="20"/>
          <w:color w:val="auto"/>
        </w:rPr>
      </w:pPr>
    </w:p>
    <w:p>
      <w:pPr>
        <w:ind w:left="9" w:right="3299" w:firstLine="444"/>
        <w:spacing w:after="0" w:line="260" w:lineRule="auto"/>
        <w:rPr>
          <w:sz w:val="20"/>
          <w:szCs w:val="20"/>
          <w:color w:val="auto"/>
        </w:rPr>
      </w:pPr>
      <w:r>
        <w:rPr>
          <w:rFonts w:ascii="Courier New" w:cs="Courier New" w:eastAsia="Courier New" w:hAnsi="Courier New"/>
          <w:sz w:val="14"/>
          <w:szCs w:val="14"/>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64" w:lineRule="exact"/>
        <w:rPr>
          <w:sz w:val="20"/>
          <w:szCs w:val="20"/>
          <w:color w:val="auto"/>
        </w:rPr>
      </w:pPr>
    </w:p>
    <w:p>
      <w:pPr>
        <w:ind w:left="9" w:right="3399" w:firstLine="444"/>
        <w:spacing w:after="0" w:line="262" w:lineRule="auto"/>
        <w:rPr>
          <w:sz w:val="20"/>
          <w:szCs w:val="20"/>
          <w:color w:val="auto"/>
        </w:rPr>
      </w:pPr>
      <w:r>
        <w:rPr>
          <w:rFonts w:ascii="Courier New" w:cs="Courier New" w:eastAsia="Courier New" w:hAnsi="Courier New"/>
          <w:sz w:val="14"/>
          <w:szCs w:val="14"/>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If so indicated in the Prospectus Supplement, the Company will authorize underwriters or other persons acting as the Company's agents to solicit offers by certain institutions to purchase Debt Securities from the Company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6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VALIDITY OF SECURITIES</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validity of the Offered Securities, as well as certain tax matters in connection therewith, will be passed upon for the Company by Vinson &amp; Elkins L.L.P., Houston, Texas and will be passed upon for any agents, dealers or underwriters by counsel named in the applicable Prospectus Supplement.</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and Current Report on Form 8-K filed November 12, 1996, incorporated by reference in this Prospectus, have been incorporated herein in reliance on the report of Coopers &amp; Lybrand L.L.P., independent accountants, given on the authority of that firm as experts in accounting and auditing.</w:t>
      </w:r>
    </w:p>
    <w:p>
      <w:pPr>
        <w:spacing w:after="0" w:line="180"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consolidated financial statements of Sanifill, Inc. appearing in the Company's Current Report on Form 8-K dated September 18, 1996 and the financial statements of various companies acquired by Sanifill appearing in the Company's Current Report on Form 8-K dated September 12, 1996, and amended by its Form</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8-K/A (Amendment No. 1) filed November 14, 1996 and as amended by its Form 8-K/A (Amendment No. 2) filed November 15, 1996, incorporated by reference in this Prospectus have been audited by Arthur Andersen LLP, independent public accountants, as indicated in their reports with respect thereto, and are incorporated herein by reference in reliance upon the authority of such firm as experts in accounting and auditing in giving said reports.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consolidated financial statements of Western Waste Industries at June 30, 1995 and 1994, and for each of the three years in the period ended June 30, 1995, included in the Company's Current Report on Form 8-K dated January 9, 1996, have been audited by Ernst &amp; Young LLP, independent auditors, as set forth in their report thereon and included therein and incorporated herein by reference. Such consolidated financial statements are incorporated herein by reference in reliance upon such report given upon the authority of such firm as experts in accounting and auditing.</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9" w:name="page30"/>
    <w:bookmarkEnd w:id="29"/>
    <w:p>
      <w:pPr>
        <w:ind w:left="269"/>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OTHER THAN THOSE CONTAINED OR INCORPORATED BY REFERENCE IN THIS PROSPECTUS SUPPLEMENT AND THE PROSPECTUS AND, IF GIVEN OR MADE, SUCH INFORMATION OR REPRESENTATIONS MUST NOT BE RELIED UPON AS HAVING BEEN AUTHORIZED BY THE COMPANY OR ANY OF THE UNDERWRITERS. THIS PROSPECTUS SUPPLEMENT AND THE PROSPECTUS DO NOT CONSTITUTE AN OFFER TO SELL OR A SOLICITATION OF AN OFFER TO BUY THE SECURITIES OFFERED HEREBY BY ANYONE IN ANY JURISDICTION IN WHICH SUCH OFFER OR SOLICITATION IS NOT AUTHORIZED, OR IN WHICH THE PERSON MAKING SUCH OFFER OR SOLICITATION IS NOT QUALIFIED TO DO SO OR TO ANY PERSON TO WHOM IT IS UNLAWFUL TO MAKE SUCH OFFER OR SOLICITATION NEITHER THE DELIVERY OF THIS PROSPECTUS SUPPLEMENT AND THE PROSPECTUS NOR ANY SALE MADE HEREUNDER AND THEREUNDER SHALL CREATE ANY IMPLICATION THAT THE INFORMATION CONTAINED HEREIN IS CORRECT AS OF ANY TIME SUBSEQUENT TO ITS DATE.</w:t>
      </w:r>
    </w:p>
    <w:p>
      <w:pPr>
        <w:spacing w:after="0" w:line="178"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ind w:left="969"/>
        <w:spacing w:after="0"/>
        <w:tabs>
          <w:tab w:leader="none" w:pos="3529" w:val="left"/>
        </w:tabs>
        <w:rPr>
          <w:sz w:val="20"/>
          <w:szCs w:val="20"/>
          <w:color w:val="auto"/>
        </w:rPr>
      </w:pPr>
      <w:r>
        <w:rPr>
          <w:rFonts w:ascii="Courier New" w:cs="Courier New" w:eastAsia="Courier New" w:hAnsi="Courier New"/>
          <w:sz w:val="15"/>
          <w:szCs w:val="15"/>
          <w:color w:val="auto"/>
        </w:rPr>
        <w:t>PROSPECTUS SUPPLEMENT</w:t>
      </w:r>
      <w:r>
        <w:rPr>
          <w:sz w:val="20"/>
          <w:szCs w:val="20"/>
          <w:color w:val="auto"/>
        </w:rPr>
        <w:tab/>
      </w:r>
      <w:r>
        <w:rPr>
          <w:rFonts w:ascii="Courier New" w:cs="Courier New" w:eastAsia="Courier New" w:hAnsi="Courier New"/>
          <w:sz w:val="15"/>
          <w:szCs w:val="15"/>
          <w:color w:val="auto"/>
        </w:rPr>
        <w:t>PAGE</w:t>
      </w:r>
    </w:p>
    <w:p>
      <w:pPr>
        <w:spacing w:after="0" w:line="17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Prospectus Supplement Summary</w:t>
      </w:r>
      <w:r>
        <w:rPr>
          <w:sz w:val="20"/>
          <w:szCs w:val="20"/>
          <w:color w:val="auto"/>
        </w:rPr>
        <w:tab/>
      </w:r>
      <w:r>
        <w:rPr>
          <w:rFonts w:ascii="Courier New" w:cs="Courier New" w:eastAsia="Courier New" w:hAnsi="Courier New"/>
          <w:sz w:val="15"/>
          <w:szCs w:val="15"/>
          <w:color w:val="auto"/>
        </w:rPr>
        <w:t>S-3</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S-5</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S-6</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5"/>
          <w:szCs w:val="15"/>
          <w:color w:val="auto"/>
        </w:rPr>
        <w:t>S-6</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S-6</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S-7</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S-8</w:t>
      </w:r>
    </w:p>
    <w:p>
      <w:pPr>
        <w:spacing w:after="0" w:line="1" w:lineRule="exact"/>
        <w:rPr>
          <w:sz w:val="20"/>
          <w:szCs w:val="20"/>
          <w:color w:val="auto"/>
        </w:rPr>
      </w:pPr>
    </w:p>
    <w:p>
      <w:pPr>
        <w:ind w:left="9"/>
        <w:spacing w:after="0"/>
        <w:tabs>
          <w:tab w:leader="dot" w:pos="3609"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S-9</w:t>
      </w:r>
    </w:p>
    <w:p>
      <w:pPr>
        <w:spacing w:after="0" w:line="1" w:lineRule="exact"/>
        <w:rPr>
          <w:sz w:val="20"/>
          <w:szCs w:val="20"/>
          <w:color w:val="auto"/>
        </w:rPr>
      </w:pPr>
    </w:p>
    <w:p>
      <w:pPr>
        <w:ind w:left="9"/>
        <w:spacing w:after="0"/>
        <w:tabs>
          <w:tab w:leader="dot" w:pos="3529"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4"/>
          <w:szCs w:val="14"/>
          <w:color w:val="auto"/>
        </w:rPr>
        <w:t>S-10</w:t>
      </w:r>
    </w:p>
    <w:p>
      <w:pPr>
        <w:spacing w:after="0" w:line="171" w:lineRule="exact"/>
        <w:rPr>
          <w:sz w:val="20"/>
          <w:szCs w:val="20"/>
          <w:color w:val="auto"/>
        </w:rPr>
      </w:pPr>
    </w:p>
    <w:p>
      <w:pPr>
        <w:ind w:left="1509"/>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1" w:lineRule="exact"/>
        <w:rPr>
          <w:sz w:val="20"/>
          <w:szCs w:val="20"/>
          <w:color w:val="auto"/>
        </w:rPr>
      </w:pPr>
    </w:p>
    <w:p>
      <w:pPr>
        <w:ind w:left="169"/>
        <w:spacing w:after="0"/>
        <w:tabs>
          <w:tab w:leader="dot" w:pos="3789"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Ratios of Earnings to Fixed Charges</w:t>
      </w:r>
      <w:r>
        <w:rPr>
          <w:sz w:val="20"/>
          <w:szCs w:val="20"/>
          <w:color w:val="auto"/>
        </w:rPr>
        <w:tab/>
      </w:r>
      <w:r>
        <w:rPr>
          <w:rFonts w:ascii="Courier New" w:cs="Courier New" w:eastAsia="Courier New" w:hAnsi="Courier New"/>
          <w:sz w:val="15"/>
          <w:szCs w:val="15"/>
          <w:color w:val="auto"/>
        </w:rPr>
        <w:t>3</w:t>
      </w:r>
    </w:p>
    <w:p>
      <w:pPr>
        <w:spacing w:after="0" w:line="1" w:lineRule="exact"/>
        <w:rPr>
          <w:sz w:val="20"/>
          <w:szCs w:val="20"/>
          <w:color w:val="auto"/>
        </w:rPr>
      </w:pPr>
    </w:p>
    <w:p>
      <w:pPr>
        <w:ind w:left="9"/>
        <w:spacing w:after="0"/>
        <w:tabs>
          <w:tab w:leader="dot" w:pos="3789" w:val="left"/>
        </w:tabs>
        <w:rPr>
          <w:sz w:val="20"/>
          <w:szCs w:val="20"/>
          <w:color w:val="auto"/>
        </w:rPr>
      </w:pPr>
      <w:r>
        <w:rPr>
          <w:rFonts w:ascii="Courier New" w:cs="Courier New" w:eastAsia="Courier New" w:hAnsi="Courier New"/>
          <w:sz w:val="15"/>
          <w:szCs w:val="15"/>
          <w:color w:val="auto"/>
        </w:rPr>
        <w:t>Description of Debt Securities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Validity of Securities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ind w:left="9"/>
        <w:spacing w:after="0"/>
        <w:tabs>
          <w:tab w:leader="dot" w:pos="3709"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17</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10,000,000 SHARES</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USA WASTE</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SERVICES, INC.</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COMMON STOCK</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PROSPECTUS SUPPLEMENT</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DONALDSON, LUFKIN &amp; JENRETTE</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SECURITIES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DEUTSCHE MORGAN GRENFELL</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GOLDMAN, SACHS &amp; CO.</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MERRILL LYNCH &amp; CO.</w:t>
      </w:r>
    </w:p>
    <w:p>
      <w:pPr>
        <w:spacing w:after="0" w:line="17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 1997</w:t>
      </w:r>
    </w:p>
    <w:p>
      <w:pPr>
        <w:spacing w:after="0" w:line="171"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8"/>
      </w:cols>
      <w:pgMar w:left="231"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713"/>
    </w:lvl>
  </w:abstractNum>
  <w:abstractNum w:abstractNumId="9">
    <w:nsid w:val="1190CDE7"/>
    <w:multiLevelType w:val="hybridMultilevel"/>
    <w:lvl w:ilvl="0">
      <w:lvlJc w:val="left"/>
      <w:lvlText w:val="&amp;"/>
      <w:numFmt w:val="bullet"/>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2019-12-20T04:23:41Z</dcterms:created>
  <dcterms:modified xsi:type="dcterms:W3CDTF">2019-12-20T04:23:41Z</dcterms:modified>
</cp:coreProperties>
</file>