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(Mark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16510</wp:posOffset>
            </wp:positionV>
            <wp:extent cx="635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5" w:lineRule="exact"/>
        <w:rPr>
          <w:sz w:val="20"/>
          <w:szCs w:val="20"/>
          <w:color w:val="auto"/>
        </w:rPr>
      </w:pPr>
    </w:p>
    <w:p>
      <w:pPr>
        <w:ind w:left="1420" w:hanging="655"/>
        <w:spacing w:after="0"/>
        <w:tabs>
          <w:tab w:leader="none" w:pos="1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OF THE SECURITIES AND EXCHANGE ACT OF 1934</w:t>
      </w:r>
    </w:p>
    <w:p>
      <w:pPr>
        <w:ind w:left="1420"/>
        <w:spacing w:after="0"/>
        <w:rPr>
          <w:sz w:val="20"/>
          <w:szCs w:val="20"/>
          <w:color w:val="auto"/>
        </w:rPr>
      </w:pPr>
      <w:r>
        <w:rPr>
          <w:rFonts w:ascii="Arial" w:cs="Arial" w:eastAsia="Arial" w:hAnsi="Arial"/>
          <w:sz w:val="13"/>
          <w:szCs w:val="13"/>
          <w:b w:val="1"/>
          <w:bCs w:val="1"/>
          <w:color w:val="auto"/>
        </w:rPr>
        <w:t>For the fiscal year ended December 31, 2008</w:t>
      </w:r>
    </w:p>
    <w:p>
      <w:pPr>
        <w:spacing w:after="0" w:line="13"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or</w:t>
      </w:r>
    </w:p>
    <w:p>
      <w:pPr>
        <w:spacing w:after="0" w:line="20" w:lineRule="exact"/>
        <w:rPr>
          <w:sz w:val="20"/>
          <w:szCs w:val="20"/>
          <w:color w:val="auto"/>
        </w:rPr>
      </w:pPr>
    </w:p>
    <w:p>
      <w:pPr>
        <w:ind w:left="1420" w:hanging="625"/>
        <w:spacing w:after="0"/>
        <w:tabs>
          <w:tab w:leader="none" w:pos="14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OF THE SECURITIES AND EXCHANGE ACT OF 1934</w:t>
      </w:r>
    </w:p>
    <w:tbl>
      <w:tblPr>
        <w:tblLayout w:type="fixed"/>
        <w:tblInd w:w="1420" w:type="dxa"/>
        <w:tblCellMar>
          <w:top w:w="0" w:type="dxa"/>
          <w:left w:w="0" w:type="dxa"/>
          <w:bottom w:w="0" w:type="dxa"/>
          <w:right w:w="0" w:type="dxa"/>
        </w:tblCellMar>
      </w:tblPr>
      <w:tr>
        <w:trPr>
          <w:trHeight w:val="169"/>
        </w:trPr>
        <w:tc>
          <w:tcPr>
            <w:tcW w:w="1960" w:type="dxa"/>
            <w:vAlign w:val="bottom"/>
          </w:tcPr>
          <w:p>
            <w:pPr>
              <w:spacing w:after="0"/>
              <w:rPr>
                <w:sz w:val="20"/>
                <w:szCs w:val="20"/>
                <w:color w:val="auto"/>
              </w:rPr>
            </w:pPr>
            <w:r>
              <w:rPr>
                <w:rFonts w:ascii="Arial" w:cs="Arial" w:eastAsia="Arial" w:hAnsi="Arial"/>
                <w:sz w:val="13"/>
                <w:szCs w:val="13"/>
                <w:b w:val="1"/>
                <w:bCs w:val="1"/>
                <w:color w:val="auto"/>
              </w:rPr>
              <w:t>For the transition period from</w:t>
            </w:r>
          </w:p>
        </w:tc>
        <w:tc>
          <w:tcPr>
            <w:tcW w:w="620" w:type="dxa"/>
            <w:vAlign w:val="bottom"/>
          </w:tcPr>
          <w:p>
            <w:pPr>
              <w:ind w:left="60"/>
              <w:spacing w:after="0"/>
              <w:rPr>
                <w:sz w:val="20"/>
                <w:szCs w:val="20"/>
                <w:color w:val="auto"/>
              </w:rPr>
            </w:pPr>
            <w:r>
              <w:rPr>
                <w:rFonts w:ascii="Arial" w:cs="Arial" w:eastAsia="Arial" w:hAnsi="Arial"/>
                <w:sz w:val="13"/>
                <w:szCs w:val="13"/>
                <w:b w:val="1"/>
                <w:bCs w:val="1"/>
                <w:color w:val="auto"/>
              </w:rPr>
              <w:t>to</w:t>
            </w:r>
          </w:p>
        </w:tc>
        <w:tc>
          <w:tcPr>
            <w:tcW w:w="4860" w:type="dxa"/>
            <w:vAlign w:val="bottom"/>
          </w:tcPr>
          <w:p>
            <w:pPr>
              <w:spacing w:after="0"/>
              <w:rPr>
                <w:sz w:val="14"/>
                <w:szCs w:val="14"/>
                <w:color w:val="auto"/>
              </w:rPr>
            </w:pPr>
          </w:p>
        </w:tc>
      </w:tr>
      <w:tr>
        <w:trPr>
          <w:trHeight w:val="222"/>
        </w:trPr>
        <w:tc>
          <w:tcPr>
            <w:tcW w:w="1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60" w:type="dxa"/>
            <w:vAlign w:val="bottom"/>
          </w:tcPr>
          <w:p>
            <w:pPr>
              <w:jc w:val="center"/>
              <w:ind w:right="1310"/>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382"/>
        </w:trPr>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60" w:type="dxa"/>
            <w:vAlign w:val="bottom"/>
          </w:tcPr>
          <w:p>
            <w:pPr>
              <w:jc w:val="center"/>
              <w:ind w:right="1330"/>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60" w:type="dxa"/>
            <w:vAlign w:val="bottom"/>
          </w:tcPr>
          <w:p>
            <w:pPr>
              <w:jc w:val="center"/>
              <w:ind w:right="1330"/>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r>
      <w:tr>
        <w:trPr>
          <w:trHeight w:val="193"/>
        </w:trPr>
        <w:tc>
          <w:tcPr>
            <w:tcW w:w="1960" w:type="dxa"/>
            <w:vAlign w:val="bottom"/>
          </w:tcPr>
          <w:p>
            <w:pPr>
              <w:jc w:val="center"/>
              <w:ind w:left="1240"/>
              <w:spacing w:after="0"/>
              <w:rPr>
                <w:sz w:val="20"/>
                <w:szCs w:val="20"/>
                <w:color w:val="auto"/>
              </w:rPr>
            </w:pPr>
            <w:r>
              <w:rPr>
                <w:rFonts w:ascii="Arial" w:cs="Arial" w:eastAsia="Arial" w:hAnsi="Arial"/>
                <w:sz w:val="13"/>
                <w:szCs w:val="13"/>
                <w:b w:val="1"/>
                <w:bCs w:val="1"/>
                <w:color w:val="auto"/>
                <w:w w:val="94"/>
              </w:rPr>
              <w:t>Delaware</w:t>
            </w:r>
          </w:p>
        </w:tc>
        <w:tc>
          <w:tcPr>
            <w:tcW w:w="620" w:type="dxa"/>
            <w:vAlign w:val="bottom"/>
          </w:tcPr>
          <w:p>
            <w:pPr>
              <w:spacing w:after="0"/>
              <w:rPr>
                <w:sz w:val="16"/>
                <w:szCs w:val="16"/>
                <w:color w:val="auto"/>
              </w:rPr>
            </w:pPr>
          </w:p>
        </w:tc>
        <w:tc>
          <w:tcPr>
            <w:tcW w:w="4860" w:type="dxa"/>
            <w:vAlign w:val="bottom"/>
          </w:tcPr>
          <w:p>
            <w:pPr>
              <w:jc w:val="right"/>
              <w:spacing w:after="0"/>
              <w:rPr>
                <w:sz w:val="20"/>
                <w:szCs w:val="20"/>
                <w:color w:val="auto"/>
              </w:rPr>
            </w:pPr>
            <w:r>
              <w:rPr>
                <w:rFonts w:ascii="Arial" w:cs="Arial" w:eastAsia="Arial" w:hAnsi="Arial"/>
                <w:sz w:val="13"/>
                <w:szCs w:val="13"/>
                <w:b w:val="1"/>
                <w:bCs w:val="1"/>
                <w:color w:val="auto"/>
              </w:rPr>
              <w:t>73-1309529</w:t>
            </w:r>
          </w:p>
        </w:tc>
      </w:tr>
      <w:tr>
        <w:trPr>
          <w:trHeight w:val="108"/>
        </w:trPr>
        <w:tc>
          <w:tcPr>
            <w:tcW w:w="2580" w:type="dxa"/>
            <w:vAlign w:val="bottom"/>
            <w:gridSpan w:val="2"/>
          </w:tcPr>
          <w:p>
            <w:pPr>
              <w:jc w:val="center"/>
              <w:ind w:left="620"/>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860" w:type="dxa"/>
            <w:vAlign w:val="bottom"/>
          </w:tcPr>
          <w:p>
            <w:pPr>
              <w:jc w:val="center"/>
              <w:ind w:left="4050"/>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08"/>
        </w:trPr>
        <w:tc>
          <w:tcPr>
            <w:tcW w:w="2580" w:type="dxa"/>
            <w:vAlign w:val="bottom"/>
            <w:gridSpan w:val="2"/>
          </w:tcPr>
          <w:p>
            <w:pPr>
              <w:jc w:val="center"/>
              <w:ind w:left="620"/>
              <w:spacing w:after="0" w:line="108" w:lineRule="exact"/>
              <w:rPr>
                <w:sz w:val="20"/>
                <w:szCs w:val="20"/>
                <w:color w:val="auto"/>
              </w:rPr>
            </w:pPr>
            <w:r>
              <w:rPr>
                <w:rFonts w:ascii="Arial" w:cs="Arial" w:eastAsia="Arial" w:hAnsi="Arial"/>
                <w:sz w:val="10"/>
                <w:szCs w:val="10"/>
                <w:i w:val="1"/>
                <w:iCs w:val="1"/>
                <w:color w:val="auto"/>
                <w:w w:val="99"/>
              </w:rPr>
              <w:t>incorporation or organization)</w:t>
            </w:r>
          </w:p>
        </w:tc>
        <w:tc>
          <w:tcPr>
            <w:tcW w:w="4860" w:type="dxa"/>
            <w:vAlign w:val="bottom"/>
          </w:tcPr>
          <w:p>
            <w:pPr>
              <w:jc w:val="center"/>
              <w:ind w:left="4030"/>
              <w:spacing w:after="0" w:line="108" w:lineRule="exact"/>
              <w:rPr>
                <w:sz w:val="20"/>
                <w:szCs w:val="20"/>
                <w:color w:val="auto"/>
              </w:rPr>
            </w:pPr>
            <w:r>
              <w:rPr>
                <w:rFonts w:ascii="Arial" w:cs="Arial" w:eastAsia="Arial" w:hAnsi="Arial"/>
                <w:sz w:val="10"/>
                <w:szCs w:val="10"/>
                <w:i w:val="1"/>
                <w:iCs w:val="1"/>
                <w:color w:val="auto"/>
                <w:w w:val="97"/>
              </w:rPr>
              <w:t>Identification No.)</w:t>
            </w:r>
          </w:p>
        </w:tc>
      </w:tr>
      <w:tr>
        <w:trPr>
          <w:trHeight w:val="157"/>
        </w:trPr>
        <w:tc>
          <w:tcPr>
            <w:tcW w:w="2580" w:type="dxa"/>
            <w:vAlign w:val="bottom"/>
            <w:gridSpan w:val="2"/>
          </w:tcPr>
          <w:p>
            <w:pPr>
              <w:jc w:val="center"/>
              <w:ind w:left="620"/>
              <w:spacing w:after="0"/>
              <w:rPr>
                <w:sz w:val="20"/>
                <w:szCs w:val="20"/>
                <w:color w:val="auto"/>
              </w:rPr>
            </w:pPr>
            <w:r>
              <w:rPr>
                <w:rFonts w:ascii="Arial" w:cs="Arial" w:eastAsia="Arial" w:hAnsi="Arial"/>
                <w:sz w:val="13"/>
                <w:szCs w:val="13"/>
                <w:b w:val="1"/>
                <w:bCs w:val="1"/>
                <w:color w:val="auto"/>
                <w:w w:val="90"/>
              </w:rPr>
              <w:t>1001 Fannin Street, Suite 4000</w:t>
            </w:r>
          </w:p>
        </w:tc>
        <w:tc>
          <w:tcPr>
            <w:tcW w:w="4860" w:type="dxa"/>
            <w:vAlign w:val="bottom"/>
          </w:tcPr>
          <w:p>
            <w:pPr>
              <w:jc w:val="right"/>
              <w:ind w:right="150"/>
              <w:spacing w:after="0"/>
              <w:rPr>
                <w:sz w:val="20"/>
                <w:szCs w:val="20"/>
                <w:color w:val="auto"/>
              </w:rPr>
            </w:pPr>
            <w:r>
              <w:rPr>
                <w:rFonts w:ascii="Arial" w:cs="Arial" w:eastAsia="Arial" w:hAnsi="Arial"/>
                <w:sz w:val="13"/>
                <w:szCs w:val="13"/>
                <w:b w:val="1"/>
                <w:bCs w:val="1"/>
                <w:color w:val="auto"/>
              </w:rPr>
              <w:t>77002</w:t>
            </w:r>
          </w:p>
        </w:tc>
      </w:tr>
      <w:tr>
        <w:trPr>
          <w:trHeight w:val="157"/>
        </w:trPr>
        <w:tc>
          <w:tcPr>
            <w:tcW w:w="2580" w:type="dxa"/>
            <w:vAlign w:val="bottom"/>
            <w:gridSpan w:val="2"/>
          </w:tcPr>
          <w:p>
            <w:pPr>
              <w:jc w:val="center"/>
              <w:ind w:left="740"/>
              <w:spacing w:after="0"/>
              <w:rPr>
                <w:sz w:val="20"/>
                <w:szCs w:val="20"/>
                <w:color w:val="auto"/>
              </w:rPr>
            </w:pPr>
            <w:r>
              <w:rPr>
                <w:rFonts w:ascii="Arial" w:cs="Arial" w:eastAsia="Arial" w:hAnsi="Arial"/>
                <w:sz w:val="13"/>
                <w:szCs w:val="13"/>
                <w:b w:val="1"/>
                <w:bCs w:val="1"/>
                <w:color w:val="auto"/>
                <w:w w:val="88"/>
              </w:rPr>
              <w:t>Houston, Texas</w:t>
            </w:r>
          </w:p>
        </w:tc>
        <w:tc>
          <w:tcPr>
            <w:tcW w:w="4860" w:type="dxa"/>
            <w:vAlign w:val="bottom"/>
          </w:tcPr>
          <w:p>
            <w:pPr>
              <w:jc w:val="center"/>
              <w:ind w:left="4030"/>
              <w:spacing w:after="0"/>
              <w:rPr>
                <w:sz w:val="20"/>
                <w:szCs w:val="20"/>
                <w:color w:val="auto"/>
              </w:rPr>
            </w:pPr>
            <w:r>
              <w:rPr>
                <w:rFonts w:ascii="Arial" w:cs="Arial" w:eastAsia="Arial" w:hAnsi="Arial"/>
                <w:sz w:val="10"/>
                <w:szCs w:val="10"/>
                <w:i w:val="1"/>
                <w:iCs w:val="1"/>
                <w:color w:val="auto"/>
                <w:w w:val="97"/>
              </w:rPr>
              <w:t>(Zip code)</w:t>
            </w:r>
          </w:p>
        </w:tc>
      </w:tr>
      <w:tr>
        <w:trPr>
          <w:trHeight w:val="131"/>
        </w:trPr>
        <w:tc>
          <w:tcPr>
            <w:tcW w:w="2580" w:type="dxa"/>
            <w:vAlign w:val="bottom"/>
            <w:gridSpan w:val="2"/>
          </w:tcPr>
          <w:p>
            <w:pPr>
              <w:jc w:val="center"/>
              <w:ind w:left="740"/>
              <w:spacing w:after="0"/>
              <w:rPr>
                <w:sz w:val="20"/>
                <w:szCs w:val="20"/>
                <w:color w:val="auto"/>
              </w:rPr>
            </w:pPr>
            <w:r>
              <w:rPr>
                <w:rFonts w:ascii="Arial" w:cs="Arial" w:eastAsia="Arial" w:hAnsi="Arial"/>
                <w:sz w:val="10"/>
                <w:szCs w:val="10"/>
                <w:i w:val="1"/>
                <w:iCs w:val="1"/>
                <w:color w:val="auto"/>
                <w:w w:val="94"/>
              </w:rPr>
              <w:t>(Address of principal executive offices)</w:t>
            </w:r>
          </w:p>
        </w:tc>
        <w:tc>
          <w:tcPr>
            <w:tcW w:w="4860" w:type="dxa"/>
            <w:vAlign w:val="bottom"/>
          </w:tcPr>
          <w:p>
            <w:pPr>
              <w:spacing w:after="0"/>
              <w:rPr>
                <w:sz w:val="11"/>
                <w:szCs w:val="11"/>
                <w:color w:val="auto"/>
              </w:rPr>
            </w:pPr>
          </w:p>
        </w:tc>
      </w:tr>
    </w:tbl>
    <w:p>
      <w:pPr>
        <w:spacing w:after="0" w:line="6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(713) 512-6200</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ectPr>
          <w:pgSz w:w="11900" w:h="16838" w:orient="portrait"/>
          <w:cols w:equalWidth="0" w:num="1">
            <w:col w:w="11460"/>
          </w:cols>
          <w:pgMar w:left="220" w:top="127" w:right="219" w:bottom="1440" w:gutter="0" w:footer="0" w:header="0"/>
        </w:sectPr>
      </w:pPr>
    </w:p>
    <w:p>
      <w:pPr>
        <w:spacing w:after="0" w:line="102" w:lineRule="exact"/>
        <w:rPr>
          <w:sz w:val="20"/>
          <w:szCs w:val="20"/>
          <w:color w:val="auto"/>
        </w:rPr>
      </w:pPr>
    </w:p>
    <w:p>
      <w:pPr>
        <w:ind w:left="3020"/>
        <w:spacing w:after="0"/>
        <w:rPr>
          <w:sz w:val="20"/>
          <w:szCs w:val="20"/>
          <w:color w:val="auto"/>
        </w:rPr>
      </w:pP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 of Each Class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of Exchange on Which Registered</w:t>
      </w:r>
    </w:p>
    <w:p>
      <w:pPr>
        <w:spacing w:after="0" w:line="72" w:lineRule="exact"/>
        <w:rPr>
          <w:sz w:val="20"/>
          <w:szCs w:val="20"/>
          <w:color w:val="auto"/>
        </w:rPr>
      </w:pPr>
    </w:p>
    <w:p>
      <w:pPr>
        <w:sectPr>
          <w:pgSz w:w="11900" w:h="16838" w:orient="portrait"/>
          <w:cols w:equalWidth="0" w:num="2">
            <w:col w:w="7740" w:space="720"/>
            <w:col w:w="3000"/>
          </w:cols>
          <w:pgMar w:left="220" w:top="127" w:right="219" w:bottom="1440" w:gutter="0" w:footer="0" w:header="0"/>
          <w:type w:val="continuous"/>
        </w:sectPr>
      </w:pPr>
    </w:p>
    <w:p>
      <w:pPr>
        <w:ind w:left="2240"/>
        <w:spacing w:after="0"/>
        <w:rPr>
          <w:sz w:val="20"/>
          <w:szCs w:val="20"/>
          <w:color w:val="auto"/>
        </w:rPr>
      </w:pPr>
      <w:r>
        <w:rPr>
          <w:rFonts w:ascii="Arial" w:cs="Arial" w:eastAsia="Arial" w:hAnsi="Arial"/>
          <w:sz w:val="11"/>
          <w:szCs w:val="11"/>
          <w:color w:val="auto"/>
        </w:rPr>
        <w:t>Common Stock, $.01 par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New York Stock Exchange</w:t>
      </w:r>
    </w:p>
    <w:p>
      <w:pPr>
        <w:spacing w:after="0" w:line="94" w:lineRule="exact"/>
        <w:rPr>
          <w:sz w:val="20"/>
          <w:szCs w:val="20"/>
          <w:color w:val="auto"/>
        </w:rPr>
      </w:pPr>
    </w:p>
    <w:p>
      <w:pPr>
        <w:sectPr>
          <w:pgSz w:w="11900" w:h="16838" w:orient="portrait"/>
          <w:cols w:equalWidth="0" w:num="2">
            <w:col w:w="7060" w:space="720"/>
            <w:col w:w="3680"/>
          </w:cols>
          <w:pgMar w:left="220" w:top="127" w:right="219" w:bottom="1440" w:gutter="0" w:footer="0" w:header="0"/>
          <w:type w:val="continuous"/>
        </w:sectPr>
      </w:pPr>
    </w:p>
    <w:p>
      <w:pPr>
        <w:ind w:left="660"/>
        <w:spacing w:after="0" w:line="127"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by Rule 405 of the Securities Act. Yes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No o</w:t>
      </w:r>
    </w:p>
    <w:p>
      <w:pPr>
        <w:spacing w:after="0" w:line="94" w:lineRule="exact"/>
        <w:rPr>
          <w:sz w:val="20"/>
          <w:szCs w:val="20"/>
          <w:color w:val="auto"/>
        </w:rPr>
      </w:pPr>
    </w:p>
    <w:p>
      <w:pPr>
        <w:sectPr>
          <w:pgSz w:w="11900" w:h="16838" w:orient="portrait"/>
          <w:cols w:equalWidth="0" w:num="2">
            <w:col w:w="7240" w:space="180"/>
            <w:col w:w="4040"/>
          </w:cols>
          <w:pgMar w:left="220" w:top="127" w:right="21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7280" w:space="160"/>
            <w:col w:w="4020"/>
          </w:cols>
          <w:pgMar w:left="220" w:top="127" w:right="219" w:bottom="1440" w:gutter="0" w:footer="0" w:header="0"/>
          <w:type w:val="continuous"/>
        </w:sectPr>
      </w:pPr>
    </w:p>
    <w:p>
      <w:pPr>
        <w:ind w:left="340" w:right="480" w:firstLine="324"/>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340" w:right="920" w:firstLine="324"/>
        <w:spacing w:after="0" w:line="169"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66" w:lineRule="exact"/>
        <w:rPr>
          <w:sz w:val="20"/>
          <w:szCs w:val="20"/>
          <w:color w:val="auto"/>
        </w:rPr>
      </w:pPr>
    </w:p>
    <w:p>
      <w:pPr>
        <w:ind w:left="340" w:right="540" w:firstLine="324"/>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0"/>
          <w:szCs w:val="20"/>
          <w:color w:val="auto"/>
        </w:rPr>
      </w:pPr>
    </w:p>
    <w:p>
      <w:pPr>
        <w:ind w:left="3320" w:right="760" w:hanging="4463"/>
        <w:spacing w:after="0" w:line="206" w:lineRule="exact"/>
        <w:tabs>
          <w:tab w:leader="none" w:pos="33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97" w:lineRule="exact"/>
        <w:rPr>
          <w:sz w:val="20"/>
          <w:szCs w:val="20"/>
          <w:color w:val="auto"/>
        </w:rPr>
      </w:pPr>
    </w:p>
    <w:p>
      <w:pPr>
        <w:ind w:left="660"/>
        <w:spacing w:after="0" w:line="138" w:lineRule="exact"/>
        <w:tabs>
          <w:tab w:leader="none" w:pos="65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340" w:right="420" w:firstLine="324"/>
        <w:spacing w:after="0" w:line="264" w:lineRule="auto"/>
        <w:rPr>
          <w:sz w:val="20"/>
          <w:szCs w:val="20"/>
          <w:color w:val="auto"/>
        </w:rPr>
      </w:pPr>
      <w:r>
        <w:rPr>
          <w:rFonts w:ascii="Arial" w:cs="Arial" w:eastAsia="Arial" w:hAnsi="Arial"/>
          <w:sz w:val="13"/>
          <w:szCs w:val="13"/>
          <w:color w:val="auto"/>
        </w:rPr>
        <w:t>The aggregate market value of the voting stock held by non-affiliates of the registrant at June 30, 2008 was approximately $18.5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The number of shares of Common Stock, $0.01 par value, of the registrant outstanding at February 12, 2009 was 491,461,631 (excluding treasury shares of 138,820,830).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980" w:type="dxa"/>
            <w:vAlign w:val="bottom"/>
          </w:tcPr>
          <w:p>
            <w:pPr>
              <w:ind w:left="100"/>
              <w:spacing w:after="0"/>
              <w:rPr>
                <w:sz w:val="20"/>
                <w:szCs w:val="20"/>
                <w:color w:val="auto"/>
              </w:rPr>
            </w:pPr>
            <w:r>
              <w:rPr>
                <w:rFonts w:ascii="Arial" w:cs="Arial" w:eastAsia="Arial" w:hAnsi="Arial"/>
                <w:sz w:val="13"/>
                <w:szCs w:val="13"/>
                <w:b w:val="1"/>
                <w:bCs w:val="1"/>
                <w:color w:val="auto"/>
              </w:rPr>
              <w:t>DOCUMENTS INCORPORATED BY REFERENCE</w:t>
            </w:r>
          </w:p>
        </w:tc>
        <w:tc>
          <w:tcPr>
            <w:tcW w:w="340" w:type="dxa"/>
            <w:vAlign w:val="bottom"/>
          </w:tcPr>
          <w:p>
            <w:pPr>
              <w:spacing w:after="0"/>
              <w:rPr>
                <w:sz w:val="14"/>
                <w:szCs w:val="14"/>
                <w:color w:val="auto"/>
              </w:rPr>
            </w:pPr>
          </w:p>
        </w:tc>
      </w:tr>
      <w:tr>
        <w:trPr>
          <w:trHeight w:val="218"/>
        </w:trPr>
        <w:tc>
          <w:tcPr>
            <w:tcW w:w="340" w:type="dxa"/>
            <w:vAlign w:val="bottom"/>
          </w:tcPr>
          <w:p>
            <w:pPr>
              <w:spacing w:after="0"/>
              <w:rPr>
                <w:sz w:val="18"/>
                <w:szCs w:val="18"/>
                <w:color w:val="auto"/>
              </w:rPr>
            </w:pPr>
          </w:p>
        </w:tc>
        <w:tc>
          <w:tcPr>
            <w:tcW w:w="3800" w:type="dxa"/>
            <w:vAlign w:val="bottom"/>
          </w:tcPr>
          <w:p>
            <w:pPr>
              <w:ind w:left="2620"/>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ocument</w:t>
            </w:r>
          </w:p>
        </w:tc>
        <w:tc>
          <w:tcPr>
            <w:tcW w:w="6980" w:type="dxa"/>
            <w:vAlign w:val="bottom"/>
          </w:tcPr>
          <w:p>
            <w:pPr>
              <w:ind w:left="4320"/>
              <w:spacing w:after="0"/>
              <w:rPr>
                <w:sz w:val="20"/>
                <w:szCs w:val="20"/>
                <w:color w:val="auto"/>
              </w:rPr>
            </w:pPr>
            <w:r>
              <w:rPr>
                <w:rFonts w:ascii="Arial" w:cs="Arial" w:eastAsia="Arial" w:hAnsi="Arial"/>
                <w:sz w:val="10"/>
                <w:szCs w:val="10"/>
                <w:b w:val="1"/>
                <w:bCs w:val="1"/>
                <w:u w:val="single" w:color="auto"/>
                <w:color w:val="auto"/>
              </w:rPr>
              <w:t>I</w:t>
            </w:r>
            <w:r>
              <w:rPr>
                <w:rFonts w:ascii="Arial" w:cs="Arial" w:eastAsia="Arial" w:hAnsi="Arial"/>
                <w:sz w:val="10"/>
                <w:szCs w:val="10"/>
                <w:b w:val="1"/>
                <w:bCs w:val="1"/>
                <w:color w:val="auto"/>
              </w:rPr>
              <w:t>ncorporated as to</w:t>
            </w:r>
          </w:p>
        </w:tc>
        <w:tc>
          <w:tcPr>
            <w:tcW w:w="340" w:type="dxa"/>
            <w:vAlign w:val="bottom"/>
          </w:tcPr>
          <w:p>
            <w:pPr>
              <w:spacing w:after="0"/>
              <w:rPr>
                <w:sz w:val="18"/>
                <w:szCs w:val="18"/>
                <w:color w:val="auto"/>
              </w:rPr>
            </w:pPr>
          </w:p>
        </w:tc>
      </w:tr>
      <w:tr>
        <w:trPr>
          <w:trHeight w:val="197"/>
        </w:trPr>
        <w:tc>
          <w:tcPr>
            <w:tcW w:w="340" w:type="dxa"/>
            <w:vAlign w:val="bottom"/>
          </w:tcPr>
          <w:p>
            <w:pPr>
              <w:spacing w:after="0"/>
              <w:rPr>
                <w:sz w:val="17"/>
                <w:szCs w:val="17"/>
                <w:color w:val="auto"/>
              </w:rPr>
            </w:pPr>
          </w:p>
        </w:tc>
        <w:tc>
          <w:tcPr>
            <w:tcW w:w="3800" w:type="dxa"/>
            <w:vAlign w:val="bottom"/>
          </w:tcPr>
          <w:p>
            <w:pPr>
              <w:ind w:left="2020"/>
              <w:spacing w:after="0"/>
              <w:rPr>
                <w:sz w:val="20"/>
                <w:szCs w:val="20"/>
                <w:color w:val="auto"/>
              </w:rPr>
            </w:pPr>
            <w:r>
              <w:rPr>
                <w:rFonts w:ascii="Arial" w:cs="Arial" w:eastAsia="Arial" w:hAnsi="Arial"/>
                <w:sz w:val="13"/>
                <w:szCs w:val="13"/>
                <w:color w:val="auto"/>
              </w:rPr>
              <w:t>Proxy Statement for the</w:t>
            </w:r>
          </w:p>
        </w:tc>
        <w:tc>
          <w:tcPr>
            <w:tcW w:w="6980" w:type="dxa"/>
            <w:vAlign w:val="bottom"/>
          </w:tcPr>
          <w:p>
            <w:pPr>
              <w:ind w:left="4160"/>
              <w:spacing w:after="0"/>
              <w:rPr>
                <w:sz w:val="20"/>
                <w:szCs w:val="20"/>
                <w:color w:val="auto"/>
              </w:rPr>
            </w:pPr>
            <w:r>
              <w:rPr>
                <w:rFonts w:ascii="Arial" w:cs="Arial" w:eastAsia="Arial" w:hAnsi="Arial"/>
                <w:sz w:val="13"/>
                <w:szCs w:val="13"/>
                <w:color w:val="auto"/>
              </w:rPr>
              <w:t>Part III</w:t>
            </w:r>
          </w:p>
        </w:tc>
        <w:tc>
          <w:tcPr>
            <w:tcW w:w="340" w:type="dxa"/>
            <w:vAlign w:val="bottom"/>
          </w:tcPr>
          <w:p>
            <w:pPr>
              <w:spacing w:after="0"/>
              <w:rPr>
                <w:sz w:val="17"/>
                <w:szCs w:val="17"/>
                <w:color w:val="auto"/>
              </w:rPr>
            </w:pPr>
          </w:p>
        </w:tc>
      </w:tr>
      <w:tr>
        <w:trPr>
          <w:trHeight w:val="165"/>
        </w:trPr>
        <w:tc>
          <w:tcPr>
            <w:tcW w:w="340" w:type="dxa"/>
            <w:vAlign w:val="bottom"/>
          </w:tcPr>
          <w:p>
            <w:pPr>
              <w:spacing w:after="0"/>
              <w:rPr>
                <w:sz w:val="14"/>
                <w:szCs w:val="14"/>
                <w:color w:val="auto"/>
              </w:rPr>
            </w:pPr>
          </w:p>
        </w:tc>
        <w:tc>
          <w:tcPr>
            <w:tcW w:w="3800" w:type="dxa"/>
            <w:vAlign w:val="bottom"/>
          </w:tcPr>
          <w:p>
            <w:pPr>
              <w:ind w:left="1720"/>
              <w:spacing w:after="0"/>
              <w:rPr>
                <w:sz w:val="20"/>
                <w:szCs w:val="20"/>
                <w:color w:val="auto"/>
              </w:rPr>
            </w:pPr>
            <w:r>
              <w:rPr>
                <w:rFonts w:ascii="Arial" w:cs="Arial" w:eastAsia="Arial" w:hAnsi="Arial"/>
                <w:sz w:val="13"/>
                <w:szCs w:val="13"/>
                <w:color w:val="auto"/>
                <w:w w:val="95"/>
              </w:rPr>
              <w:t>2009 Annual Meeting of Stockholders</w:t>
            </w:r>
          </w:p>
        </w:tc>
        <w:tc>
          <w:tcPr>
            <w:tcW w:w="69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29"/>
        </w:trPr>
        <w:tc>
          <w:tcPr>
            <w:tcW w:w="340" w:type="dxa"/>
            <w:vAlign w:val="bottom"/>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69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r>
      <w:tr>
        <w:trPr>
          <w:trHeight w:val="162"/>
        </w:trPr>
        <w:tc>
          <w:tcPr>
            <w:tcW w:w="340" w:type="dxa"/>
            <w:vAlign w:val="bottom"/>
            <w:tcBorders>
              <w:bottom w:val="single" w:sz="8" w:color="808080"/>
            </w:tcBorders>
          </w:tcPr>
          <w:p>
            <w:pPr>
              <w:spacing w:after="0"/>
              <w:rPr>
                <w:sz w:val="14"/>
                <w:szCs w:val="14"/>
                <w:color w:val="auto"/>
              </w:rPr>
            </w:pPr>
          </w:p>
        </w:tc>
        <w:tc>
          <w:tcPr>
            <w:tcW w:w="3800" w:type="dxa"/>
            <w:vAlign w:val="bottom"/>
            <w:tcBorders>
              <w:bottom w:val="single" w:sz="8" w:color="808080"/>
            </w:tcBorders>
          </w:tcPr>
          <w:p>
            <w:pPr>
              <w:spacing w:after="0"/>
              <w:rPr>
                <w:sz w:val="14"/>
                <w:szCs w:val="14"/>
                <w:color w:val="auto"/>
              </w:rPr>
            </w:pPr>
          </w:p>
        </w:tc>
        <w:tc>
          <w:tcPr>
            <w:tcW w:w="69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type w:val="continuous"/>
        </w:sectPr>
      </w:pPr>
    </w:p>
    <w:bookmarkStart w:id="2" w:name="page3"/>
    <w:bookmarkEnd w:id="2"/>
    <w:tbl>
      <w:tblPr>
        <w:tblLayout w:type="fixed"/>
        <w:tblInd w:w="34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40" w:type="dxa"/>
            <w:vAlign w:val="bottom"/>
            <w:gridSpan w:val="14"/>
          </w:tcPr>
          <w:p>
            <w:pPr>
              <w:jc w:val="center"/>
              <w:ind w:right="3760"/>
              <w:spacing w:after="0"/>
              <w:rPr>
                <w:sz w:val="20"/>
                <w:szCs w:val="20"/>
                <w:color w:val="auto"/>
              </w:rPr>
            </w:pPr>
            <w:r>
              <w:rPr>
                <w:rFonts w:ascii="Arial" w:cs="Arial" w:eastAsia="Arial" w:hAnsi="Arial"/>
                <w:sz w:val="13"/>
                <w:szCs w:val="13"/>
                <w:b w:val="1"/>
                <w:bCs w:val="1"/>
                <w:color w:val="auto"/>
                <w:w w:val="99"/>
              </w:rPr>
              <w:t>TABLE OF CONTENTS</w:t>
            </w:r>
          </w:p>
        </w:tc>
        <w:tc>
          <w:tcPr>
            <w:tcW w:w="380" w:type="dxa"/>
            <w:vAlign w:val="bottom"/>
          </w:tcPr>
          <w:p>
            <w:pPr>
              <w:spacing w:after="0"/>
              <w:rPr>
                <w:sz w:val="14"/>
                <w:szCs w:val="14"/>
                <w:color w:val="auto"/>
              </w:rPr>
            </w:pPr>
          </w:p>
        </w:tc>
      </w:tr>
      <w:tr>
        <w:trPr>
          <w:trHeight w:val="286"/>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rPr>
              <w:t>Page</w:t>
            </w:r>
          </w:p>
        </w:tc>
      </w:tr>
      <w:tr>
        <w:trPr>
          <w:trHeight w:val="157"/>
        </w:trPr>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9"/>
          </w:tcPr>
          <w:p>
            <w:pPr>
              <w:jc w:val="center"/>
              <w:ind w:right="440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380" w:type="dxa"/>
            <w:vAlign w:val="bottom"/>
          </w:tcPr>
          <w:p>
            <w:pPr>
              <w:spacing w:after="0"/>
              <w:rPr>
                <w:sz w:val="13"/>
                <w:szCs w:val="13"/>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3360" w:type="dxa"/>
            <w:vAlign w:val="bottom"/>
            <w:gridSpan w:val="16"/>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400" w:type="dxa"/>
            <w:vAlign w:val="bottom"/>
            <w:gridSpan w:val="8"/>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3"/>
          </w:tcPr>
          <w:p>
            <w:pPr>
              <w:spacing w:after="0" w:line="138" w:lineRule="exact"/>
              <w:rPr>
                <w:rFonts w:ascii="Arial" w:cs="Arial" w:eastAsia="Arial" w:hAnsi="Arial"/>
                <w:sz w:val="13"/>
                <w:szCs w:val="13"/>
                <w:color w:val="0000EE"/>
                <w:w w:val="94"/>
              </w:rPr>
            </w:pPr>
            <w:hyperlink w:anchor="page14">
              <w:r>
                <w:rPr>
                  <w:rFonts w:ascii="Arial" w:cs="Arial" w:eastAsia="Arial" w:hAnsi="Arial"/>
                  <w:sz w:val="13"/>
                  <w:szCs w:val="13"/>
                  <w:color w:val="0000EE"/>
                  <w:w w:val="94"/>
                </w:rPr>
                <w:t>Item 1A.</w:t>
              </w:r>
            </w:hyperlink>
          </w:p>
        </w:tc>
        <w:tc>
          <w:tcPr>
            <w:tcW w:w="560" w:type="dxa"/>
            <w:vAlign w:val="bottom"/>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4">
              <w:r>
                <w:rPr>
                  <w:rFonts w:ascii="Arial" w:cs="Arial" w:eastAsia="Arial" w:hAnsi="Arial"/>
                  <w:sz w:val="13"/>
                  <w:szCs w:val="13"/>
                  <w:color w:val="0000EE"/>
                  <w:w w:val="88"/>
                </w:rPr>
                <w:t>Risk Factors</w:t>
              </w:r>
            </w:hyperlink>
          </w:p>
        </w:tc>
        <w:tc>
          <w:tcPr>
            <w:tcW w:w="7520" w:type="dxa"/>
            <w:vAlign w:val="bottom"/>
            <w:gridSpan w:val="22"/>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w:t>
            </w:r>
          </w:p>
        </w:tc>
      </w:tr>
      <w:tr>
        <w:trPr>
          <w:trHeight w:val="137"/>
        </w:trPr>
        <w:tc>
          <w:tcPr>
            <w:tcW w:w="460" w:type="dxa"/>
            <w:vAlign w:val="bottom"/>
            <w:gridSpan w:val="2"/>
          </w:tcPr>
          <w:p>
            <w:pPr>
              <w:spacing w:after="0" w:line="138" w:lineRule="exact"/>
              <w:rPr>
                <w:rFonts w:ascii="Arial" w:cs="Arial" w:eastAsia="Arial" w:hAnsi="Arial"/>
                <w:sz w:val="13"/>
                <w:szCs w:val="13"/>
                <w:color w:val="0000EE"/>
                <w:w w:val="90"/>
              </w:rPr>
            </w:pPr>
            <w:hyperlink w:anchor="page19">
              <w:r>
                <w:rPr>
                  <w:rFonts w:ascii="Arial" w:cs="Arial" w:eastAsia="Arial" w:hAnsi="Arial"/>
                  <w:sz w:val="13"/>
                  <w:szCs w:val="13"/>
                  <w:color w:val="0000EE"/>
                  <w:w w:val="90"/>
                </w:rPr>
                <w:t>Item 1B.</w:t>
              </w:r>
            </w:hyperlink>
          </w:p>
        </w:tc>
        <w:tc>
          <w:tcPr>
            <w:tcW w:w="580" w:type="dxa"/>
            <w:vAlign w:val="bottom"/>
            <w:gridSpan w:val="2"/>
          </w:tcPr>
          <w:p>
            <w:pPr>
              <w:spacing w:after="0"/>
              <w:rPr>
                <w:sz w:val="11"/>
                <w:szCs w:val="11"/>
                <w:color w:val="auto"/>
              </w:rPr>
            </w:pPr>
          </w:p>
        </w:tc>
        <w:tc>
          <w:tcPr>
            <w:tcW w:w="8180" w:type="dxa"/>
            <w:vAlign w:val="bottom"/>
            <w:gridSpan w:val="25"/>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Unresolved Staff Comments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16</w:t>
            </w:r>
          </w:p>
        </w:tc>
      </w:tr>
      <w:tr>
        <w:trPr>
          <w:trHeight w:val="137"/>
        </w:trPr>
        <w:tc>
          <w:tcPr>
            <w:tcW w:w="460" w:type="dxa"/>
            <w:vAlign w:val="bottom"/>
            <w:tcBorders>
              <w:top w:val="single" w:sz="8" w:color="0000EE"/>
            </w:tcBorders>
            <w:gridSpan w:val="2"/>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Item 2.</w:t>
              </w:r>
            </w:hyperlink>
          </w:p>
        </w:tc>
        <w:tc>
          <w:tcPr>
            <w:tcW w:w="580" w:type="dxa"/>
            <w:vAlign w:val="bottom"/>
            <w:gridSpan w:val="2"/>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Properties</w:t>
              </w:r>
            </w:hyperlink>
          </w:p>
        </w:tc>
        <w:tc>
          <w:tcPr>
            <w:tcW w:w="6700" w:type="dxa"/>
            <w:vAlign w:val="bottom"/>
            <w:gridSpan w:val="17"/>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16</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Item 3.</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Legal Proceedings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17</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Item 4.</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Submission of Matters to a Vote of Security Holders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17</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1">
              <w:r>
                <w:rPr>
                  <w:rFonts w:ascii="Arial" w:cs="Arial" w:eastAsia="Arial" w:hAnsi="Arial"/>
                  <w:sz w:val="13"/>
                  <w:szCs w:val="13"/>
                  <w:b w:val="1"/>
                  <w:bCs w:val="1"/>
                  <w:color w:val="0000EE"/>
                </w:rPr>
                <w:t>PART II</w:t>
              </w:r>
            </w:hyperlink>
          </w:p>
        </w:tc>
        <w:tc>
          <w:tcPr>
            <w:tcW w:w="4360" w:type="dxa"/>
            <w:vAlign w:val="bottom"/>
            <w:gridSpan w:val="7"/>
          </w:tcPr>
          <w:p>
            <w:pPr>
              <w:spacing w:after="0"/>
              <w:rPr>
                <w:sz w:val="22"/>
                <w:szCs w:val="22"/>
                <w:color w:val="auto"/>
              </w:rPr>
            </w:pPr>
          </w:p>
        </w:tc>
        <w:tc>
          <w:tcPr>
            <w:tcW w:w="3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Item 5.</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1">
              <w:r>
                <w:rPr>
                  <w:rFonts w:ascii="Arial" w:cs="Arial" w:eastAsia="Arial" w:hAnsi="Arial"/>
                  <w:sz w:val="13"/>
                  <w:szCs w:val="13"/>
                  <w:color w:val="0000EE"/>
                </w:rPr>
                <w:t>Market for Registrant’s Common Equity, Related Stockholder Matters and Issuer Purchases of Equity Securities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Item 6.</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Selected Financial Data</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20</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Item 7.</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24">
              <w:r>
                <w:rPr>
                  <w:rFonts w:ascii="Arial" w:cs="Arial" w:eastAsia="Arial" w:hAnsi="Arial"/>
                  <w:sz w:val="13"/>
                  <w:szCs w:val="13"/>
                  <w:color w:val="0000EE"/>
                </w:rPr>
                <w:t>Management’s Discussion and Analysis of Financial Condition and Results of Operations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21</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4"/>
              </w:rPr>
            </w:pPr>
            <w:hyperlink w:anchor="page56">
              <w:r>
                <w:rPr>
                  <w:rFonts w:ascii="Arial" w:cs="Arial" w:eastAsia="Arial" w:hAnsi="Arial"/>
                  <w:sz w:val="13"/>
                  <w:szCs w:val="13"/>
                  <w:color w:val="0000EE"/>
                  <w:w w:val="94"/>
                </w:rPr>
                <w:t>Item 7A.</w:t>
              </w:r>
            </w:hyperlink>
          </w:p>
        </w:tc>
        <w:tc>
          <w:tcPr>
            <w:tcW w:w="560" w:type="dxa"/>
            <w:vAlign w:val="bottom"/>
          </w:tcPr>
          <w:p>
            <w:pPr>
              <w:spacing w:after="0"/>
              <w:rPr>
                <w:sz w:val="11"/>
                <w:szCs w:val="11"/>
                <w:color w:val="auto"/>
              </w:rPr>
            </w:pPr>
          </w:p>
        </w:tc>
        <w:tc>
          <w:tcPr>
            <w:tcW w:w="8180" w:type="dxa"/>
            <w:vAlign w:val="bottom"/>
            <w:gridSpan w:val="25"/>
          </w:tcPr>
          <w:p>
            <w:pPr>
              <w:spacing w:after="0" w:line="138" w:lineRule="exact"/>
              <w:rPr>
                <w:rFonts w:ascii="Arial" w:cs="Arial" w:eastAsia="Arial" w:hAnsi="Arial"/>
                <w:sz w:val="13"/>
                <w:szCs w:val="13"/>
                <w:color w:val="0000EE"/>
              </w:rPr>
            </w:pPr>
            <w:hyperlink w:anchor="page56">
              <w:r>
                <w:rPr>
                  <w:rFonts w:ascii="Arial" w:cs="Arial" w:eastAsia="Arial" w:hAnsi="Arial"/>
                  <w:sz w:val="13"/>
                  <w:szCs w:val="13"/>
                  <w:color w:val="0000EE"/>
                </w:rPr>
                <w:t>Quantitative and Qualitative Disclosures About Market Risk</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53</w:t>
            </w:r>
          </w:p>
        </w:tc>
      </w:tr>
      <w:tr>
        <w:trPr>
          <w:trHeight w:val="137"/>
        </w:trPr>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rPr>
            </w:pPr>
            <w:hyperlink w:anchor="page57">
              <w:r>
                <w:rPr>
                  <w:rFonts w:ascii="Arial" w:cs="Arial" w:eastAsia="Arial" w:hAnsi="Arial"/>
                  <w:sz w:val="13"/>
                  <w:szCs w:val="13"/>
                  <w:color w:val="0000EE"/>
                </w:rPr>
                <w:t>Item 8.</w:t>
              </w:r>
            </w:hyperlink>
          </w:p>
        </w:tc>
        <w:tc>
          <w:tcPr>
            <w:tcW w:w="560" w:type="dxa"/>
            <w:vAlign w:val="bottom"/>
          </w:tcPr>
          <w:p>
            <w:pPr>
              <w:spacing w:after="0"/>
              <w:rPr>
                <w:sz w:val="11"/>
                <w:szCs w:val="11"/>
                <w:color w:val="auto"/>
              </w:rPr>
            </w:pPr>
          </w:p>
        </w:tc>
        <w:tc>
          <w:tcPr>
            <w:tcW w:w="3160" w:type="dxa"/>
            <w:vAlign w:val="bottom"/>
            <w:tcBorders>
              <w:top w:val="single" w:sz="8" w:color="0000EE"/>
            </w:tcBorders>
            <w:gridSpan w:val="13"/>
          </w:tcPr>
          <w:p>
            <w:pPr>
              <w:spacing w:after="0" w:line="138" w:lineRule="exact"/>
              <w:rPr>
                <w:rFonts w:ascii="Arial" w:cs="Arial" w:eastAsia="Arial" w:hAnsi="Arial"/>
                <w:sz w:val="13"/>
                <w:szCs w:val="13"/>
                <w:color w:val="0000EE"/>
              </w:rPr>
            </w:pPr>
            <w:hyperlink w:anchor="page57">
              <w:r>
                <w:rPr>
                  <w:rFonts w:ascii="Arial" w:cs="Arial" w:eastAsia="Arial" w:hAnsi="Arial"/>
                  <w:sz w:val="13"/>
                  <w:szCs w:val="13"/>
                  <w:color w:val="0000EE"/>
                </w:rPr>
                <w:t>Financial Statements and Supplementary Data</w:t>
              </w:r>
            </w:hyperlink>
          </w:p>
        </w:tc>
        <w:tc>
          <w:tcPr>
            <w:tcW w:w="5020" w:type="dxa"/>
            <w:vAlign w:val="bottom"/>
            <w:gridSpan w:val="12"/>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54</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Item 9.</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Changes in and Disagreements with Accountants on Accounting and Financial Disclosure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480" w:type="dxa"/>
            <w:vAlign w:val="bottom"/>
            <w:gridSpan w:val="3"/>
          </w:tcPr>
          <w:p>
            <w:pPr>
              <w:spacing w:after="0" w:line="138" w:lineRule="exact"/>
              <w:rPr>
                <w:rFonts w:ascii="Arial" w:cs="Arial" w:eastAsia="Arial" w:hAnsi="Arial"/>
                <w:sz w:val="13"/>
                <w:szCs w:val="13"/>
                <w:color w:val="0000EE"/>
                <w:w w:val="94"/>
              </w:rPr>
            </w:pPr>
            <w:hyperlink w:anchor="page121">
              <w:r>
                <w:rPr>
                  <w:rFonts w:ascii="Arial" w:cs="Arial" w:eastAsia="Arial" w:hAnsi="Arial"/>
                  <w:sz w:val="13"/>
                  <w:szCs w:val="13"/>
                  <w:color w:val="0000EE"/>
                  <w:w w:val="94"/>
                </w:rPr>
                <w:t>Item 9A.</w:t>
              </w:r>
            </w:hyperlink>
          </w:p>
        </w:tc>
        <w:tc>
          <w:tcPr>
            <w:tcW w:w="560" w:type="dxa"/>
            <w:vAlign w:val="bottom"/>
          </w:tcPr>
          <w:p>
            <w:pPr>
              <w:spacing w:after="0"/>
              <w:rPr>
                <w:sz w:val="11"/>
                <w:szCs w:val="11"/>
                <w:color w:val="auto"/>
              </w:rPr>
            </w:pPr>
          </w:p>
        </w:tc>
        <w:tc>
          <w:tcPr>
            <w:tcW w:w="8180" w:type="dxa"/>
            <w:vAlign w:val="bottom"/>
            <w:gridSpan w:val="25"/>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Controls and Procedures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137"/>
        </w:trPr>
        <w:tc>
          <w:tcPr>
            <w:tcW w:w="480" w:type="dxa"/>
            <w:vAlign w:val="bottom"/>
            <w:tcBorders>
              <w:top w:val="single" w:sz="8" w:color="0000EE"/>
            </w:tcBorders>
            <w:gridSpan w:val="3"/>
          </w:tcPr>
          <w:p>
            <w:pPr>
              <w:spacing w:after="0" w:line="138" w:lineRule="exact"/>
              <w:rPr>
                <w:rFonts w:ascii="Arial" w:cs="Arial" w:eastAsia="Arial" w:hAnsi="Arial"/>
                <w:sz w:val="13"/>
                <w:szCs w:val="13"/>
                <w:color w:val="0000EE"/>
                <w:w w:val="94"/>
              </w:rPr>
            </w:pPr>
            <w:hyperlink w:anchor="page121">
              <w:r>
                <w:rPr>
                  <w:rFonts w:ascii="Arial" w:cs="Arial" w:eastAsia="Arial" w:hAnsi="Arial"/>
                  <w:sz w:val="13"/>
                  <w:szCs w:val="13"/>
                  <w:color w:val="0000EE"/>
                  <w:w w:val="94"/>
                </w:rPr>
                <w:t>Item 9B.</w:t>
              </w:r>
            </w:hyperlink>
          </w:p>
        </w:tc>
        <w:tc>
          <w:tcPr>
            <w:tcW w:w="56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Other Information</w:t>
              </w:r>
            </w:hyperlink>
          </w:p>
        </w:tc>
        <w:tc>
          <w:tcPr>
            <w:tcW w:w="6900" w:type="dxa"/>
            <w:vAlign w:val="bottom"/>
            <w:gridSpan w:val="19"/>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121">
              <w:r>
                <w:rPr>
                  <w:rFonts w:ascii="Arial" w:cs="Arial" w:eastAsia="Arial" w:hAnsi="Arial"/>
                  <w:sz w:val="13"/>
                  <w:szCs w:val="13"/>
                  <w:b w:val="1"/>
                  <w:bCs w:val="1"/>
                  <w:color w:val="0000EE"/>
                </w:rPr>
                <w:t>PART III</w:t>
              </w:r>
            </w:hyperlink>
          </w:p>
        </w:tc>
        <w:tc>
          <w:tcPr>
            <w:tcW w:w="4320" w:type="dxa"/>
            <w:vAlign w:val="bottom"/>
            <w:gridSpan w:val="5"/>
          </w:tcPr>
          <w:p>
            <w:pPr>
              <w:spacing w:after="0"/>
              <w:rPr>
                <w:sz w:val="22"/>
                <w:szCs w:val="22"/>
                <w:color w:val="auto"/>
              </w:rPr>
            </w:pPr>
          </w:p>
        </w:tc>
        <w:tc>
          <w:tcPr>
            <w:tcW w:w="3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Item 10.</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Directors, Executive Officers and Corporate Governance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Item 11.</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21">
              <w:r>
                <w:rPr>
                  <w:rFonts w:ascii="Arial" w:cs="Arial" w:eastAsia="Arial" w:hAnsi="Arial"/>
                  <w:sz w:val="13"/>
                  <w:szCs w:val="13"/>
                  <w:color w:val="0000EE"/>
                </w:rPr>
                <w:t>Executive Compensation</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118</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Item 12.</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Security Ownership of Certain Beneficial Owners and Management and Related Stockholder Matters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119</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100" w:type="dxa"/>
            <w:vAlign w:val="bottom"/>
            <w:tcBorders>
              <w:right w:val="single" w:sz="8" w:color="0000EE"/>
            </w:tcBorders>
            <w:gridSpan w:val="9"/>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Item 13.</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Certain Relationships and Related Transactions, and Director Independence</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119</w:t>
            </w:r>
          </w:p>
        </w:tc>
      </w:tr>
      <w:tr>
        <w:trPr>
          <w:trHeight w:val="20"/>
        </w:trPr>
        <w:tc>
          <w:tcPr>
            <w:tcW w:w="3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2100" w:type="dxa"/>
            <w:vAlign w:val="bottom"/>
            <w:tcBorders>
              <w:right w:val="single" w:sz="8" w:color="0000EE"/>
            </w:tcBorders>
            <w:gridSpan w:val="9"/>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Item 14.</w:t>
              </w:r>
            </w:hyperlink>
          </w:p>
        </w:tc>
        <w:tc>
          <w:tcPr>
            <w:tcW w:w="8180" w:type="dxa"/>
            <w:vAlign w:val="bottom"/>
            <w:gridSpan w:val="25"/>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Principal Accounting Fees and Services</w:t>
              </w:r>
            </w:hyperlink>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119</w:t>
            </w:r>
          </w:p>
        </w:tc>
      </w:tr>
      <w:tr>
        <w:trPr>
          <w:trHeight w:val="255"/>
        </w:trPr>
        <w:tc>
          <w:tcPr>
            <w:tcW w:w="360" w:type="dxa"/>
            <w:vAlign w:val="bottom"/>
            <w:tcBorders>
              <w:top w:val="single" w:sz="8" w:color="0000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2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60" w:type="dxa"/>
            <w:vAlign w:val="bottom"/>
            <w:gridSpan w:val="11"/>
          </w:tcPr>
          <w:p>
            <w:pPr>
              <w:jc w:val="center"/>
              <w:ind w:right="4340"/>
              <w:spacing w:after="0"/>
              <w:rPr>
                <w:rFonts w:ascii="Arial" w:cs="Arial" w:eastAsia="Arial" w:hAnsi="Arial"/>
                <w:sz w:val="13"/>
                <w:szCs w:val="13"/>
                <w:b w:val="1"/>
                <w:bCs w:val="1"/>
                <w:color w:val="0000EE"/>
              </w:rPr>
            </w:pPr>
            <w:hyperlink w:anchor="page122">
              <w:r>
                <w:rPr>
                  <w:rFonts w:ascii="Arial" w:cs="Arial" w:eastAsia="Arial" w:hAnsi="Arial"/>
                  <w:sz w:val="13"/>
                  <w:szCs w:val="13"/>
                  <w:b w:val="1"/>
                  <w:bCs w:val="1"/>
                  <w:color w:val="0000EE"/>
                </w:rPr>
                <w:t>PART IV</w:t>
              </w:r>
            </w:hyperlink>
          </w:p>
        </w:tc>
        <w:tc>
          <w:tcPr>
            <w:tcW w:w="380" w:type="dxa"/>
            <w:vAlign w:val="bottom"/>
          </w:tcPr>
          <w:p>
            <w:pPr>
              <w:spacing w:after="0"/>
              <w:rPr>
                <w:sz w:val="22"/>
                <w:szCs w:val="22"/>
                <w:color w:val="auto"/>
              </w:rPr>
            </w:pPr>
          </w:p>
        </w:tc>
      </w:tr>
      <w:tr>
        <w:trPr>
          <w:trHeight w:val="137"/>
        </w:trPr>
        <w:tc>
          <w:tcPr>
            <w:tcW w:w="1040" w:type="dxa"/>
            <w:vAlign w:val="bottom"/>
            <w:gridSpan w:val="4"/>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Item 15.</w:t>
              </w:r>
            </w:hyperlink>
          </w:p>
        </w:tc>
        <w:tc>
          <w:tcPr>
            <w:tcW w:w="3340" w:type="dxa"/>
            <w:vAlign w:val="bottom"/>
            <w:gridSpan w:val="15"/>
          </w:tcPr>
          <w:p>
            <w:pPr>
              <w:spacing w:after="0" w:line="138" w:lineRule="exact"/>
              <w:rPr>
                <w:rFonts w:ascii="Arial" w:cs="Arial" w:eastAsia="Arial" w:hAnsi="Arial"/>
                <w:sz w:val="13"/>
                <w:szCs w:val="13"/>
                <w:color w:val="0000EE"/>
              </w:rPr>
            </w:pPr>
            <w:hyperlink w:anchor="page122">
              <w:r>
                <w:rPr>
                  <w:rFonts w:ascii="Arial" w:cs="Arial" w:eastAsia="Arial" w:hAnsi="Arial"/>
                  <w:sz w:val="13"/>
                  <w:szCs w:val="13"/>
                  <w:color w:val="0000EE"/>
                </w:rPr>
                <w:t>Exhibits,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340" w:type="dxa"/>
            <w:vAlign w:val="bottom"/>
            <w:gridSpan w:val="6"/>
          </w:tcPr>
          <w:p>
            <w:pPr>
              <w:spacing w:after="0"/>
              <w:rPr>
                <w:sz w:val="11"/>
                <w:szCs w:val="11"/>
                <w:color w:val="auto"/>
              </w:rPr>
            </w:pPr>
          </w:p>
        </w:tc>
        <w:tc>
          <w:tcPr>
            <w:tcW w:w="380" w:type="dxa"/>
            <w:vAlign w:val="bottom"/>
          </w:tcPr>
          <w:p>
            <w:pPr>
              <w:jc w:val="right"/>
              <w:ind w:right="35"/>
              <w:spacing w:after="0" w:line="138" w:lineRule="exact"/>
              <w:rPr>
                <w:sz w:val="20"/>
                <w:szCs w:val="20"/>
                <w:color w:val="auto"/>
              </w:rPr>
            </w:pPr>
            <w:r>
              <w:rPr>
                <w:rFonts w:ascii="Arial" w:cs="Arial" w:eastAsia="Arial" w:hAnsi="Arial"/>
                <w:sz w:val="13"/>
                <w:szCs w:val="13"/>
                <w:color w:val="auto"/>
              </w:rPr>
              <w:t>119</w:t>
            </w:r>
          </w:p>
        </w:tc>
      </w:tr>
      <w:tr>
        <w:trPr>
          <w:trHeight w:val="20"/>
        </w:trPr>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Computation of Ratio of Earnings to Fixed Charges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Subsidiaries of the Registrant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Consent of Independent Registered Public Accounting Firm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Certification of CEO Pursuant to Rule 15d-14(a)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Certification of CFO Pursuant to Rule 15d-14(a)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Certification of CEO Pursuant to Section 1350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Certification of CFO Pursuant to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102235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4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7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 For detail on the financial position, results of operations and cash flows of WMI, WM Holdings and their subsidiaries, see Note 22 to the Consolidated Financial Statements.</w:t>
      </w:r>
    </w:p>
    <w:p>
      <w:pPr>
        <w:spacing w:after="0" w:line="7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 During 2008, no single customer accounted for more than 1% of our operating revenue. We employed approximately 45,900 people as of December 31, 2008.</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Company’s goals are targeted at serving five key stakeholders: our customers, our employees, the environment, the communities in which we work, and our shareholders. Our goals are:</w:t>
      </w:r>
    </w:p>
    <w:p>
      <w:pPr>
        <w:spacing w:after="0" w:line="59"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the waste solutions provider of choice for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a best place to work for employees;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a leader in promoting environmental stewardship;</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be a trusted and valued community partner;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 maximize shareholder value.</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Our primary strategy is to improve our organization and maximize returns to shareholders by focusing on operational excellence, pricing excellence and the profitable growth of our business. Although current economic conditions are presenting challenges to us and others, we believe that continuously working to create more efficient operations and to attract and retain customers while raising prices are the steps that will allow us to weather the current environment. We continue our efforts toward revenue growth through pricing and differentiating our services to retain our customers. Additionally, we are working to lower operating and selling, general and administrative expenses through process standardization and productivity improvements. We do not have control over the general economic conditions that are affecting consumers and businesses, including ours. However, we do</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have the ability to react to a changing environment and proactively take steps to reduce the impact that current conditions may have on our operations.</w:t>
      </w:r>
    </w:p>
    <w:p>
      <w:pPr>
        <w:spacing w:after="0" w:line="96"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February 2009, we announced that we were taking steps to further streamline our organization by consolidating many of our Market Areas. Our principal operations are managed through six Groups, as described below. Each of our geographic Groups had been further divided into several Market Areas. As a result of our restructuring, the 45 separate Market Areas that we previously operated have been consolidated into 25 Areas. Management at this level of the organization is responsible for selling and marketing our services and coordinating all of our operations within the market. In addition, they implement market-based strategies and plans, and provide staff support in administration, financial control and analysis, human resources, customer service, pricing and business strategy, safety, fleet services, and community and municipal relations. We have found that our larger Market Areas generally were able to achieve efficiencies through economies of scale that were not present in the smaller Market Areas. We have also realigned our Corporate organization with this new structure in order to provide these support functions more efficiently. We currently estimate that this restructuring will eliminate over 1,000 employee positions throughout the Company and result in a restructuring charge of between $40 million and $50 million. We expect to recognize most of this charge during the first quarter of 2009. This realignment is the natural next step in our efforts to lower costs and further standardize processes and improve productivity, and we currently estimate that it will provide annualized cost savings in excess of $100 million.</w:t>
      </w:r>
    </w:p>
    <w:p>
      <w:pPr>
        <w:spacing w:after="0" w:line="60"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We intend to continue building on our strategy to meet the needs of a changing environment. As the largest waste services provider in North America, we believe we are well positioned to meet the needs of our customers and communities as they, too, Think Green</w:t>
      </w:r>
      <w:r>
        <w:rPr>
          <w:rFonts w:ascii="Arial" w:cs="Arial" w:eastAsia="Arial" w:hAnsi="Arial"/>
          <w:sz w:val="9"/>
          <w:szCs w:val="9"/>
          <w:color w:val="auto"/>
        </w:rPr>
        <w:t>®</w:t>
      </w:r>
      <w:r>
        <w:rPr>
          <w:rFonts w:ascii="Arial" w:cs="Arial" w:eastAsia="Arial" w:hAnsi="Arial"/>
          <w:sz w:val="11"/>
          <w:szCs w:val="11"/>
          <w:color w:val="auto"/>
        </w:rPr>
        <w:t>. We believe that helping our customers achieve their environmental goals will enable us to achieve profitable growth. We regularly help customers reduce, reuse and recycle the waste they produce. We also focus on ways to convert waste to a usable energy source. By focusing on providing new environmentally responsible and sustainable solutions to our customers’ waste problems, we believe we can create a competitive advantage across all of our lines of business.</w:t>
      </w:r>
    </w:p>
    <w:p>
      <w:pPr>
        <w:spacing w:after="0" w:line="39"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Our focus on operational excellence has provided us a strong foundation on which to build. We intend to take advantage of strategic opportunities as they arise and continue to seek profitable growth through targeted sales efforts and acquisitions. We also continue to seek to grow our current business in different areas that fit into our current operations. We believe that, even in these challenging economic times, we can make investments that will provide long-term value to our stockholders.</w:t>
      </w:r>
    </w:p>
    <w:p>
      <w:pPr>
        <w:spacing w:after="0" w:line="142" w:lineRule="exact"/>
        <w:rPr>
          <w:sz w:val="20"/>
          <w:szCs w:val="20"/>
          <w:color w:val="auto"/>
        </w:rPr>
      </w:pPr>
    </w:p>
    <w:p>
      <w:pPr>
        <w:jc w:val="right"/>
        <w:ind w:right="9340"/>
        <w:spacing w:after="0"/>
        <w:rPr>
          <w:sz w:val="20"/>
          <w:szCs w:val="20"/>
          <w:color w:val="auto"/>
        </w:rPr>
      </w:pPr>
      <w:r>
        <w:rPr>
          <w:rFonts w:ascii="Arial" w:cs="Arial" w:eastAsia="Arial" w:hAnsi="Arial"/>
          <w:sz w:val="13"/>
          <w:szCs w:val="13"/>
          <w:b w:val="1"/>
          <w:bCs w:val="1"/>
          <w:color w:val="auto"/>
        </w:rPr>
        <w:t>Operations</w:t>
      </w:r>
    </w:p>
    <w:p>
      <w:pPr>
        <w:spacing w:after="0" w:line="100" w:lineRule="exact"/>
        <w:rPr>
          <w:sz w:val="20"/>
          <w:szCs w:val="20"/>
          <w:color w:val="auto"/>
        </w:rPr>
      </w:pPr>
    </w:p>
    <w:p>
      <w:pPr>
        <w:jc w:val="right"/>
        <w:ind w:right="9340"/>
        <w:spacing w:after="0"/>
        <w:rPr>
          <w:sz w:val="20"/>
          <w:szCs w:val="20"/>
          <w:color w:val="auto"/>
        </w:rPr>
      </w:pPr>
      <w:r>
        <w:rPr>
          <w:rFonts w:ascii="Arial" w:cs="Arial" w:eastAsia="Arial" w:hAnsi="Arial"/>
          <w:sz w:val="13"/>
          <w:szCs w:val="13"/>
          <w:b w:val="1"/>
          <w:bCs w:val="1"/>
          <w:i w:val="1"/>
          <w:iCs w:val="1"/>
          <w:color w:val="auto"/>
        </w:rPr>
        <w:t>General</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We currently manage and evaluate our principal operations through six operating Groups, of which four are organized by geographic area and two are organized by function. The geographic Groups include our Eastern, Midwest, Southern and Western Groups, and the two functional Groups are our Wheelabrator Group, which provides waste-to-energy services, and our WM Recycle America (“WMRA”) Group, which provides recycling services not managed by our geographic Groups. We also provide additional waste management services that are not managed through our six Groups. These services include in-plant services, where we work at our clients’ facilities to provide full-service waste management solutions and provide opportunities for process improvements and associated cost reductions in their waste management. Other services not managed within our Groups include methane gas recovery, sub-contracted and administrative services performed by our National Accounts and Upstream organizations, portable self-storage, fluorescent lamp recycling and healthcare solutions services, including medical waste disposal. These services are presented in this report as “Other.”</w:t>
      </w:r>
    </w:p>
    <w:p>
      <w:pPr>
        <w:spacing w:after="0" w:line="5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table below shows the total revenues (in millions) contributed annually by each of our reportable segments in the three-year period ended December 31, 2008. More information about our results of operations by reportable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 xml:space="preserve">segment is included in Note 20 to the Consolidated Financial Statements and in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included in this report.</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3,182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3,614</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Midwest</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3,117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3,141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3,141</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3,667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3,681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3,759</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Western</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3,300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3,350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3,373</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912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902</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WMRA</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1,014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740</w:t>
            </w: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Intercompany</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(2,134)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(2,271)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(2,449)</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13,363</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20" w:firstLine="399"/>
        <w:spacing w:after="0" w:line="320" w:lineRule="auto"/>
        <w:rPr>
          <w:sz w:val="20"/>
          <w:szCs w:val="20"/>
          <w:color w:val="auto"/>
        </w:rPr>
      </w:pPr>
      <w:r>
        <w:rPr>
          <w:rFonts w:ascii="Arial" w:cs="Arial" w:eastAsia="Arial" w:hAnsi="Arial"/>
          <w:sz w:val="12"/>
          <w:szCs w:val="12"/>
          <w:color w:val="auto"/>
        </w:rPr>
        <w:t>The services we provide include collection, landfill (solid and hazardous waste landfills), transfer, Wheelabrator (waste-to-energy facilities and independent power production plants), recycling and other services, as described below. The following table shows revenues (in millions) contributed by these services for each of the three years indicated:</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8,679</w:t>
            </w:r>
          </w:p>
        </w:tc>
        <w:tc>
          <w:tcPr>
            <w:tcW w:w="8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8,714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8,837</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Landfill</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2,955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3,047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3,197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1,589</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1,802</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912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868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902</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905</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(2,134)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(2,449)</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13,388</w:t>
            </w:r>
          </w:p>
        </w:tc>
        <w:tc>
          <w:tcPr>
            <w:tcW w:w="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13,310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13,363</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i w:val="1"/>
          <w:iCs w:val="1"/>
          <w:color w:val="auto"/>
        </w:rPr>
        <w:t xml:space="preserve">Collection. </w:t>
      </w:r>
      <w:r>
        <w:rPr>
          <w:rFonts w:ascii="Arial" w:cs="Arial" w:eastAsia="Arial" w:hAnsi="Arial"/>
          <w:sz w:val="13"/>
          <w:szCs w:val="13"/>
          <w:color w:val="auto"/>
        </w:rPr>
        <w:t>Our commitment to customers begins with a vast waste collection network. Collection involves picking up and transporting waste from where it was generated to a</w:t>
      </w:r>
      <w:r>
        <w:rPr>
          <w:rFonts w:ascii="Arial" w:cs="Arial" w:eastAsia="Arial" w:hAnsi="Arial"/>
          <w:sz w:val="13"/>
          <w:szCs w:val="13"/>
          <w:i w:val="1"/>
          <w:iCs w:val="1"/>
          <w:color w:val="auto"/>
        </w:rPr>
        <w:t xml:space="preserve"> </w:t>
      </w:r>
      <w:r>
        <w:rPr>
          <w:rFonts w:ascii="Arial" w:cs="Arial" w:eastAsia="Arial" w:hAnsi="Arial"/>
          <w:sz w:val="13"/>
          <w:szCs w:val="13"/>
          <w:color w:val="auto"/>
        </w:rPr>
        <w:t>transfer station or disposal site. We generally provide collection services under one of two types of arrangements:</w:t>
      </w:r>
    </w:p>
    <w:p>
      <w:pPr>
        <w:spacing w:after="0" w:line="59" w:lineRule="exact"/>
        <w:rPr>
          <w:sz w:val="20"/>
          <w:szCs w:val="20"/>
          <w:color w:val="auto"/>
        </w:rPr>
      </w:pPr>
    </w:p>
    <w:p>
      <w:pPr>
        <w:ind w:left="1280" w:hanging="190"/>
        <w:spacing w:after="0" w:line="285" w:lineRule="auto"/>
        <w:tabs>
          <w:tab w:leader="none" w:pos="1280" w:val="left"/>
        </w:tabs>
        <w:numPr>
          <w:ilvl w:val="0"/>
          <w:numId w:val="4"/>
        </w:numPr>
        <w:rPr>
          <w:rFonts w:ascii="Arial" w:cs="Arial" w:eastAsia="Arial" w:hAnsi="Arial"/>
          <w:sz w:val="12"/>
          <w:szCs w:val="12"/>
          <w:color w:val="auto"/>
        </w:rPr>
      </w:pPr>
      <w:r>
        <w:rPr>
          <w:rFonts w:ascii="Arial" w:cs="Arial" w:eastAsia="Arial" w:hAnsi="Arial"/>
          <w:sz w:val="12"/>
          <w:szCs w:val="12"/>
          <w:color w:val="auto"/>
        </w:rPr>
        <w:t>For commercial and industrial collection services, typically we have a three-year service agreement. The fees under the agreements are influenced by factors such as collection frequency, type of collection 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45" w:lineRule="exact"/>
        <w:rPr>
          <w:rFonts w:ascii="Arial" w:cs="Arial" w:eastAsia="Arial" w:hAnsi="Arial"/>
          <w:sz w:val="12"/>
          <w:szCs w:val="12"/>
          <w:color w:val="auto"/>
        </w:rPr>
      </w:pPr>
    </w:p>
    <w:p>
      <w:pPr>
        <w:ind w:left="1280" w:right="40" w:hanging="190"/>
        <w:spacing w:after="0" w:line="260" w:lineRule="auto"/>
        <w:tabs>
          <w:tab w:leader="none" w:pos="1280" w:val="left"/>
        </w:tabs>
        <w:numPr>
          <w:ilvl w:val="0"/>
          <w:numId w:val="4"/>
        </w:numPr>
        <w:rPr>
          <w:rFonts w:ascii="Arial" w:cs="Arial" w:eastAsia="Arial" w:hAnsi="Arial"/>
          <w:sz w:val="13"/>
          <w:szCs w:val="13"/>
          <w:color w:val="auto"/>
        </w:rPr>
      </w:pPr>
      <w:r>
        <w:rPr>
          <w:rFonts w:ascii="Arial" w:cs="Arial" w:eastAsia="Arial" w:hAnsi="Arial"/>
          <w:sz w:val="13"/>
          <w:szCs w:val="13"/>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one to five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i w:val="1"/>
          <w:iCs w:val="1"/>
          <w:color w:val="auto"/>
        </w:rPr>
        <w:t xml:space="preserve">Landfill. </w:t>
      </w:r>
      <w:r>
        <w:rPr>
          <w:rFonts w:ascii="Arial" w:cs="Arial" w:eastAsia="Arial" w:hAnsi="Arial"/>
          <w:sz w:val="12"/>
          <w:szCs w:val="12"/>
          <w:color w:val="auto"/>
        </w:rPr>
        <w:t>Landfills are the main depositories for solid waste in North America. At December 31, 2008, we owned or operated 267 solid waste landfills, which represents the largest</w:t>
      </w:r>
      <w:r>
        <w:rPr>
          <w:rFonts w:ascii="Arial" w:cs="Arial" w:eastAsia="Arial" w:hAnsi="Arial"/>
          <w:sz w:val="12"/>
          <w:szCs w:val="12"/>
          <w:i w:val="1"/>
          <w:iCs w:val="1"/>
          <w:color w:val="auto"/>
        </w:rPr>
        <w:t xml:space="preserve"> </w:t>
      </w:r>
      <w:r>
        <w:rPr>
          <w:rFonts w:ascii="Arial" w:cs="Arial" w:eastAsia="Arial" w:hAnsi="Arial"/>
          <w:sz w:val="12"/>
          <w:szCs w:val="12"/>
          <w:color w:val="auto"/>
        </w:rPr>
        <w:t>network of landfills in North America. Solid waste landfills are built and operated on land with geological and hydrological properties that limit the possibility of water pollution, and are operated under prescribed procedures. A landfill must be maintained to meet federal, state or provincial, and local regulations. The operation and closure of a solid waste landfill includes excavation, construction of liners, continuous spreading and compacting of waste, covering of waste with earth or other inert material and constructing final capping of the landfill. These operations are carefully planned to maintain sanitary conditions, to maximize the use of the airspace and to prepare the site so it can ultimately be used for other purposes.</w:t>
      </w:r>
    </w:p>
    <w:p>
      <w:pPr>
        <w:spacing w:after="0" w:line="55"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All solid waste management companies must have access to a disposal facility, such as a solid waste landfill. We believe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70" w:lineRule="exact"/>
        <w:rPr>
          <w:sz w:val="20"/>
          <w:szCs w:val="20"/>
          <w:color w:val="auto"/>
        </w:rPr>
      </w:pPr>
    </w:p>
    <w:p>
      <w:pPr>
        <w:ind w:left="680" w:right="140" w:firstLine="399"/>
        <w:spacing w:after="0" w:line="281" w:lineRule="auto"/>
        <w:rPr>
          <w:sz w:val="20"/>
          <w:szCs w:val="20"/>
          <w:color w:val="auto"/>
        </w:rPr>
      </w:pPr>
      <w:r>
        <w:rPr>
          <w:rFonts w:ascii="Arial" w:cs="Arial" w:eastAsia="Arial" w:hAnsi="Arial"/>
          <w:sz w:val="12"/>
          <w:szCs w:val="12"/>
          <w:color w:val="auto"/>
        </w:rPr>
        <w:t>We also operate six secure hazardous waste landfills in the United States. Under federal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rock formations far below the base of fresh water to a point that is separated by other substantial geological confining layers.</w:t>
      </w:r>
    </w:p>
    <w:p>
      <w:pPr>
        <w:spacing w:after="0" w:line="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Transfer. </w:t>
      </w:r>
      <w:r>
        <w:rPr>
          <w:rFonts w:ascii="Arial" w:cs="Arial" w:eastAsia="Arial" w:hAnsi="Arial"/>
          <w:sz w:val="13"/>
          <w:szCs w:val="13"/>
          <w:color w:val="auto"/>
        </w:rPr>
        <w:t>At December 31, 2008, we owned or operated 355 transfer stations in North America. We deposit waste at these stations, as do other waste haulers. The solid waste is then</w:t>
      </w:r>
      <w:r>
        <w:rPr>
          <w:rFonts w:ascii="Arial" w:cs="Arial" w:eastAsia="Arial" w:hAnsi="Arial"/>
          <w:sz w:val="13"/>
          <w:szCs w:val="13"/>
          <w:i w:val="1"/>
          <w:iCs w:val="1"/>
          <w:color w:val="auto"/>
        </w:rPr>
        <w:t xml:space="preserve"> </w:t>
      </w:r>
      <w:r>
        <w:rPr>
          <w:rFonts w:ascii="Arial" w:cs="Arial" w:eastAsia="Arial" w:hAnsi="Arial"/>
          <w:sz w:val="13"/>
          <w:szCs w:val="13"/>
          <w:color w:val="auto"/>
        </w:rPr>
        <w:t>consolidated and compacted to reduce the volume and increase the density of the waste and transported by transfer trucks or by rail to disposal sites.</w:t>
      </w:r>
    </w:p>
    <w:p>
      <w:pPr>
        <w:spacing w:after="0" w:line="59"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Access to transfer stations is often critical to third-party haulers who do not operate their own disposal facilities in close proximity to their collection operations. Fees charged to third parties at transfer stations are usually based on the type and volume or weight of the waste transferred, the distance to the disposal site and general market factors.</w:t>
      </w:r>
    </w:p>
    <w:p>
      <w:pPr>
        <w:spacing w:after="0" w:line="3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utilization of our transfer stations by our own collection operations improves internalization by allowing us to retain fees that we would otherwise pay to third parties for the disposal of the waste we collect. It allows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collection operations; and (iii) we can retain the volume by managing the transfer of the waste to one of our own disposal sites.</w:t>
      </w:r>
    </w:p>
    <w:p>
      <w:pPr>
        <w:spacing w:after="0" w:line="53" w:lineRule="exact"/>
        <w:rPr>
          <w:sz w:val="20"/>
          <w:szCs w:val="20"/>
          <w:color w:val="auto"/>
        </w:rPr>
      </w:pPr>
    </w:p>
    <w:p>
      <w:pPr>
        <w:jc w:val="both"/>
        <w:ind w:left="680" w:right="300" w:firstLine="399"/>
        <w:spacing w:after="0" w:line="264" w:lineRule="auto"/>
        <w:rPr>
          <w:sz w:val="20"/>
          <w:szCs w:val="20"/>
          <w:color w:val="auto"/>
        </w:rPr>
      </w:pPr>
      <w:r>
        <w:rPr>
          <w:rFonts w:ascii="Arial" w:cs="Arial" w:eastAsia="Arial" w:hAnsi="Arial"/>
          <w:sz w:val="13"/>
          <w:szCs w:val="13"/>
          <w:color w:val="auto"/>
        </w:rPr>
        <w:t>The transfer stations that we operate but do not own are generally operated through lease agreements under which we lease property from third parties. There are some instances where transfer stations are operated under contract, generally for municipalities. In most cases we own the permits and will be responsible for the regulatory requirements relating to the operation, closure and post closure of the transfer station.</w:t>
      </w:r>
    </w:p>
    <w:p>
      <w:pPr>
        <w:spacing w:after="0" w:line="67"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i w:val="1"/>
          <w:iCs w:val="1"/>
          <w:color w:val="auto"/>
        </w:rPr>
        <w:t xml:space="preserve">Wheelabrator. </w:t>
      </w:r>
      <w:r>
        <w:rPr>
          <w:rFonts w:ascii="Arial" w:cs="Arial" w:eastAsia="Arial" w:hAnsi="Arial"/>
          <w:sz w:val="13"/>
          <w:szCs w:val="13"/>
          <w:color w:val="auto"/>
        </w:rPr>
        <w:t>As of December 31, 2008, we owned or operated 16 waste-to-energy facilities and five independent power production plants, or IPPs, which are located in the</w:t>
      </w:r>
      <w:r>
        <w:rPr>
          <w:rFonts w:ascii="Arial" w:cs="Arial" w:eastAsia="Arial" w:hAnsi="Arial"/>
          <w:sz w:val="13"/>
          <w:szCs w:val="13"/>
          <w:i w:val="1"/>
          <w:iCs w:val="1"/>
          <w:color w:val="auto"/>
        </w:rPr>
        <w:t xml:space="preserve"> </w:t>
      </w:r>
      <w:r>
        <w:rPr>
          <w:rFonts w:ascii="Arial" w:cs="Arial" w:eastAsia="Arial" w:hAnsi="Arial"/>
          <w:sz w:val="13"/>
          <w:szCs w:val="13"/>
          <w:color w:val="auto"/>
        </w:rPr>
        <w:t>Northeast and in Florida, California and Washington.</w:t>
      </w:r>
    </w:p>
    <w:p>
      <w:pPr>
        <w:spacing w:after="0" w:line="59" w:lineRule="exact"/>
        <w:rPr>
          <w:sz w:val="20"/>
          <w:szCs w:val="20"/>
          <w:color w:val="auto"/>
        </w:rPr>
      </w:pPr>
    </w:p>
    <w:p>
      <w:pPr>
        <w:ind w:left="680" w:right="680" w:firstLine="399"/>
        <w:spacing w:after="0" w:line="276" w:lineRule="auto"/>
        <w:rPr>
          <w:sz w:val="20"/>
          <w:szCs w:val="20"/>
          <w:color w:val="auto"/>
        </w:rPr>
      </w:pPr>
      <w:r>
        <w:rPr>
          <w:rFonts w:ascii="Arial" w:cs="Arial" w:eastAsia="Arial" w:hAnsi="Arial"/>
          <w:sz w:val="13"/>
          <w:szCs w:val="13"/>
          <w:color w:val="auto"/>
        </w:rPr>
        <w:t>At our waste-to-energy facilities, solid waste is burned at high temperatures in specially designed boilers to produce heat that is converted into high-pressure steam. As of December 31, 2008, our waste-to-energy facilities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were capable of processing up to 21,100 tons of solid waste each day. In 2008, our waste-to-energy facilities received and processed 7.0 million tons of solid waste, or approximately 19,200 tons per day.</w:t>
      </w:r>
    </w:p>
    <w:p>
      <w:pPr>
        <w:spacing w:after="0" w:line="59" w:lineRule="exact"/>
        <w:rPr>
          <w:sz w:val="20"/>
          <w:szCs w:val="20"/>
          <w:color w:val="auto"/>
        </w:rPr>
      </w:pPr>
    </w:p>
    <w:p>
      <w:pPr>
        <w:jc w:val="both"/>
        <w:ind w:left="680" w:right="180" w:firstLine="399"/>
        <w:spacing w:after="0" w:line="296" w:lineRule="auto"/>
        <w:rPr>
          <w:sz w:val="20"/>
          <w:szCs w:val="20"/>
          <w:color w:val="auto"/>
        </w:rPr>
      </w:pPr>
      <w:r>
        <w:rPr>
          <w:rFonts w:ascii="Arial" w:cs="Arial" w:eastAsia="Arial" w:hAnsi="Arial"/>
          <w:sz w:val="12"/>
          <w:szCs w:val="12"/>
          <w:color w:val="auto"/>
        </w:rPr>
        <w:t>Our IPPs convert various waste and conventional fuels into steam. The plants burn wood waste, anthracite coal waste (culm), tires, landfill gas and natural gas. These facilities are integral to the solid waste industry, disposing of urban wood, waste tires, railroad ties and utility poles. Our anthracite culm facility in Pennsylvania processes the waste materials left over from coal mining operations from over half a century ago. Ash remaining after burning the culm is used to reclaim the land damaged by decades of coal mining.</w:t>
      </w:r>
    </w:p>
    <w:p>
      <w:pPr>
        <w:spacing w:after="0" w:line="50" w:lineRule="exact"/>
        <w:rPr>
          <w:sz w:val="20"/>
          <w:szCs w:val="20"/>
          <w:color w:val="auto"/>
        </w:rPr>
      </w:pPr>
    </w:p>
    <w:p>
      <w:pPr>
        <w:ind w:left="680" w:right="360" w:firstLine="399"/>
        <w:spacing w:after="0" w:line="296" w:lineRule="auto"/>
        <w:rPr>
          <w:sz w:val="20"/>
          <w:szCs w:val="20"/>
          <w:color w:val="auto"/>
        </w:rPr>
      </w:pPr>
      <w:r>
        <w:rPr>
          <w:rFonts w:ascii="Arial" w:cs="Arial" w:eastAsia="Arial" w:hAnsi="Arial"/>
          <w:sz w:val="12"/>
          <w:szCs w:val="12"/>
          <w:color w:val="auto"/>
        </w:rPr>
        <w:t>We sell the steam produced at our waste-to-energy facilities and IPPs to industrial and commercial users. Steam that is not sold is used to generate electricity for sale to electric utilities. Fees charged for steam and electricity at our waste-to-energy facilities and IPPs are generally subject to the terms and conditions of long-term contracts that include interim adjustments to the prices charged for changes in market conditions such as inflation, natural gas prices and other general market factors.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Recycling. </w:t>
      </w:r>
      <w:r>
        <w:rPr>
          <w:rFonts w:ascii="Arial" w:cs="Arial" w:eastAsia="Arial" w:hAnsi="Arial"/>
          <w:sz w:val="13"/>
          <w:szCs w:val="13"/>
          <w:color w:val="auto"/>
        </w:rPr>
        <w:t>Our WMRA Group focuses on improving the sustainability and future growth of recycling programs within communities and industries. In addition to our WMRA Group,</w:t>
      </w:r>
      <w:r>
        <w:rPr>
          <w:rFonts w:ascii="Arial" w:cs="Arial" w:eastAsia="Arial" w:hAnsi="Arial"/>
          <w:sz w:val="13"/>
          <w:szCs w:val="13"/>
          <w:i w:val="1"/>
          <w:iCs w:val="1"/>
          <w:color w:val="auto"/>
        </w:rPr>
        <w:t xml:space="preserve"> </w:t>
      </w:r>
      <w:r>
        <w:rPr>
          <w:rFonts w:ascii="Arial" w:cs="Arial" w:eastAsia="Arial" w:hAnsi="Arial"/>
          <w:sz w:val="13"/>
          <w:szCs w:val="13"/>
          <w:color w:val="auto"/>
        </w:rPr>
        <w:t>our four geographic operating Groups provide certain recycling services that are embedded within the Groups’ other operations and, therefore, are not included within the WMRA Group’s financial results.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Recycling involves the separation of reusable materials from the waste stream for processing and resale or other disposition. Our recycling operations include the following:</w:t>
      </w:r>
    </w:p>
    <w:p>
      <w:pPr>
        <w:spacing w:after="0" w:line="108" w:lineRule="exact"/>
        <w:rPr>
          <w:sz w:val="20"/>
          <w:szCs w:val="20"/>
          <w:color w:val="auto"/>
        </w:rPr>
      </w:pPr>
    </w:p>
    <w:p>
      <w:pPr>
        <w:ind w:left="1080" w:right="40" w:firstLine="383"/>
        <w:spacing w:after="0" w:line="289" w:lineRule="auto"/>
        <w:rPr>
          <w:sz w:val="20"/>
          <w:szCs w:val="20"/>
          <w:color w:val="auto"/>
        </w:rPr>
      </w:pPr>
      <w:r>
        <w:rPr>
          <w:rFonts w:ascii="Arial" w:cs="Arial" w:eastAsia="Arial" w:hAnsi="Arial"/>
          <w:sz w:val="12"/>
          <w:szCs w:val="12"/>
          <w:i w:val="1"/>
          <w:iCs w:val="1"/>
          <w:color w:val="auto"/>
        </w:rPr>
        <w:t xml:space="preserve">Collection and materials processing </w:t>
      </w:r>
      <w:r>
        <w:rPr>
          <w:rFonts w:ascii="Arial" w:cs="Arial" w:eastAsia="Arial" w:hAnsi="Arial"/>
          <w:sz w:val="12"/>
          <w:szCs w:val="12"/>
          <w:color w:val="auto"/>
        </w:rPr>
        <w:t>— Through our collection operations, we collect recyclable materials from residential, commercial and industrial customers and direct</w:t>
      </w:r>
      <w:r>
        <w:rPr>
          <w:rFonts w:ascii="Arial" w:cs="Arial" w:eastAsia="Arial" w:hAnsi="Arial"/>
          <w:sz w:val="12"/>
          <w:szCs w:val="12"/>
          <w:i w:val="1"/>
          <w:iCs w:val="1"/>
          <w:color w:val="auto"/>
        </w:rPr>
        <w:t xml:space="preserve"> </w:t>
      </w:r>
      <w:r>
        <w:rPr>
          <w:rFonts w:ascii="Arial" w:cs="Arial" w:eastAsia="Arial" w:hAnsi="Arial"/>
          <w:sz w:val="12"/>
          <w:szCs w:val="12"/>
          <w:color w:val="auto"/>
        </w:rPr>
        <w:t>these materials to one of our material recovery facilities (“MRFs”) for processing. We operate 98 MRFs where paper, metals and plastics are recovered for resale. We also operate six secondary processing facilities where materials received from MRFs can be further processed into raw products used in the manufacturing of consumer goods. Specifically, material processing services include data destruction, automated color sorting, and construction and demolition processing.</w:t>
      </w:r>
    </w:p>
    <w:p>
      <w:pPr>
        <w:spacing w:after="0" w:line="53" w:lineRule="exact"/>
        <w:rPr>
          <w:sz w:val="20"/>
          <w:szCs w:val="20"/>
          <w:color w:val="auto"/>
        </w:rPr>
      </w:pPr>
    </w:p>
    <w:p>
      <w:pPr>
        <w:ind w:left="1080" w:firstLine="383"/>
        <w:spacing w:after="0" w:line="276" w:lineRule="auto"/>
        <w:rPr>
          <w:sz w:val="20"/>
          <w:szCs w:val="20"/>
          <w:color w:val="auto"/>
        </w:rPr>
      </w:pPr>
      <w:r>
        <w:rPr>
          <w:rFonts w:ascii="Arial" w:cs="Arial" w:eastAsia="Arial" w:hAnsi="Arial"/>
          <w:sz w:val="13"/>
          <w:szCs w:val="13"/>
          <w:i w:val="1"/>
          <w:iCs w:val="1"/>
          <w:color w:val="auto"/>
        </w:rPr>
        <w:t xml:space="preserve">Plastics and rubber materials recycling </w:t>
      </w:r>
      <w:r>
        <w:rPr>
          <w:rFonts w:ascii="Arial" w:cs="Arial" w:eastAsia="Arial" w:hAnsi="Arial"/>
          <w:sz w:val="13"/>
          <w:szCs w:val="13"/>
          <w:color w:val="auto"/>
        </w:rPr>
        <w:t>— Using state-of-the-art sorting and processing technology, we process, inventory and sell plastic and rubber commodities making the</w:t>
      </w:r>
      <w:r>
        <w:rPr>
          <w:rFonts w:ascii="Arial" w:cs="Arial" w:eastAsia="Arial" w:hAnsi="Arial"/>
          <w:sz w:val="13"/>
          <w:szCs w:val="13"/>
          <w:i w:val="1"/>
          <w:iCs w:val="1"/>
          <w:color w:val="auto"/>
        </w:rPr>
        <w:t xml:space="preserve"> </w:t>
      </w:r>
      <w:r>
        <w:rPr>
          <w:rFonts w:ascii="Arial" w:cs="Arial" w:eastAsia="Arial" w:hAnsi="Arial"/>
          <w:sz w:val="13"/>
          <w:szCs w:val="13"/>
          <w:color w:val="auto"/>
        </w:rPr>
        <w:t>recycling of such items more cost effective and convenient.</w:t>
      </w:r>
    </w:p>
    <w:p>
      <w:pPr>
        <w:spacing w:after="0" w:line="59" w:lineRule="exact"/>
        <w:rPr>
          <w:sz w:val="20"/>
          <w:szCs w:val="20"/>
          <w:color w:val="auto"/>
        </w:rPr>
      </w:pPr>
    </w:p>
    <w:p>
      <w:pPr>
        <w:ind w:left="1080" w:right="180" w:firstLine="383"/>
        <w:spacing w:after="0" w:line="276" w:lineRule="auto"/>
        <w:rPr>
          <w:sz w:val="20"/>
          <w:szCs w:val="20"/>
          <w:color w:val="auto"/>
        </w:rPr>
      </w:pPr>
      <w:r>
        <w:rPr>
          <w:rFonts w:ascii="Arial" w:cs="Arial" w:eastAsia="Arial" w:hAnsi="Arial"/>
          <w:sz w:val="13"/>
          <w:szCs w:val="13"/>
          <w:i w:val="1"/>
          <w:iCs w:val="1"/>
          <w:color w:val="auto"/>
        </w:rPr>
        <w:t xml:space="preserve">Electronics recycling services </w:t>
      </w:r>
      <w:r>
        <w:rPr>
          <w:rFonts w:ascii="Arial" w:cs="Arial" w:eastAsia="Arial" w:hAnsi="Arial"/>
          <w:sz w:val="13"/>
          <w:szCs w:val="13"/>
          <w:color w:val="auto"/>
        </w:rPr>
        <w:t>— We recycle discarded computers, communications equipment, and other electronic equipment. Services include the collection, sorting and</w:t>
      </w:r>
      <w:r>
        <w:rPr>
          <w:rFonts w:ascii="Arial" w:cs="Arial" w:eastAsia="Arial" w:hAnsi="Arial"/>
          <w:sz w:val="13"/>
          <w:szCs w:val="13"/>
          <w:i w:val="1"/>
          <w:iCs w:val="1"/>
          <w:color w:val="auto"/>
        </w:rPr>
        <w:t xml:space="preserve"> </w:t>
      </w:r>
      <w:r>
        <w:rPr>
          <w:rFonts w:ascii="Arial" w:cs="Arial" w:eastAsia="Arial" w:hAnsi="Arial"/>
          <w:sz w:val="13"/>
          <w:szCs w:val="13"/>
          <w:color w:val="auto"/>
        </w:rPr>
        <w:t>disassembling of electronics in an effort to reuse or recycle all collected materials.</w:t>
      </w:r>
    </w:p>
    <w:p>
      <w:pPr>
        <w:spacing w:after="0" w:line="59" w:lineRule="exact"/>
        <w:rPr>
          <w:sz w:val="20"/>
          <w:szCs w:val="20"/>
          <w:color w:val="auto"/>
        </w:rPr>
      </w:pPr>
    </w:p>
    <w:p>
      <w:pPr>
        <w:ind w:left="1080" w:right="60" w:firstLine="383"/>
        <w:spacing w:after="0" w:line="320" w:lineRule="auto"/>
        <w:rPr>
          <w:sz w:val="20"/>
          <w:szCs w:val="20"/>
          <w:color w:val="auto"/>
        </w:rPr>
      </w:pPr>
      <w:r>
        <w:rPr>
          <w:rFonts w:ascii="Arial" w:cs="Arial" w:eastAsia="Arial" w:hAnsi="Arial"/>
          <w:sz w:val="12"/>
          <w:szCs w:val="12"/>
          <w:i w:val="1"/>
          <w:iCs w:val="1"/>
          <w:color w:val="auto"/>
        </w:rPr>
        <w:t xml:space="preserve">Commodities recycling </w:t>
      </w:r>
      <w:r>
        <w:rPr>
          <w:rFonts w:ascii="Arial" w:cs="Arial" w:eastAsia="Arial" w:hAnsi="Arial"/>
          <w:sz w:val="12"/>
          <w:szCs w:val="12"/>
          <w:color w:val="auto"/>
        </w:rPr>
        <w:t>— We market and resell recyclable commodities to customers world-wide. We manage the marketing of recyclable commodities for our own facilities</w:t>
      </w:r>
      <w:r>
        <w:rPr>
          <w:rFonts w:ascii="Arial" w:cs="Arial" w:eastAsia="Arial" w:hAnsi="Arial"/>
          <w:sz w:val="12"/>
          <w:szCs w:val="12"/>
          <w:i w:val="1"/>
          <w:iCs w:val="1"/>
          <w:color w:val="auto"/>
        </w:rPr>
        <w:t xml:space="preserve"> </w:t>
      </w:r>
      <w:r>
        <w:rPr>
          <w:rFonts w:ascii="Arial" w:cs="Arial" w:eastAsia="Arial" w:hAnsi="Arial"/>
          <w:sz w:val="12"/>
          <w:szCs w:val="12"/>
          <w:color w:val="auto"/>
        </w:rPr>
        <w:t>and for third parties by maintaining comprehensive service centers that continuously analyze market prices, logistics, market demands and product quality.</w:t>
      </w:r>
    </w:p>
    <w:p>
      <w:pPr>
        <w:spacing w:after="0" w:line="3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Fees for recycling services are influenced by frequency of collection, type and volume or weight of the recyclable material, degree of processing required, the market value of the recovered material and other market factors.</w:t>
      </w:r>
    </w:p>
    <w:p>
      <w:pPr>
        <w:spacing w:after="0" w:line="59"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Our WMRA Group purchases recyclable materials processed in our MRFs from various sources, including third parties and other operating subsidiaries of WMI. The cost per ton of material purchased is based on market prices and the cost to transport the finished goods to our customers. The price our WMRA Group pays for recyclable materials is often referred to as a “rebate.” Rebates are generally based upon the price we receive for sales of finished goods and market conditions, but in some cases are based on fixed contractual rates or defined minimum per-ton rates. As a result, changes in commodity prices can significantly affect our revenues, the rebates we pay to our suppliers and our operating income and margins.</w:t>
      </w:r>
    </w:p>
    <w:p>
      <w:pPr>
        <w:spacing w:after="0" w:line="53"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We provide in-plant services, in which employees of our Upstream organization work full-time inside our customers’ facilities to provide full-service waste management</w:t>
      </w:r>
      <w:r>
        <w:rPr>
          <w:rFonts w:ascii="Arial" w:cs="Arial" w:eastAsia="Arial" w:hAnsi="Arial"/>
          <w:sz w:val="13"/>
          <w:szCs w:val="13"/>
          <w:i w:val="1"/>
          <w:iCs w:val="1"/>
          <w:color w:val="auto"/>
        </w:rPr>
        <w:t xml:space="preserve"> </w:t>
      </w:r>
      <w:r>
        <w:rPr>
          <w:rFonts w:ascii="Arial" w:cs="Arial" w:eastAsia="Arial" w:hAnsi="Arial"/>
          <w:sz w:val="13"/>
          <w:szCs w:val="13"/>
          <w:color w:val="auto"/>
        </w:rPr>
        <w:t>solutions. Our vertically integrated waste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80"/>
        <w:spacing w:after="0" w:line="276" w:lineRule="auto"/>
        <w:rPr>
          <w:sz w:val="20"/>
          <w:szCs w:val="20"/>
          <w:color w:val="auto"/>
        </w:rPr>
      </w:pPr>
      <w:r>
        <w:rPr>
          <w:rFonts w:ascii="Arial" w:cs="Arial" w:eastAsia="Arial" w:hAnsi="Arial"/>
          <w:sz w:val="13"/>
          <w:szCs w:val="13"/>
          <w:color w:val="auto"/>
        </w:rPr>
        <w:t>management operations allow us to provide customers with full management of their waste, including identifying recycling opportunities, minimizing waste, and determining the most efficient means available for waste collection and disposal.</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also develop, operate and promote projects for the beneficial use of landfill gas through our Waste Management Renewable Energy Program. Landfill gas is produced naturally as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waste decomposes in a landfill. The methane component of the landfill gas is a readily available, renewable energy source that can be gathered and used beneficially as an alternative to fossil</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fuel. The United States Environmental Protection Agency endorses landfill gas as a renewable energy resource, in the same category as wind, solar and geothermal resources. At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December 31, 2008, landfill gas beneficial use projects were producing commercial quantities of methane gas at 111 of our solid waste landfills. At 80 of these landfills, the processed gas is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delivered to electricity generators. The electricity is then sold to public utilities, municipal utilities or power cooperatives. At 23 landfills, the gas is delivered by pipeline to industrial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customers as a direct substitute for fossil fuels in industrial processes. At eight landfills, the landfill gas is processed to pipeline-quality natural gas and then sold to natural gas suppliers.</w:t>
      </w:r>
    </w:p>
    <w:p>
      <w:pPr>
        <w:spacing w:after="0" w:line="98" w:lineRule="exact"/>
        <w:rPr>
          <w:sz w:val="20"/>
          <w:szCs w:val="20"/>
          <w:color w:val="auto"/>
        </w:rPr>
      </w:pPr>
    </w:p>
    <w:p>
      <w:pPr>
        <w:ind w:left="680" w:right="240" w:firstLine="399"/>
        <w:spacing w:after="0" w:line="266" w:lineRule="auto"/>
        <w:rPr>
          <w:sz w:val="20"/>
          <w:szCs w:val="20"/>
          <w:color w:val="auto"/>
        </w:rPr>
      </w:pPr>
      <w:r>
        <w:rPr>
          <w:rFonts w:ascii="Arial" w:cs="Arial" w:eastAsia="Arial" w:hAnsi="Arial"/>
          <w:sz w:val="13"/>
          <w:szCs w:val="13"/>
          <w:color w:val="auto"/>
        </w:rPr>
        <w:t>In addition, we rent and service portable restroom facilities to municipalities and commercial customers under the name Port-O-Let</w:t>
      </w:r>
      <w:r>
        <w:rPr>
          <w:rFonts w:ascii="Arial" w:cs="Arial" w:eastAsia="Arial" w:hAnsi="Arial"/>
          <w:sz w:val="11"/>
          <w:szCs w:val="11"/>
          <w:color w:val="auto"/>
        </w:rPr>
        <w:t>®</w:t>
      </w:r>
      <w:r>
        <w:rPr>
          <w:rFonts w:ascii="Arial" w:cs="Arial" w:eastAsia="Arial" w:hAnsi="Arial"/>
          <w:sz w:val="13"/>
          <w:szCs w:val="13"/>
          <w:color w:val="auto"/>
        </w:rPr>
        <w:t>, and provide street and parking lot sweeping services. We also have begun providing portable self-storage, fluorescent lamp recycling and healthcare solutions services. From time to time, we are also contracted to construct waste facilities on behalf of third parties.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solid waste industry is very competitive. Competition comes from a number of publicly held solid waste companies, private solid waste companies, large commercial and industrial companies handling their own waste collection or disposal operations and public and private waste-to-energy companies. We also have competition from municipalities and regional government authorities with respect to residential and commercial solid waste collection and solid waste landfills. The municipalities and regional governmental authorities are often able to offer lower direct charges to customers for the same service by subsidizing their costs through the use of tax revenues and tax-exempt financing. Generally, however, municipalities do not provide significant commercial and industrial collection or waste disposal.</w:t>
      </w:r>
    </w:p>
    <w:p>
      <w:pPr>
        <w:spacing w:after="0" w:line="71"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compete for disposal business on the basis of tipping fees, geographic location and quality of operations. Our ability to obtain disposal business may be limited in areas where other companies own or operate their own landfills, to which they will send their waste. We compete for collection accounts primarily on the basis of price and quality of services. Operating costs, disposal costs and collection fees vary widely throughout the geographic areas in which we operate. The prices that we charge are determined locally, and typically vary by the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based on pricing and quality of service. Our customer service contracts limit our ability to implement certain price increases and pass through some of our increased costs. From time to time, competitors may reduce the price of their services and accept lower margins in an effort to expand or maintain market share or to successfully obtain competitively bid contracts.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At December 31, 2008, we had approximately 45,900 full-time employees, of which approximately 8,000 were employed in administrative and sales positions and the balance in operations. Approximately 11,000 of our employees are covered by collective bargaining agreements.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Assurance and Insurance Obligations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Assurance</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Municipal and governmental waste service contracts generally require contracting parties to demonstrate financial responsibility for their obligations under the contract. Financial assurance is also a requirement for obtaining or retaining disposal site or transfer station operating permits. Various forms of financial assurance are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also required by regulatory agencies for estimated closure, post-closure and remedial obligations at many of our landfills. In addition, certain of our tax-exempt borrowings require us to hold funds in trust for the repayment of our interest and principal obligations.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 The following table summarizes the various forms and dollar amounts (in millions) of financial assurance that we had outstanding as of December 31, 2008:</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Surety bonds:</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Issued by consolidated subsidiary(a)</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273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Issued by affiliated entity(b)</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1,094</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Issued by third-party surety companies</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1,589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surety bonds</w:t>
            </w:r>
          </w:p>
        </w:tc>
        <w:tc>
          <w:tcPr>
            <w:tcW w:w="1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2,956</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Letters of credit: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Revolving credit facility(c)</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1,803</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Letter of credit and term loan agreements(d)</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272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 lines of credit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500" w:type="dxa"/>
            <w:vAlign w:val="bottom"/>
            <w:gridSpan w:val="2"/>
          </w:tcPr>
          <w:p>
            <w:pPr>
              <w:spacing w:after="0"/>
              <w:rPr>
                <w:sz w:val="20"/>
                <w:szCs w:val="20"/>
                <w:color w:val="auto"/>
              </w:rPr>
            </w:pPr>
            <w:r>
              <w:rPr>
                <w:rFonts w:ascii="Arial" w:cs="Arial" w:eastAsia="Arial" w:hAnsi="Arial"/>
                <w:sz w:val="13"/>
                <w:szCs w:val="13"/>
                <w:color w:val="auto"/>
              </w:rPr>
              <w:t>Total letters of credit</w:t>
            </w: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2,166</w:t>
            </w:r>
          </w:p>
        </w:tc>
      </w:tr>
      <w:tr>
        <w:trPr>
          <w:trHeight w:val="158"/>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Insurance policies:</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gridSpan w:val="2"/>
          </w:tcPr>
          <w:p>
            <w:pPr>
              <w:ind w:left="140"/>
              <w:spacing w:after="0"/>
              <w:rPr>
                <w:sz w:val="20"/>
                <w:szCs w:val="20"/>
                <w:color w:val="auto"/>
              </w:rPr>
            </w:pPr>
            <w:r>
              <w:rPr>
                <w:rFonts w:ascii="Arial" w:cs="Arial" w:eastAsia="Arial" w:hAnsi="Arial"/>
                <w:sz w:val="13"/>
                <w:szCs w:val="13"/>
                <w:color w:val="auto"/>
              </w:rPr>
              <w:t>Issued by consolidated subsidiary(a)</w:t>
            </w:r>
          </w:p>
        </w:tc>
        <w:tc>
          <w:tcPr>
            <w:tcW w:w="140" w:type="dxa"/>
            <w:vAlign w:val="bottom"/>
          </w:tcPr>
          <w:p>
            <w:pPr>
              <w:spacing w:after="0"/>
              <w:rPr>
                <w:sz w:val="13"/>
                <w:szCs w:val="13"/>
                <w:color w:val="auto"/>
              </w:rPr>
            </w:pPr>
          </w:p>
        </w:tc>
        <w:tc>
          <w:tcPr>
            <w:tcW w:w="760" w:type="dxa"/>
            <w:vAlign w:val="bottom"/>
            <w:gridSpan w:val="2"/>
          </w:tcPr>
          <w:p>
            <w:pPr>
              <w:jc w:val="right"/>
              <w:ind w:right="334"/>
              <w:spacing w:after="0"/>
              <w:rPr>
                <w:sz w:val="20"/>
                <w:szCs w:val="20"/>
                <w:color w:val="auto"/>
              </w:rPr>
            </w:pPr>
            <w:r>
              <w:rPr>
                <w:rFonts w:ascii="Arial" w:cs="Arial" w:eastAsia="Arial" w:hAnsi="Arial"/>
                <w:sz w:val="13"/>
                <w:szCs w:val="13"/>
                <w:color w:val="auto"/>
              </w:rPr>
              <w:t>979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Issued by affiliated entity(b)</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34"/>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6"/>
        </w:trPr>
        <w:tc>
          <w:tcPr>
            <w:tcW w:w="8500" w:type="dxa"/>
            <w:vAlign w:val="bottom"/>
            <w:gridSpan w:val="2"/>
          </w:tcPr>
          <w:p>
            <w:pPr>
              <w:spacing w:after="0"/>
              <w:rPr>
                <w:sz w:val="20"/>
                <w:szCs w:val="20"/>
                <w:color w:val="auto"/>
              </w:rPr>
            </w:pPr>
            <w:r>
              <w:rPr>
                <w:rFonts w:ascii="Arial" w:cs="Arial" w:eastAsia="Arial" w:hAnsi="Arial"/>
                <w:sz w:val="13"/>
                <w:szCs w:val="13"/>
                <w:color w:val="auto"/>
              </w:rPr>
              <w:t>Total insurance policies</w:t>
            </w: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995</w:t>
            </w:r>
          </w:p>
        </w:tc>
      </w:tr>
      <w:tr>
        <w:trPr>
          <w:trHeight w:val="158"/>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Funded trust and escrow accounts(e)</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Financial guarantees(f)</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251</w:t>
            </w: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financial assurance</w:t>
            </w:r>
          </w:p>
        </w:tc>
        <w:tc>
          <w:tcPr>
            <w:tcW w:w="1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6,626</w:t>
            </w: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right="20" w:hanging="313"/>
        <w:spacing w:after="0" w:line="264" w:lineRule="auto"/>
        <w:tabs>
          <w:tab w:leader="none" w:pos="10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 use surety bonds and insurance policies issued by a wholly-owned insurance subsidiary, National Guaranty Insurance Company of Vermont, the sole business of which is to issue financial assurance to WMI and our subsidiaries. National Guaranty Insurance Company is authorized to write up to approximately $1.4 billion in surety bonds or insurance policies for our closure and post-closure requirements, waste collection contracts and other business related obligations.</w:t>
      </w:r>
    </w:p>
    <w:p>
      <w:pPr>
        <w:spacing w:after="0" w:line="17" w:lineRule="exact"/>
        <w:rPr>
          <w:rFonts w:ascii="Arial" w:cs="Arial" w:eastAsia="Arial" w:hAnsi="Arial"/>
          <w:sz w:val="13"/>
          <w:szCs w:val="13"/>
          <w:color w:val="auto"/>
        </w:rPr>
      </w:pPr>
    </w:p>
    <w:p>
      <w:pPr>
        <w:jc w:val="both"/>
        <w:ind w:left="1000" w:right="120" w:hanging="313"/>
        <w:spacing w:after="0" w:line="335" w:lineRule="auto"/>
        <w:tabs>
          <w:tab w:leader="none" w:pos="1000" w:val="left"/>
        </w:tabs>
        <w:numPr>
          <w:ilvl w:val="0"/>
          <w:numId w:val="5"/>
        </w:numPr>
        <w:rPr>
          <w:rFonts w:ascii="Arial" w:cs="Arial" w:eastAsia="Arial" w:hAnsi="Arial"/>
          <w:sz w:val="11"/>
          <w:szCs w:val="11"/>
          <w:color w:val="auto"/>
        </w:rPr>
      </w:pPr>
      <w:r>
        <w:rPr>
          <w:rFonts w:ascii="Arial" w:cs="Arial" w:eastAsia="Arial" w:hAnsi="Arial"/>
          <w:sz w:val="11"/>
          <w:szCs w:val="11"/>
          <w:color w:val="auto"/>
        </w:rPr>
        <w:t>We hold a non-controlling financial interest in an entity that we use to obtain financial assurance. Our contractual agreement with this entity does not specifically limit the amounts of surety bonds or insurance that we may obtain, making our financial assurance under this agreement limited only by the guidelines and restrictions of surety and insurance regulations.</w:t>
      </w:r>
    </w:p>
    <w:p>
      <w:pPr>
        <w:ind w:left="1000" w:right="100" w:hanging="313"/>
        <w:spacing w:after="0" w:line="296" w:lineRule="auto"/>
        <w:tabs>
          <w:tab w:leader="none" w:pos="1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WMI has a $2.4 billion revolving credit facility that matures in August 2011. At December 31, 2008, $1,803 million of letters of credit and $300 million of borrowings were outstanding under the facility, leaving an unused and available credit capacity of $297 million. The increase in our utilization of this facility during 2008 is due to the expiration of our $350 million letter of credit facility in December 2008. The letters of credit that had previously been supported by that facility have been issued under the revolving credit facility.</w:t>
      </w:r>
    </w:p>
    <w:p>
      <w:pPr>
        <w:ind w:left="1000" w:right="300" w:hanging="313"/>
        <w:spacing w:after="0" w:line="307" w:lineRule="auto"/>
        <w:tabs>
          <w:tab w:leader="none" w:pos="1000"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have a $175 million letter of credit and term loan agreement that expires in June 2010 and a $105 million letter of credit and term loan agreement that expires in June 2013. At December 31, 2008, $272 million of letters of credit were outstanding under these agreements, leaving an unused and available credit capacity of $8 million.</w:t>
      </w:r>
    </w:p>
    <w:p>
      <w:pPr>
        <w:ind w:left="1000" w:right="80" w:hanging="313"/>
        <w:spacing w:after="0" w:line="276" w:lineRule="auto"/>
        <w:tabs>
          <w:tab w:leader="none" w:pos="10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funded trust and escrow accounts have been established to support landfill closure, post-closure and environmental remediation obligations, the repayment of debt obligations and our performance under various</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00"/>
        <w:spacing w:after="0" w:line="264" w:lineRule="auto"/>
        <w:rPr>
          <w:sz w:val="20"/>
          <w:szCs w:val="20"/>
          <w:color w:val="auto"/>
        </w:rPr>
      </w:pPr>
      <w:r>
        <w:rPr>
          <w:rFonts w:ascii="Arial" w:cs="Arial" w:eastAsia="Arial" w:hAnsi="Arial"/>
          <w:sz w:val="13"/>
          <w:szCs w:val="13"/>
          <w:color w:val="auto"/>
        </w:rPr>
        <w:t>operating contracts. Balances maintained in these trust funds and escrow accounts will fluctuate based on (i) changes in statutory requirements; (ii) future deposits made to comply with contractual arrangements; (iii) the ongoing use of funds for qualifying activities; (iv) acquisitions or divestitures of landfills; and (v) changes in the fair value of the financial instruments held in the trust fund or escrow accounts.</w:t>
      </w:r>
    </w:p>
    <w:p>
      <w:pPr>
        <w:spacing w:after="0" w:line="28" w:lineRule="exact"/>
        <w:rPr>
          <w:sz w:val="20"/>
          <w:szCs w:val="20"/>
          <w:color w:val="auto"/>
        </w:rPr>
      </w:pPr>
    </w:p>
    <w:p>
      <w:pPr>
        <w:ind w:left="1000" w:right="280" w:hanging="313"/>
        <w:spacing w:after="0" w:line="276" w:lineRule="auto"/>
        <w:tabs>
          <w:tab w:leader="none" w:pos="1000" w:val="left"/>
        </w:tabs>
        <w:numPr>
          <w:ilvl w:val="0"/>
          <w:numId w:val="6"/>
        </w:numPr>
        <w:rPr>
          <w:rFonts w:ascii="Arial" w:cs="Arial" w:eastAsia="Arial" w:hAnsi="Arial"/>
          <w:sz w:val="13"/>
          <w:szCs w:val="13"/>
          <w:color w:val="auto"/>
        </w:rPr>
      </w:pPr>
      <w:r>
        <w:rPr>
          <w:rFonts w:ascii="Arial" w:cs="Arial" w:eastAsia="Arial" w:hAnsi="Arial"/>
          <w:sz w:val="13"/>
          <w:szCs w:val="13"/>
          <w:color w:val="auto"/>
        </w:rPr>
        <w:t>WMI provides financial guarantees on behalf of its subsidiaries to municipalities, customers and regulatory authorities. They are provided primarily to support our performance of landfill closure and post-closure activities.</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assets held in our funded trust and escrow accounts may be drawn and used to meet the obligations for which the trusts and escrows were established. Other than these permitted draws on funds, virtually no claims have been made against our financial assurance instruments in the past, and considering our current financial position, management does not expect there to be claims against these instruments that will have a material adverse effect on our consolidated financial statements. In an ongoing effort to mitigate the risks of future cost increases and reductions in available capacity, we are continually evaluating various options to access cost-effective sources of financial assurance.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Insurance</w:t>
      </w:r>
    </w:p>
    <w:p>
      <w:pPr>
        <w:spacing w:after="0" w:line="96"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We carry a broad range of insurance coverages, including general liability, automobile liability, 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As of December 31, 2008, our per-incident deductible for our general liability program was $2.5 million and our per-incident deductible for our workers’ compensation insurance program was $5 million. As of December 31, 2008, our auto liability insurance program included a per-incident base deductible of $1 million, subject to additional aggregate deductibles in the $1 million to $5 million layer and the $5 million to $10 million layer of $2.4 million and $2.5 million, respectively. Effective January 1, 2009, we increased the per-incident base deductible of our auto liability insurance program to $5 million, subject to an additional aggregate deductible in the $5 million to $10 million range of $4.8 million. We do not expect the impact of any known casualty, property, environmental or other contingency to have a material impact on our financial condition, results of operations or cash flows. Our estimated insurance liabilities as of December 31, 2008 are summarized in Note 10 to the Consolidated Financial Statements.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Our business is subject to extensive and evolving federal, state or provincial and local environmental, health, safety and transportation laws and regulations. These laws and regulations are administered by the U.S. EPA and various other federal, state and local environmental, zoning, transportation, land use, health and safety agencies in the United States and various agencies in Canada. Many of these agencies regularly examine our operations to monitor compliance with these laws and regulations and have the power to enforce compliance, obtain injunctions or impose civil or criminal penalties in case of violations.</w:t>
      </w:r>
    </w:p>
    <w:p>
      <w:pPr>
        <w:spacing w:after="0" w:line="7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Because the major component of our business is the collection and disposal of solid waste in an environmentally sound manner, a significant amount of our capital expenditures is related, either directly or indirectly, to environmental protection measures, including compliance with federal, state or provincial and local provisions that regulate the placement of materials into the environment. There are costs associated with siting, design, operations, monitoring, site maintenance, corrective actions, financial assurance, and facility closure and post-closure obligations. In connection with our acquisition, development or expansion of a disposal facility or transfer station, we must often spend considerable time, effort and money to obtain or maintain required permits and approvals. There cannot be any assurances that we will be able to obtain or maintain required governmental approvals. Once obtained, operating permits are subject to renewal, modification, suspension or revocation by the issuing agency. Compliance with these and any future regulatory requirements could require us to make significant capital and operating expenditures. However, most of these expenditures are made in the normal course of business and do not place us at any competitive disadvantage.</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primary United States federal statutes affecting our business are summarized below:</w:t>
      </w:r>
    </w:p>
    <w:p>
      <w:pPr>
        <w:spacing w:after="0" w:line="96" w:lineRule="exact"/>
        <w:rPr>
          <w:sz w:val="20"/>
          <w:szCs w:val="20"/>
          <w:color w:val="auto"/>
        </w:rPr>
      </w:pPr>
    </w:p>
    <w:p>
      <w:pPr>
        <w:ind w:left="1280" w:right="20" w:hanging="190"/>
        <w:spacing w:after="0" w:line="289"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Resource Conservation and Recovery Act of 1976, as amended, regulates handling, transporting and disposing of hazardous and non-hazardous waste and delegates authority to states to develop programs to ensure the safe disposal of solid waste. In 1991, the EPA issued its final regulations under Subtitle D of RCRA, which set forth minimum federal performance and design criteria for solid waste landfills. These regulations are typically implemented by the states, although states can impose requirements that are more stringent than the Subtitle D standards. We incur costs in complying with these standards in the ordinary course of our operations.</w:t>
      </w:r>
    </w:p>
    <w:p>
      <w:pPr>
        <w:spacing w:after="0" w:line="43" w:lineRule="exact"/>
        <w:rPr>
          <w:rFonts w:ascii="Arial" w:cs="Arial" w:eastAsia="Arial" w:hAnsi="Arial"/>
          <w:sz w:val="12"/>
          <w:szCs w:val="12"/>
          <w:color w:val="auto"/>
        </w:rPr>
      </w:pPr>
    </w:p>
    <w:p>
      <w:pPr>
        <w:ind w:left="1280" w:right="20" w:hanging="190"/>
        <w:spacing w:after="0" w:line="307" w:lineRule="auto"/>
        <w:tabs>
          <w:tab w:leader="none" w:pos="128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Comprehensive Environmental Response, Compensation and Liability Act of 1980, as amended,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disposal of hazardous substances; it can be based upon the release or threatened release, even as a result of lawful, unintentional and non-negligent action, of hazardous substances as the term is defined by CERCLA and other applicable statutes and regulations. Liability may include contribution for cleanup costs incurred by a defendant in a CERCLA civil action or by an entity that has previously resolved its liability to federal or state regulators in an administrative or judicially approved settlement. Liability could also include liability to a PRP that voluntarily expends site clean-up costs. Further, liability may include damage to publicly owned natural resources. We are subject to potential liability under CERCLA as an owner or operator of facilities at which hazardous substances have been disposed or as a generator or transporter of hazardous substances disposed of at other locations.</w:t>
      </w:r>
    </w:p>
    <w:p>
      <w:pPr>
        <w:spacing w:after="0" w:line="37" w:lineRule="exact"/>
        <w:rPr>
          <w:rFonts w:ascii="Arial" w:cs="Arial" w:eastAsia="Arial" w:hAnsi="Arial"/>
          <w:sz w:val="11"/>
          <w:szCs w:val="11"/>
          <w:color w:val="auto"/>
        </w:rPr>
      </w:pPr>
    </w:p>
    <w:p>
      <w:pPr>
        <w:ind w:left="1280" w:hanging="190"/>
        <w:spacing w:after="0" w:line="281"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Federal Water Pollution Control Act of 1972, known as the Clean Water Act, regulates the discharge of pollutants into streams, rivers, groundwater, or other surface waters from a variety of sources, including solid and hazardous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that require landfills and other waste-handling facilities to obtain storm water discharge permits. In addition, if a landfill or other facility discharges wastewater through a sewage system to a publicly owned treatment works, the facility must comply with discharge limits imposed by the treatment works. Also,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48" w:lineRule="exact"/>
        <w:rPr>
          <w:rFonts w:ascii="Arial" w:cs="Arial" w:eastAsia="Arial" w:hAnsi="Arial"/>
          <w:sz w:val="12"/>
          <w:szCs w:val="12"/>
          <w:color w:val="auto"/>
        </w:rPr>
      </w:pPr>
    </w:p>
    <w:p>
      <w:pPr>
        <w:ind w:left="1280" w:right="60" w:hanging="190"/>
        <w:spacing w:after="0" w:line="279" w:lineRule="auto"/>
        <w:tabs>
          <w:tab w:leader="none" w:pos="128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Clean Air Act of 1970, as amended, provides for increased federal, state and local regulation of the emission of air pollutants. Certain of our operations are subject to the requirements of the Clean Air Act, including large municipal solid waste landfills and large municipal waste-to-energy facilities. Standards have also been imposed on manufacturers of transportation vehicles (including waste collection vehicles). In 1996 the EPA issued new source performance standards and emission guidelines controlling landfill gases from new and existing large landfills. The regulations impose limits on air emissions from large municipal solid waste landfills, subject most of our large municipal solid waste landfills to certain operating permitting requirements under Title V of the Clean Air Act, and, in many instances, require installation of landfill gas collection and control systems to control emissions or to treat and utilize landfill gas on or off-site. In general, controlling emissions involves drilling collection wells into a landfill and routing the gas to a suitable energy recovery system or combustion device. We are currently capturing and utilizing the renewable energy value of landfill gas at 111 of our solid waste landfills. In January 2003, the EPA issued additional regulations that required affected landfills to prepare, by January 2004, startup, shutdown and malfunction plans to ensure proper operation of gas collection, control and treatment systems.</w:t>
      </w:r>
    </w:p>
    <w:p>
      <w:pPr>
        <w:spacing w:after="0" w:line="26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1280" w:right="60"/>
        <w:spacing w:after="0" w:line="296" w:lineRule="auto"/>
        <w:rPr>
          <w:sz w:val="20"/>
          <w:szCs w:val="20"/>
          <w:color w:val="auto"/>
        </w:rPr>
      </w:pPr>
      <w:r>
        <w:rPr>
          <w:rFonts w:ascii="Arial" w:cs="Arial" w:eastAsia="Arial" w:hAnsi="Arial"/>
          <w:sz w:val="12"/>
          <w:szCs w:val="12"/>
          <w:color w:val="auto"/>
        </w:rPr>
        <w:t>The EPA has issued new source performance standards and emission guidelines for large and small municipal waste-to-energy facilities, which include stringent emission limits for various pollutants based on Maximum Achievable Control Technology standards. These sources are also subject to operating permit requirements under Title V of the Clean Air Act. The Clean Air Act requires the EPA to review and revise the MACT standards applicable to municipal waste-to-energy facilities every five years.</w:t>
      </w:r>
    </w:p>
    <w:p>
      <w:pPr>
        <w:spacing w:after="0" w:line="50" w:lineRule="exact"/>
        <w:rPr>
          <w:sz w:val="20"/>
          <w:szCs w:val="20"/>
          <w:color w:val="auto"/>
        </w:rPr>
      </w:pPr>
    </w:p>
    <w:p>
      <w:pPr>
        <w:ind w:left="1280" w:hanging="190"/>
        <w:spacing w:after="0" w:line="282" w:lineRule="auto"/>
        <w:tabs>
          <w:tab w:leader="none" w:pos="128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Occupational Safety and Health Act of 1970, as amended,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There are also various state or provincial and local regulations that affect our operations. Sometimes states’ regulations are stricter than federal laws and regulations when not otherwise preempted by federal law. Additionally, our collection and landfill operations could be affected by legislative and regulatory measures requiring or encouraging waste reduction at the source and waste recycling.</w:t>
      </w:r>
    </w:p>
    <w:p>
      <w:pPr>
        <w:spacing w:after="0" w:line="67"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sites. In 1994, the United States Supreme Court ruled that a flow control ordinance that gave preference to a local facility that was privately owned was unconstitutional, but in 2007 the Court ruled that an ordinance directing waste to a facility owned by the local government was constitutional. In addition, from time to time, the United States Congress has considered legislation authorizing states to adopt regulations, restrictions, or taxes on the importation of out-of-state or out-of-jurisdiction waste. The United States Congress’ adoption of legislation allowing restrictions on interstate transportation of out-of-state or out-of-jurisdiction waste or certain types of flow control or the adoption of legislation affecting interstate transportation of waste at the state level could adversely affect our operations. Courts’ interpretation of flow control legislation or the Supreme Court decisions also could adversely affect our solid and hazardous waste management services.</w:t>
      </w:r>
    </w:p>
    <w:p>
      <w:pPr>
        <w:spacing w:after="0" w:line="74"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Many states, provinces and local jurisdictions have enacted “fitness” laws that allow the agencies that have jurisdiction over waste services contracts or permits to deny or revoke these contracts or permits based on the applicant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See Note 10 to the Consolidated Financial Statements for disclosures relating to our current assessments of the impact of regulations on our current and future operations.</w:t>
      </w:r>
    </w:p>
    <w:p>
      <w:pPr>
        <w:spacing w:after="0" w:line="31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240" w:firstLine="399"/>
        <w:spacing w:after="0" w:line="371" w:lineRule="auto"/>
        <w:rPr>
          <w:sz w:val="20"/>
          <w:szCs w:val="20"/>
          <w:color w:val="auto"/>
        </w:rPr>
      </w:pPr>
      <w:r>
        <w:rPr>
          <w:rFonts w:ascii="Arial" w:cs="Arial" w:eastAsia="Arial" w:hAnsi="Arial"/>
          <w:sz w:val="11"/>
          <w:szCs w:val="11"/>
          <w:color w:val="auto"/>
        </w:rPr>
        <w:t>In an effort to keep our shareholders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12" w:lineRule="exact"/>
        <w:rPr>
          <w:sz w:val="20"/>
          <w:szCs w:val="20"/>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9"/>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You should view these statements with caution. These statements are not guarantees of future performance, circumstances or events. They are based on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2009 and beyond.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General economic conditions can adversely affect our revenues and our operating margins.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business is affected by changes in national and general economic factors that are outside of our control, including consumer confidence, interest rates and access to capital markets. Although our services are of an essential nature, a weak economy generally results in decreases in volumes of waste generated, which decreases our revenues. Additionally, consumer uncertainty and the loss of consumer confidence may limit the number or amount of services requested by customers and our ability to increase customers’ pricing. During weak economic conditions we may also be adversely impacted by customers’ inability to pay us in a timely manner, if at all, due to their financial difficulties, which could include bankruptcies. The availability of credit in the second half of 2008 was severely limited, which negatively affected business and consumer spending generally. If our customers do not have access to capital, we do not expect that our volumes will improve or that we will increase new business.</w:t>
      </w:r>
    </w:p>
    <w:p>
      <w:pPr>
        <w:spacing w:after="0" w:line="72"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We have $2.8 billion of debt as of December 31, 2008 that is exposed to changes in market interest rates because of the combined impact of our variable rate tax-exempt bonds and our interest rate swap agreements. Therefore, any increase in interest rates can significantly increase our interest expenses. Additionally, the unavailability of credit on favorable terms can adversely impact our growth, development and capital spending plans.</w:t>
      </w:r>
    </w:p>
    <w:p>
      <w:pPr>
        <w:spacing w:after="0" w:line="146"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encounter intense competition from governmental, quasi-governmental and private sources in all aspects of our operations. In North America, the industry consists of two national waste management companies, regional companies and local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71"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addition, competitors may reduce their prices to expand sales volume or to win competitively bid contracts. When this happens, we may roll-back prices or offer lower pricing to attract or retain our customers, resulting in a negative impact to our revenue growth from yield on base business.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do not successfully manage our costs, or do not successfully implement our plans and strategies to improve margins, our income from operations could be lower than expected.</w:t>
      </w:r>
    </w:p>
    <w:p>
      <w:pPr>
        <w:spacing w:after="0" w:line="11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recent years, we have implemented several profit improvement initiatives aimed at lowering our costs and enhancing our revenues.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have implemented price increases and environmental fees, and we have continued our fuel surcharge program, all of which have increased our internal revenue growth. The loss of volumes as a result of price increases may negatively affect our cash flows or results of operations. 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 Additionally, in February 2009 we announced that we had taken steps to realign our field operations to combine several of our Market Areas in an effort to achieve greater economies of scale in our local and regional operations and our Corporate organization to provide support functions more efficiently. If we are not able to fully or successfully implement our plans and strategies for any reason, many of which are out of our control, we may not see the expected improvements in our income from operations or our operating margins.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seasonal nature of our business causes our quarterly results to fluctuate, and prior performance is not necessarily indicative of our future results.</w:t>
      </w:r>
    </w:p>
    <w:p>
      <w:pPr>
        <w:spacing w:after="0" w:line="96"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generally experienced by our Southern Group, actually increase our revenues in the areas affected. However, for several reasons, including significant start-up costs, such revenue often generates earnings at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3"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cannot predict with certainty the extent of future costs under environmental, health and safety laws, and cannot guarantee that they will not be material.</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could be liable if our operations cause environmental damage to our properties or to the property of other landowners, particularly as a result of the contamination of air, drinking water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71"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59" w:lineRule="exact"/>
        <w:rPr>
          <w:sz w:val="20"/>
          <w:szCs w:val="20"/>
          <w:color w:val="auto"/>
        </w:rPr>
      </w:pPr>
    </w:p>
    <w:p>
      <w:pPr>
        <w:ind w:left="1280" w:right="2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80" w:hanging="190"/>
        <w:spacing w:after="0" w:line="276" w:lineRule="auto"/>
        <w:tabs>
          <w:tab w:leader="none" w:pos="1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59"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14" w:lineRule="exact"/>
        <w:rPr>
          <w:sz w:val="20"/>
          <w:szCs w:val="20"/>
          <w:color w:val="auto"/>
        </w:rPr>
      </w:pPr>
    </w:p>
    <w:p>
      <w:pPr>
        <w:ind w:left="880" w:right="260"/>
        <w:spacing w:after="0" w:line="276" w:lineRule="auto"/>
        <w:rPr>
          <w:sz w:val="20"/>
          <w:szCs w:val="20"/>
          <w:color w:val="auto"/>
        </w:rPr>
      </w:pPr>
      <w:r>
        <w:rPr>
          <w:rFonts w:ascii="Arial" w:cs="Arial" w:eastAsia="Arial" w:hAnsi="Arial"/>
          <w:sz w:val="13"/>
          <w:szCs w:val="13"/>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67" w:lineRule="exact"/>
        <w:rPr>
          <w:sz w:val="20"/>
          <w:szCs w:val="20"/>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limitations on siting and constructing new waste disposal, transfer or processing facilities or expanding existing facilities;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limitations, regulations or levies on collection and disposal prices, rates and volumes;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waste or certain categories of waste;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mandates regarding the disposal of solid waste, including requirements to recycle rather than landfill certain waste streams.</w:t>
      </w:r>
    </w:p>
    <w:p>
      <w:pPr>
        <w:spacing w:after="0" w:line="96"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12" w:lineRule="exact"/>
        <w:rPr>
          <w:sz w:val="20"/>
          <w:szCs w:val="20"/>
          <w:color w:val="auto"/>
        </w:rPr>
      </w:pPr>
    </w:p>
    <w:p>
      <w:pPr>
        <w:ind w:left="680" w:right="20" w:firstLine="399"/>
        <w:spacing w:after="0" w:line="371" w:lineRule="auto"/>
        <w:rPr>
          <w:sz w:val="20"/>
          <w:szCs w:val="20"/>
          <w:color w:val="auto"/>
        </w:rPr>
      </w:pPr>
      <w:r>
        <w:rPr>
          <w:rFonts w:ascii="Arial" w:cs="Arial" w:eastAsia="Arial" w:hAnsi="Arial"/>
          <w:sz w:val="11"/>
          <w:szCs w:val="11"/>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Governmental authorities may enact climate change regulations that could increase our costs to operate.</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Environmental advocacy groups and regulatory agencies in the United States have been focusing considerable attention on the emissions of greenhouse gases and their potential role in climate change. The adoption of laws and regulations to implement controls of greenhouse gases, including the imposition of fees or taxes, could adversely affect our collection and disposal operations. Additionally, certain of the states in which we operate are contemplating air pollution control regulations that are more stringent than existing and proposed federal regulations. Changing environmental regulations could require us to take any number of actions, including the purchase of emission allowances or installation of additional pollution control technology, and could make some operations less profitable, which could adversely affect our results of operations.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shortages in fuel supply or increases in fuel prices will increase our operating expenses.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The price and supply of fuel are unpredictable, and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We have seen average quarterly fuel prices increase by as much as 56% on a year-over-year basis and decrease by as much as 9% on a year-over-year basis within the last two years. We need fuel to run our collection and transfer trucks and equipment used in our landfill operations. Supply shortages could substantially increase our operating expenses. Additionally, as fuel prices increase, our direct operating expenses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60" w:lineRule="auto"/>
        <w:rPr>
          <w:sz w:val="20"/>
          <w:szCs w:val="20"/>
          <w:color w:val="auto"/>
        </w:rPr>
      </w:pPr>
      <w:r>
        <w:rPr>
          <w:rFonts w:ascii="Arial" w:cs="Arial" w:eastAsia="Arial" w:hAnsi="Arial"/>
          <w:sz w:val="13"/>
          <w:szCs w:val="13"/>
          <w:color w:val="auto"/>
        </w:rPr>
        <w:t>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 through of the increased costs. We may initiate other programs or means to guard against the rising costs of fuel, although there can be no assurances that we will be able to do so or that such programs will be successful. Regardless of any offsetting surcharge programs, the increased operating costs will decrease our operating margins.</w:t>
      </w:r>
    </w:p>
    <w:p>
      <w:pPr>
        <w:spacing w:after="0" w:line="148" w:lineRule="exact"/>
        <w:rPr>
          <w:sz w:val="20"/>
          <w:szCs w:val="20"/>
          <w:color w:val="auto"/>
        </w:rPr>
      </w:pPr>
    </w:p>
    <w:p>
      <w:pPr>
        <w:ind w:left="880" w:right="320"/>
        <w:spacing w:after="0" w:line="276" w:lineRule="auto"/>
        <w:rPr>
          <w:sz w:val="20"/>
          <w:szCs w:val="20"/>
          <w:color w:val="auto"/>
        </w:rPr>
      </w:pPr>
      <w:r>
        <w:rPr>
          <w:rFonts w:ascii="Arial" w:cs="Arial" w:eastAsia="Arial" w:hAnsi="Arial"/>
          <w:sz w:val="13"/>
          <w:szCs w:val="13"/>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59"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additional costs for environmental damage if our insurance coverage is ultimately inadequate to cover those damages. We also carry a broad range of insurance coverages that are customary for a company our size. We use these programs to mitigate risk of loss, thereby allowing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were unable to meet their obligations, or our own obligations for claims were more than we estimated, there could be a material adverse effect to our financial results.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addition, to fulfill our financial assurance obligations with respect to environmental closure and post-closure obligations, we generally obtain letters of credit or surety bonds, rely on insurance, including captive insurance, fund trust and escrow accounts or rely upon WMI financial guarantees. We currently have in place all financial assurance instruments necessary for our operations. We do not anticipate any unmanageable difficulty in obtaining financial assurance instruments in the future, although general economic factors may adversely affect the cost of our current financial assurance instruments.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record material charges against our earnings due to any number of events that could cause impairments to our assets.</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In accordance with generally accepted accounting principles,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If we determine a development or expansion project is impaired, we will charge against earnings any unamortized capitalized expenditures and advances relating to such facility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 The recent downturn in the recycling commodities market could potentially cause the carrying value of WMRA’s assets to be lower than their fair value, resulting in an impairment to goodwill.</w:t>
      </w:r>
    </w:p>
    <w:p>
      <w:pPr>
        <w:spacing w:after="0" w:line="7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may be required to incur charges against earnings if we determine that events such as those described cause impairments. Any such charges could have a material adverse effect on our results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revenues will fluctuate based on changes in commodity prices.</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Our recycling operations process for sale certain recyclable materials, including fibers, aluminum and glass, all of which are subject to significant market price fluctuations. The majority of the recyclables that we process for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0"/>
        <w:spacing w:after="0" w:line="285" w:lineRule="auto"/>
        <w:rPr>
          <w:sz w:val="20"/>
          <w:szCs w:val="20"/>
          <w:color w:val="auto"/>
        </w:rPr>
      </w:pPr>
      <w:r>
        <w:rPr>
          <w:rFonts w:ascii="Arial" w:cs="Arial" w:eastAsia="Arial" w:hAnsi="Arial"/>
          <w:sz w:val="12"/>
          <w:szCs w:val="12"/>
          <w:color w:val="auto"/>
        </w:rPr>
        <w:t>sale are paper fibers, including old corrugated cardboard, known as OCC, and old newsprint, or ONP. The fluctuations in the market prices or demand for these commodities can affect our operating income and cash flows, as we experienced in 2008. In the fourth quarter of 2008, the monthly market prices for OCC and ONP fell by 79% and 72%, respectively, from their high points within the year. The decline in market prices for commodities resulted in a fourth quarter 2008 year-over-year decrease in revenue of almost $100 million. Additionally, our recycling operations offer rebates to suppliers. Therefore, even if we experience higher revenues based on increased market prices for commodities, the rebates we pay will also increase and in some circumstances, the rebates may have floors even as market prices decrease, which could eliminate any expected profit margins.</w:t>
      </w:r>
    </w:p>
    <w:p>
      <w:pPr>
        <w:spacing w:after="0" w:line="55"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Additionally, there may be significant price fluctuations in the price of methane gas, electricity and other energy related products that are marketed and sold by our landfill gas recovery, waste-to-energy and independent power production plant operations. The marketing and sales of energy related products by our landfill gas and waste-to-energy operations are generally pursuant to long-term sales agreements. Therefore, market volatility does not cause our quarterly results to fluctuate significantly. However, as longer-term agreements expire and are up for renewal, or as market prices remain at lower levels for sustained periods, our revenues will be adversely affected. Additionally, revenues from our independent power production plants can be affected by price fluctuations. In the past two years, the year-over-year changes in the average quarterly electricity prices have ranged from increases of as much as 26% to decreases of as much as 5%.</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development and acceptance of alternatives to landfill disposal and waste-to-energy facilities could reduce our ability to operate at full capacity.</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Our customers are increasingly using alternatives to landfill and waste-to-energy disposal, such as recycling and composting. In addition, some state and local governments mandate recycling and waste reduction at the source and prohibit the disposal of certain types of waste, such as yard waste,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expenses could increase as a result of labor unions organizing or changes in regulations related to labor unions.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Considerable attention has been focused on proposed legislation that could amend the National Labor Relations Act that would make it easier for unions to become recognized as the bargaining representative for employees. Depending on the form of legislation, if any, that is ultimately enacted, it is reasonably possible that our operating expenses would increase as a result of the provisions of such legislation. If we are unable to negotiate acceptable collective bargaining agreements, or future legislation requires us to submit the terms of employment to binding arbitration in the event an agreement cannot be reached in a timely manner, our operating expenses could increase significantly as a result of work stoppages, including strikes, or unfavorable terms in agreements that result from arbitration. Any of these matters could adversely affect our financial condition, results of operations and cash flows.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Currently pending or future litigation or governmental proceedings could result in material adverse consequences, including judgments or settlements.</w:t>
      </w:r>
    </w:p>
    <w:p>
      <w:pPr>
        <w:spacing w:after="0" w:line="96"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increasingly dependent on technology in our operations and if our technology fails, our business could be adversely affected.</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encountered problems with the revenue management application that we had been piloting throughout 2007, resulting in the termination of the pilot, which has impeded our ability to realize improved operating margins as a result of a new system. Inabilities and delays in implementing new systems can also affect our ability to realize projected or expected cost savings. There can be no assurances that our issues related to the licensed application will not ultimately result in an impairment charge, which could be material.</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Additionally, any systems failures could impede our ability to timely collect and report financial results in accordance with applicable laws and regulations.</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experience adverse impacts on our reported results of operations as a result of adopting new accounting standards or interpretations.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implementation of and compliance with changes in accounting rules, including new accounting rules and interpretations, could adversely affect our reported operating results or cause unanticipated fluctuations in our reported operating results in future periods.</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Unforeseen circumstances could result in a need for additional capital.</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currently expect to meet our anticipated cash needs for capital expenditures, scheduled debt repayments, acquisitions and other cash expenditures with our cash flows from operations and, to the extent necessary and available, additional financings. However, materially adverse events, including recent economic conditions, may reduce our cash flows from operations. Our Board of Directors has approved a capital allocation program for 2009 that provides for up to $1.3 billion in aggregate dividend payments, share repurchases, acquisitions and debt reductions. In December 2008, we announced that we expect future quarterly dividend payments, when declared by the Board of Directors, to be $0.29 per share. If the impact on our cash flows from operations is significant, we may need to reduce capital expenditures, acquisition activity or dividend declarations unless we are able to incur indebtedness to either pay for these activities or refinance our scheduled debt maturities. In light of the recent state of the credit markets, there can be no assurances that we will be able to obtain additional financings on acceptable terms. In these circumstances, we would likely use our revolving credit facility to meet our cash needs, to the extent available. As of December 31, 2008, we had $297 million of capacity under our revolving credit facility.</w:t>
      </w:r>
    </w:p>
    <w:p>
      <w:pPr>
        <w:spacing w:after="0" w:line="76"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Any such default would have a material adverse effect on our ability to operate.</w:t>
      </w:r>
    </w:p>
    <w:p>
      <w:pPr>
        <w:spacing w:after="0" w:line="10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3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Properties.</w:t>
      </w:r>
    </w:p>
    <w:p>
      <w:pPr>
        <w:spacing w:after="0" w:line="61"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Our principal executive offices are in Houston, Texas, where we lease approximately 400,000 square feet under leases expiring at various times through 2020. Our operating Group offices are in Pennsylvania, Illinois, Georgia, Arizona, New Hampshire and Texas. We also have field-based administrative offices in Arizona and Illinois. We own or lease real property in most locations where we have operations. We have operations in each of the fifty states other than Montana and Wyoming. We also have operations in the District of Columbia, Puerto Rico and throughout Canada.</w:t>
      </w:r>
    </w:p>
    <w:p>
      <w:pPr>
        <w:spacing w:after="0" w:line="70"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Our principal property and equipment consists of land (primarily landfills and other disposal facilities, transfer stations and bases for collection operations), buildings, vehicles and equipment. We believe that our vehicles, equipment, and operating properties are adequately maintained and sufficient for our current operations. However,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 xml:space="preserve">we expect to continue to make investments in additional equipment and property for expansion, for replacement of assets, and in connection with future acquisitions. For more information, see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included within this report.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various operations at December 31 for the periods noted: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900" w:type="dxa"/>
            <w:vAlign w:val="bottom"/>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r>
      <w:tr>
        <w:trPr>
          <w:trHeight w:val="147"/>
        </w:trPr>
        <w:tc>
          <w:tcPr>
            <w:tcW w:w="89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Landfills:</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7"/>
        </w:trPr>
        <w:tc>
          <w:tcPr>
            <w:tcW w:w="8900" w:type="dxa"/>
            <w:vAlign w:val="bottom"/>
          </w:tcPr>
          <w:p>
            <w:pPr>
              <w:ind w:left="140"/>
              <w:spacing w:after="0"/>
              <w:rPr>
                <w:sz w:val="20"/>
                <w:szCs w:val="20"/>
                <w:color w:val="auto"/>
              </w:rPr>
            </w:pPr>
            <w:r>
              <w:rPr>
                <w:rFonts w:ascii="Arial" w:cs="Arial" w:eastAsia="Arial" w:hAnsi="Arial"/>
                <w:sz w:val="13"/>
                <w:szCs w:val="13"/>
                <w:color w:val="auto"/>
              </w:rPr>
              <w:t>Owned</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212</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216</w:t>
            </w:r>
          </w:p>
        </w:tc>
      </w:tr>
      <w:tr>
        <w:trPr>
          <w:trHeight w:val="157"/>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Operated through lease agreements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w:t>
            </w:r>
          </w:p>
        </w:tc>
      </w:tr>
      <w:tr>
        <w:trPr>
          <w:trHeight w:val="157"/>
        </w:trPr>
        <w:tc>
          <w:tcPr>
            <w:tcW w:w="8900" w:type="dxa"/>
            <w:vAlign w:val="bottom"/>
          </w:tcPr>
          <w:p>
            <w:pPr>
              <w:ind w:left="140"/>
              <w:spacing w:after="0"/>
              <w:rPr>
                <w:sz w:val="20"/>
                <w:szCs w:val="20"/>
                <w:color w:val="auto"/>
              </w:rPr>
            </w:pPr>
            <w:r>
              <w:rPr>
                <w:rFonts w:ascii="Arial" w:cs="Arial" w:eastAsia="Arial" w:hAnsi="Arial"/>
                <w:sz w:val="13"/>
                <w:szCs w:val="13"/>
                <w:color w:val="auto"/>
              </w:rPr>
              <w:t>Operated through contractual agreements</w:t>
            </w:r>
          </w:p>
        </w:tc>
        <w:tc>
          <w:tcPr>
            <w:tcW w:w="300" w:type="dxa"/>
            <w:vAlign w:val="bottom"/>
          </w:tcPr>
          <w:p>
            <w:pPr>
              <w:jc w:val="right"/>
              <w:spacing w:after="0"/>
              <w:rPr>
                <w:sz w:val="20"/>
                <w:szCs w:val="20"/>
                <w:color w:val="auto"/>
              </w:rPr>
            </w:pPr>
            <w:r>
              <w:rPr>
                <w:rFonts w:ascii="Arial" w:cs="Arial" w:eastAsia="Arial" w:hAnsi="Arial"/>
                <w:sz w:val="13"/>
                <w:szCs w:val="13"/>
                <w:color w:val="auto"/>
              </w:rPr>
              <w:t>34</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r>
      <w:tr>
        <w:trPr>
          <w:trHeight w:val="20"/>
        </w:trPr>
        <w:tc>
          <w:tcPr>
            <w:tcW w:w="8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Transfer stations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355</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341</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Material recovery facilities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Secondary processing facilities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Waste-to-energy facilities</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r>
      <w:tr>
        <w:trPr>
          <w:trHeight w:val="165"/>
        </w:trPr>
        <w:tc>
          <w:tcPr>
            <w:tcW w:w="8900" w:type="dxa"/>
            <w:vAlign w:val="bottom"/>
          </w:tcPr>
          <w:p>
            <w:pPr>
              <w:spacing w:after="0"/>
              <w:rPr>
                <w:sz w:val="20"/>
                <w:szCs w:val="20"/>
                <w:color w:val="auto"/>
              </w:rPr>
            </w:pPr>
            <w:r>
              <w:rPr>
                <w:rFonts w:ascii="Arial" w:cs="Arial" w:eastAsia="Arial" w:hAnsi="Arial"/>
                <w:sz w:val="13"/>
                <w:szCs w:val="13"/>
                <w:color w:val="auto"/>
              </w:rPr>
              <w:t>Independent power production plants</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r>
    </w:tbl>
    <w:p>
      <w:pPr>
        <w:spacing w:after="0" w:line="72"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The following table provides certain information by Group regarding the 239 landfills owned or operated through lease agreements and a count, by Group, of contracted disposal sites as of December 31, 2008:</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Total</w:t>
            </w: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9"/>
              </w:rPr>
              <w:t>Permitted</w:t>
            </w:r>
          </w:p>
        </w:tc>
        <w:tc>
          <w:tcPr>
            <w:tcW w:w="10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Expansion</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Contracted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Landfills</w:t>
            </w:r>
          </w:p>
        </w:tc>
        <w:tc>
          <w:tcPr>
            <w:tcW w:w="110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Disposal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2"/>
              </w:rPr>
              <w:t>Acreage(a)</w:t>
            </w:r>
          </w:p>
        </w:tc>
        <w:tc>
          <w:tcPr>
            <w:tcW w:w="10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Acreage(b)</w:t>
            </w:r>
          </w:p>
        </w:tc>
        <w:tc>
          <w:tcPr>
            <w:tcW w:w="1080" w:type="dxa"/>
            <w:vAlign w:val="bottom"/>
            <w:gridSpan w:val="2"/>
          </w:tcPr>
          <w:p>
            <w:pPr>
              <w:ind w:left="120"/>
              <w:spacing w:after="0"/>
              <w:rPr>
                <w:sz w:val="20"/>
                <w:szCs w:val="20"/>
                <w:color w:val="auto"/>
              </w:rPr>
            </w:pPr>
            <w:r>
              <w:rPr>
                <w:rFonts w:ascii="Arial" w:cs="Arial" w:eastAsia="Arial" w:hAnsi="Arial"/>
                <w:sz w:val="10"/>
                <w:szCs w:val="10"/>
                <w:b w:val="1"/>
                <w:bCs w:val="1"/>
                <w:color w:val="auto"/>
              </w:rPr>
              <w:t>Acreage(c)</w:t>
            </w:r>
          </w:p>
        </w:tc>
        <w:tc>
          <w:tcPr>
            <w:tcW w:w="9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Sites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29,957</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6,224</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620" w:type="dxa"/>
            <w:vAlign w:val="bottom"/>
          </w:tcPr>
          <w:p>
            <w:pPr>
              <w:jc w:val="right"/>
              <w:spacing w:after="0"/>
              <w:rPr>
                <w:sz w:val="20"/>
                <w:szCs w:val="20"/>
                <w:color w:val="auto"/>
              </w:rPr>
            </w:pPr>
            <w:r>
              <w:rPr>
                <w:rFonts w:ascii="Arial" w:cs="Arial" w:eastAsia="Arial" w:hAnsi="Arial"/>
                <w:sz w:val="13"/>
                <w:szCs w:val="13"/>
                <w:color w:val="auto"/>
              </w:rPr>
              <w:t>75</w:t>
            </w:r>
          </w:p>
        </w:tc>
        <w:tc>
          <w:tcPr>
            <w:tcW w:w="40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29,357</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7,539</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1,755</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38,409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12,146</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620" w:type="dxa"/>
            <w:vAlign w:val="bottom"/>
          </w:tcPr>
          <w:p>
            <w:pPr>
              <w:jc w:val="right"/>
              <w:spacing w:after="0"/>
              <w:rPr>
                <w:sz w:val="20"/>
                <w:szCs w:val="20"/>
                <w:color w:val="auto"/>
              </w:rPr>
            </w:pPr>
            <w:r>
              <w:rPr>
                <w:rFonts w:ascii="Arial" w:cs="Arial" w:eastAsia="Arial" w:hAnsi="Arial"/>
                <w:sz w:val="13"/>
                <w:szCs w:val="13"/>
                <w:color w:val="auto"/>
              </w:rPr>
              <w:t>42</w:t>
            </w:r>
          </w:p>
        </w:tc>
        <w:tc>
          <w:tcPr>
            <w:tcW w:w="400" w:type="dxa"/>
            <w:vAlign w:val="bottom"/>
          </w:tcPr>
          <w:p>
            <w:pPr>
              <w:spacing w:after="0"/>
              <w:rPr>
                <w:sz w:val="13"/>
                <w:szCs w:val="13"/>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41,827</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10,087</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987</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3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239</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140,331</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36,295</w:t>
            </w: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3,696</w:t>
            </w:r>
          </w:p>
        </w:tc>
        <w:tc>
          <w:tcPr>
            <w:tcW w:w="3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69"/>
        </w:trPr>
        <w:tc>
          <w:tcPr>
            <w:tcW w:w="1300" w:type="dxa"/>
            <w:vAlign w:val="bottom"/>
            <w:tcBorders>
              <w:bottom w:val="single" w:sz="8" w:color="auto"/>
            </w:tcBorders>
          </w:tcPr>
          <w:p>
            <w:pPr>
              <w:spacing w:after="0"/>
              <w:rPr>
                <w:sz w:val="5"/>
                <w:szCs w:val="5"/>
                <w:color w:val="auto"/>
              </w:rPr>
            </w:pPr>
          </w:p>
        </w:tc>
        <w:tc>
          <w:tcPr>
            <w:tcW w:w="350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00" w:hanging="313"/>
        <w:spacing w:after="0" w:line="276" w:lineRule="auto"/>
        <w:tabs>
          <w:tab w:leader="none" w:pos="1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“Total acreage” includes permitted acreage, expansion acreage, other acreage available for future disposal that has not been permitted, buffer land and other land owned or leased by our landfill operations.</w:t>
      </w:r>
    </w:p>
    <w:p>
      <w:pPr>
        <w:spacing w:after="0" w:line="10" w:lineRule="exact"/>
        <w:rPr>
          <w:rFonts w:ascii="Arial" w:cs="Arial" w:eastAsia="Arial" w:hAnsi="Arial"/>
          <w:sz w:val="13"/>
          <w:szCs w:val="13"/>
          <w:color w:val="auto"/>
        </w:rPr>
      </w:pPr>
    </w:p>
    <w:p>
      <w:pPr>
        <w:ind w:left="1000" w:hanging="313"/>
        <w:spacing w:after="0"/>
        <w:tabs>
          <w:tab w:leader="none" w:pos="1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“Permitted acreage” consists of all acreage at the landfill encompassed by an active permit to dispose of waste.</w:t>
      </w:r>
    </w:p>
    <w:p>
      <w:pPr>
        <w:spacing w:after="0" w:line="47" w:lineRule="exact"/>
        <w:rPr>
          <w:rFonts w:ascii="Arial" w:cs="Arial" w:eastAsia="Arial" w:hAnsi="Arial"/>
          <w:sz w:val="13"/>
          <w:szCs w:val="13"/>
          <w:color w:val="auto"/>
        </w:rPr>
      </w:pPr>
    </w:p>
    <w:p>
      <w:pPr>
        <w:ind w:left="1000" w:right="180" w:hanging="313"/>
        <w:spacing w:after="0" w:line="264" w:lineRule="auto"/>
        <w:tabs>
          <w:tab w:leader="none" w:pos="1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“Expansion acreage” consists of unpermitted acreage where the related expansion efforts meet our criteria to be included as expansion airspace. A discussion of the related criteria is included within the </w:t>
      </w:r>
      <w:r>
        <w:rPr>
          <w:rFonts w:ascii="Arial" w:cs="Arial" w:eastAsia="Arial" w:hAnsi="Arial"/>
          <w:sz w:val="13"/>
          <w:szCs w:val="13"/>
          <w:i w:val="1"/>
          <w:iCs w:val="1"/>
          <w:color w:val="auto"/>
        </w:rPr>
        <w:t>Management’s Discussion and Analysis of Financial Condition and Results of Operations — Critical Accounting Estimates and Assumptions</w:t>
      </w:r>
      <w:r>
        <w:rPr>
          <w:rFonts w:ascii="Arial" w:cs="Arial" w:eastAsia="Arial" w:hAnsi="Arial"/>
          <w:sz w:val="13"/>
          <w:szCs w:val="13"/>
          <w:color w:val="auto"/>
        </w:rPr>
        <w:t xml:space="preserve"> section included herein.</w:t>
      </w:r>
    </w:p>
    <w:p>
      <w:pPr>
        <w:spacing w:after="0" w:line="6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Information regarding our legal proceedings can be found under the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section of Note 10 in the Consolidated Financial Statements included in this report.</w:t>
      </w:r>
    </w:p>
    <w:p>
      <w:pPr>
        <w:spacing w:after="0" w:line="9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6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did not submit any matters to a vote of our stockholders during the fourth quarter of 2008.</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common stock is traded on the New York Stock Exchange (“NYSE”) under the symbol “WMI.” The following table sets forth the range of the high and low per share sales prices for our common stock as reported on the NYSE: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10"/>
                <w:szCs w:val="1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Low</w:t>
            </w: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38.70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32.56</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40.35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33.93</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40.80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33.94</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39.11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32.56</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2008</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34.64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28.10</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39.24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33.33</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31.05</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33.43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24.51</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2009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First Quarter (through February 12, 2009)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33.99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27.60</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On February 12, 2009, the closing sale price as reported on the NYSE was $29.26 per share. The number of holders of record of our common stock at February 12, 2009 was 14,899.</w:t>
      </w:r>
    </w:p>
    <w:p>
      <w:pPr>
        <w:spacing w:after="0" w:line="32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graph below shows the relative investment performance of Waste Management, Inc. common stock, the Dow Jones Waste &amp; Disposal Services Index and the S&amp;P 500 Index for the last five years, assuming reinvestment of dividends at date of payment into the common stock. The graph is presented pursuant to SEC rules and is not meant to be an indication of our future performance.</w:t>
      </w:r>
    </w:p>
    <w:p>
      <w:pPr>
        <w:spacing w:after="0" w:line="220" w:lineRule="exact"/>
        <w:rPr>
          <w:sz w:val="20"/>
          <w:szCs w:val="20"/>
          <w:color w:val="auto"/>
        </w:rPr>
      </w:pPr>
    </w:p>
    <w:p>
      <w:pPr>
        <w:ind w:left="4260"/>
        <w:spacing w:after="0"/>
        <w:rPr>
          <w:sz w:val="20"/>
          <w:szCs w:val="20"/>
          <w:color w:val="auto"/>
        </w:rPr>
      </w:pPr>
      <w:r>
        <w:rPr>
          <w:rFonts w:ascii="Arial" w:cs="Arial" w:eastAsia="Arial" w:hAnsi="Arial"/>
          <w:sz w:val="13"/>
          <w:szCs w:val="13"/>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119380</wp:posOffset>
            </wp:positionV>
            <wp:extent cx="4493895" cy="1997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9389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660" w:type="dxa"/>
            <w:vAlign w:val="bottom"/>
          </w:tcPr>
          <w:p>
            <w:pPr>
              <w:spacing w:after="0"/>
              <w:rPr>
                <w:sz w:val="10"/>
                <w:szCs w:val="10"/>
                <w:color w:val="auto"/>
              </w:rPr>
            </w:pPr>
          </w:p>
        </w:tc>
        <w:tc>
          <w:tcPr>
            <w:tcW w:w="1980" w:type="dxa"/>
            <w:vAlign w:val="bottom"/>
          </w:tcPr>
          <w:p>
            <w:pPr>
              <w:jc w:val="right"/>
              <w:ind w:right="139"/>
              <w:spacing w:after="0"/>
              <w:rPr>
                <w:sz w:val="20"/>
                <w:szCs w:val="20"/>
                <w:color w:val="auto"/>
              </w:rPr>
            </w:pPr>
            <w:r>
              <w:rPr>
                <w:rFonts w:ascii="Arial" w:cs="Arial" w:eastAsia="Arial" w:hAnsi="Arial"/>
                <w:sz w:val="9"/>
                <w:szCs w:val="9"/>
                <w:b w:val="1"/>
                <w:bCs w:val="1"/>
                <w:color w:val="auto"/>
              </w:rPr>
              <w:t>12/31/03</w:t>
            </w:r>
          </w:p>
        </w:tc>
        <w:tc>
          <w:tcPr>
            <w:tcW w:w="880" w:type="dxa"/>
            <w:vAlign w:val="bottom"/>
          </w:tcPr>
          <w:p>
            <w:pPr>
              <w:jc w:val="right"/>
              <w:ind w:right="139"/>
              <w:spacing w:after="0"/>
              <w:rPr>
                <w:sz w:val="20"/>
                <w:szCs w:val="20"/>
                <w:color w:val="auto"/>
              </w:rPr>
            </w:pPr>
            <w:r>
              <w:rPr>
                <w:rFonts w:ascii="Arial" w:cs="Arial" w:eastAsia="Arial" w:hAnsi="Arial"/>
                <w:sz w:val="9"/>
                <w:szCs w:val="9"/>
                <w:b w:val="1"/>
                <w:bCs w:val="1"/>
                <w:color w:val="auto"/>
              </w:rPr>
              <w:t>12/31/04</w:t>
            </w:r>
          </w:p>
        </w:tc>
        <w:tc>
          <w:tcPr>
            <w:tcW w:w="900" w:type="dxa"/>
            <w:vAlign w:val="bottom"/>
          </w:tcPr>
          <w:p>
            <w:pPr>
              <w:jc w:val="right"/>
              <w:ind w:right="139"/>
              <w:spacing w:after="0"/>
              <w:rPr>
                <w:sz w:val="20"/>
                <w:szCs w:val="20"/>
                <w:color w:val="auto"/>
              </w:rPr>
            </w:pPr>
            <w:r>
              <w:rPr>
                <w:rFonts w:ascii="Arial" w:cs="Arial" w:eastAsia="Arial" w:hAnsi="Arial"/>
                <w:sz w:val="9"/>
                <w:szCs w:val="9"/>
                <w:b w:val="1"/>
                <w:bCs w:val="1"/>
                <w:color w:val="auto"/>
              </w:rPr>
              <w:t>12/31/05</w:t>
            </w:r>
          </w:p>
        </w:tc>
        <w:tc>
          <w:tcPr>
            <w:tcW w:w="880" w:type="dxa"/>
            <w:vAlign w:val="bottom"/>
          </w:tcPr>
          <w:p>
            <w:pPr>
              <w:jc w:val="right"/>
              <w:ind w:right="139"/>
              <w:spacing w:after="0"/>
              <w:rPr>
                <w:sz w:val="20"/>
                <w:szCs w:val="20"/>
                <w:color w:val="auto"/>
              </w:rPr>
            </w:pPr>
            <w:r>
              <w:rPr>
                <w:rFonts w:ascii="Arial" w:cs="Arial" w:eastAsia="Arial" w:hAnsi="Arial"/>
                <w:sz w:val="9"/>
                <w:szCs w:val="9"/>
                <w:b w:val="1"/>
                <w:bCs w:val="1"/>
                <w:color w:val="auto"/>
              </w:rPr>
              <w:t>12/31/06</w:t>
            </w:r>
          </w:p>
        </w:tc>
        <w:tc>
          <w:tcPr>
            <w:tcW w:w="900" w:type="dxa"/>
            <w:vAlign w:val="bottom"/>
          </w:tcPr>
          <w:p>
            <w:pPr>
              <w:jc w:val="right"/>
              <w:ind w:right="159"/>
              <w:spacing w:after="0"/>
              <w:rPr>
                <w:sz w:val="20"/>
                <w:szCs w:val="20"/>
                <w:color w:val="auto"/>
              </w:rPr>
            </w:pPr>
            <w:r>
              <w:rPr>
                <w:rFonts w:ascii="Arial" w:cs="Arial" w:eastAsia="Arial" w:hAnsi="Arial"/>
                <w:sz w:val="9"/>
                <w:szCs w:val="9"/>
                <w:b w:val="1"/>
                <w:bCs w:val="1"/>
                <w:color w:val="auto"/>
              </w:rPr>
              <w:t>12/31/07</w:t>
            </w:r>
          </w:p>
        </w:tc>
        <w:tc>
          <w:tcPr>
            <w:tcW w:w="780" w:type="dxa"/>
            <w:vAlign w:val="bottom"/>
          </w:tcPr>
          <w:p>
            <w:pPr>
              <w:jc w:val="right"/>
              <w:ind w:right="19"/>
              <w:spacing w:after="0"/>
              <w:rPr>
                <w:sz w:val="20"/>
                <w:szCs w:val="20"/>
                <w:color w:val="auto"/>
              </w:rPr>
            </w:pPr>
            <w:r>
              <w:rPr>
                <w:rFonts w:ascii="Arial" w:cs="Arial" w:eastAsia="Arial" w:hAnsi="Arial"/>
                <w:sz w:val="9"/>
                <w:szCs w:val="9"/>
                <w:b w:val="1"/>
                <w:bCs w:val="1"/>
                <w:color w:val="auto"/>
              </w:rPr>
              <w:t>12/31/08</w:t>
            </w:r>
          </w:p>
        </w:tc>
      </w:tr>
      <w:tr>
        <w:trPr>
          <w:trHeight w:val="53"/>
        </w:trPr>
        <w:tc>
          <w:tcPr>
            <w:tcW w:w="36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57"/>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Inc.</w:t>
            </w:r>
          </w:p>
        </w:tc>
        <w:tc>
          <w:tcPr>
            <w:tcW w:w="198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$100</w:t>
            </w:r>
          </w:p>
        </w:tc>
        <w:tc>
          <w:tcPr>
            <w:tcW w:w="88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$104</w:t>
            </w: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rPr>
              <w:t>$108</w:t>
            </w:r>
          </w:p>
        </w:tc>
        <w:tc>
          <w:tcPr>
            <w:tcW w:w="88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$134</w:t>
            </w: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rPr>
              <w:t>$123</w:t>
            </w:r>
          </w:p>
        </w:tc>
        <w:tc>
          <w:tcPr>
            <w:tcW w:w="78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$128</w:t>
            </w:r>
          </w:p>
        </w:tc>
      </w:tr>
      <w:tr>
        <w:trPr>
          <w:trHeight w:val="157"/>
        </w:trPr>
        <w:tc>
          <w:tcPr>
            <w:tcW w:w="3660" w:type="dxa"/>
            <w:vAlign w:val="bottom"/>
          </w:tcPr>
          <w:p>
            <w:pPr>
              <w:spacing w:after="0"/>
              <w:rPr>
                <w:sz w:val="20"/>
                <w:szCs w:val="20"/>
                <w:color w:val="auto"/>
              </w:rPr>
            </w:pPr>
            <w:r>
              <w:rPr>
                <w:rFonts w:ascii="Arial" w:cs="Arial" w:eastAsia="Arial" w:hAnsi="Arial"/>
                <w:sz w:val="13"/>
                <w:szCs w:val="13"/>
                <w:color w:val="auto"/>
              </w:rPr>
              <w:t>S&amp;P 500 Index</w:t>
            </w:r>
          </w:p>
        </w:tc>
        <w:tc>
          <w:tcPr>
            <w:tcW w:w="1980" w:type="dxa"/>
            <w:vAlign w:val="bottom"/>
          </w:tcPr>
          <w:p>
            <w:pPr>
              <w:jc w:val="right"/>
              <w:ind w:right="359"/>
              <w:spacing w:after="0"/>
              <w:rPr>
                <w:sz w:val="20"/>
                <w:szCs w:val="20"/>
                <w:color w:val="auto"/>
              </w:rPr>
            </w:pPr>
            <w:r>
              <w:rPr>
                <w:rFonts w:ascii="Arial" w:cs="Arial" w:eastAsia="Arial" w:hAnsi="Arial"/>
                <w:sz w:val="13"/>
                <w:szCs w:val="13"/>
                <w:color w:val="auto"/>
              </w:rPr>
              <w:t>$100</w:t>
            </w:r>
          </w:p>
        </w:tc>
        <w:tc>
          <w:tcPr>
            <w:tcW w:w="880" w:type="dxa"/>
            <w:vAlign w:val="bottom"/>
          </w:tcPr>
          <w:p>
            <w:pPr>
              <w:jc w:val="right"/>
              <w:ind w:right="359"/>
              <w:spacing w:after="0"/>
              <w:rPr>
                <w:sz w:val="20"/>
                <w:szCs w:val="20"/>
                <w:color w:val="auto"/>
              </w:rPr>
            </w:pPr>
            <w:r>
              <w:rPr>
                <w:rFonts w:ascii="Arial" w:cs="Arial" w:eastAsia="Arial" w:hAnsi="Arial"/>
                <w:sz w:val="13"/>
                <w:szCs w:val="13"/>
                <w:color w:val="auto"/>
              </w:rPr>
              <w:t>$111</w:t>
            </w:r>
          </w:p>
        </w:tc>
        <w:tc>
          <w:tcPr>
            <w:tcW w:w="900" w:type="dxa"/>
            <w:vAlign w:val="bottom"/>
          </w:tcPr>
          <w:p>
            <w:pPr>
              <w:jc w:val="right"/>
              <w:ind w:right="379"/>
              <w:spacing w:after="0"/>
              <w:rPr>
                <w:sz w:val="20"/>
                <w:szCs w:val="20"/>
                <w:color w:val="auto"/>
              </w:rPr>
            </w:pPr>
            <w:r>
              <w:rPr>
                <w:rFonts w:ascii="Arial" w:cs="Arial" w:eastAsia="Arial" w:hAnsi="Arial"/>
                <w:sz w:val="13"/>
                <w:szCs w:val="13"/>
                <w:color w:val="auto"/>
              </w:rPr>
              <w:t>$116</w:t>
            </w:r>
          </w:p>
        </w:tc>
        <w:tc>
          <w:tcPr>
            <w:tcW w:w="880" w:type="dxa"/>
            <w:vAlign w:val="bottom"/>
          </w:tcPr>
          <w:p>
            <w:pPr>
              <w:jc w:val="right"/>
              <w:ind w:right="359"/>
              <w:spacing w:after="0"/>
              <w:rPr>
                <w:sz w:val="20"/>
                <w:szCs w:val="20"/>
                <w:color w:val="auto"/>
              </w:rPr>
            </w:pPr>
            <w:r>
              <w:rPr>
                <w:rFonts w:ascii="Arial" w:cs="Arial" w:eastAsia="Arial" w:hAnsi="Arial"/>
                <w:sz w:val="13"/>
                <w:szCs w:val="13"/>
                <w:color w:val="auto"/>
              </w:rPr>
              <w:t>$135</w:t>
            </w:r>
          </w:p>
        </w:tc>
        <w:tc>
          <w:tcPr>
            <w:tcW w:w="900" w:type="dxa"/>
            <w:vAlign w:val="bottom"/>
          </w:tcPr>
          <w:p>
            <w:pPr>
              <w:jc w:val="right"/>
              <w:ind w:right="379"/>
              <w:spacing w:after="0"/>
              <w:rPr>
                <w:sz w:val="20"/>
                <w:szCs w:val="20"/>
                <w:color w:val="auto"/>
              </w:rPr>
            </w:pPr>
            <w:r>
              <w:rPr>
                <w:rFonts w:ascii="Arial" w:cs="Arial" w:eastAsia="Arial" w:hAnsi="Arial"/>
                <w:sz w:val="13"/>
                <w:szCs w:val="13"/>
                <w:color w:val="auto"/>
              </w:rPr>
              <w:t>$142</w:t>
            </w:r>
          </w:p>
        </w:tc>
        <w:tc>
          <w:tcPr>
            <w:tcW w:w="780" w:type="dxa"/>
            <w:vAlign w:val="bottom"/>
          </w:tcPr>
          <w:p>
            <w:pPr>
              <w:jc w:val="right"/>
              <w:ind w:right="239"/>
              <w:spacing w:after="0"/>
              <w:rPr>
                <w:sz w:val="20"/>
                <w:szCs w:val="20"/>
                <w:color w:val="auto"/>
              </w:rPr>
            </w:pPr>
            <w:r>
              <w:rPr>
                <w:rFonts w:ascii="Arial" w:cs="Arial" w:eastAsia="Arial" w:hAnsi="Arial"/>
                <w:sz w:val="13"/>
                <w:szCs w:val="13"/>
                <w:color w:val="auto"/>
              </w:rPr>
              <w:t>$ 90</w:t>
            </w:r>
          </w:p>
        </w:tc>
      </w:tr>
      <w:tr>
        <w:trPr>
          <w:trHeight w:val="157"/>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Dow Jones Waste &amp; Disposal Services Index</w:t>
            </w:r>
          </w:p>
        </w:tc>
        <w:tc>
          <w:tcPr>
            <w:tcW w:w="198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$100</w:t>
            </w:r>
          </w:p>
        </w:tc>
        <w:tc>
          <w:tcPr>
            <w:tcW w:w="88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$103</w:t>
            </w: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rPr>
              <w:t>$110</w:t>
            </w:r>
          </w:p>
        </w:tc>
        <w:tc>
          <w:tcPr>
            <w:tcW w:w="880" w:type="dxa"/>
            <w:vAlign w:val="bottom"/>
            <w:shd w:val="clear" w:color="auto" w:fill="CCEEFF"/>
          </w:tcPr>
          <w:p>
            <w:pPr>
              <w:jc w:val="right"/>
              <w:ind w:right="359"/>
              <w:spacing w:after="0"/>
              <w:rPr>
                <w:sz w:val="20"/>
                <w:szCs w:val="20"/>
                <w:color w:val="auto"/>
              </w:rPr>
            </w:pPr>
            <w:r>
              <w:rPr>
                <w:rFonts w:ascii="Arial" w:cs="Arial" w:eastAsia="Arial" w:hAnsi="Arial"/>
                <w:sz w:val="13"/>
                <w:szCs w:val="13"/>
                <w:color w:val="auto"/>
              </w:rPr>
              <w:t>$135</w:t>
            </w:r>
          </w:p>
        </w:tc>
        <w:tc>
          <w:tcPr>
            <w:tcW w:w="900" w:type="dxa"/>
            <w:vAlign w:val="bottom"/>
            <w:shd w:val="clear" w:color="auto" w:fill="CCEEFF"/>
          </w:tcPr>
          <w:p>
            <w:pPr>
              <w:jc w:val="right"/>
              <w:ind w:right="379"/>
              <w:spacing w:after="0"/>
              <w:rPr>
                <w:sz w:val="20"/>
                <w:szCs w:val="20"/>
                <w:color w:val="auto"/>
              </w:rPr>
            </w:pPr>
            <w:r>
              <w:rPr>
                <w:rFonts w:ascii="Arial" w:cs="Arial" w:eastAsia="Arial" w:hAnsi="Arial"/>
                <w:sz w:val="13"/>
                <w:szCs w:val="13"/>
                <w:color w:val="auto"/>
              </w:rPr>
              <w:t>$141</w:t>
            </w:r>
          </w:p>
        </w:tc>
        <w:tc>
          <w:tcPr>
            <w:tcW w:w="78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-330200</wp:posOffset>
            </wp:positionV>
            <wp:extent cx="635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-330200</wp:posOffset>
            </wp:positionV>
            <wp:extent cx="635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4805045</wp:posOffset>
            </wp:positionH>
            <wp:positionV relativeFrom="paragraph">
              <wp:posOffset>-330200</wp:posOffset>
            </wp:positionV>
            <wp:extent cx="635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-330200</wp:posOffset>
            </wp:positionV>
            <wp:extent cx="635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-330200</wp:posOffset>
            </wp:positionV>
            <wp:extent cx="635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-330200</wp:posOffset>
            </wp:positionV>
            <wp:extent cx="635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6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October 2004, we announced that our Board of Directors approved a capital allocation program authorizing up to $1.2 billion of stock repurchases and dividend payments annually for each of 2005, 2006 and 2007. In December 2007, we announced that our Board of Directors had approved a capital allocation plan for 2008 that authorized up to $1.4 billion of stock repurchases and dividends. Under these programs we paid quarterly cash dividends of $0.22 per share for a total of $476 million in 2006; $0.24 per share for a total of $495 million in 2007; and $0.27 per share for a total of $531 million in 2008.</w:t>
      </w:r>
    </w:p>
    <w:p>
      <w:pPr>
        <w:spacing w:after="0" w:line="70"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We repurchased 31 million shares of our common stock for $1,072 million in 2006; 40 million shares of our common stock for $1,421 million in 2007; and 12 million shares of our common stock for $410 million in 2008. Our share repurchases in each year have been pursuant to Board authorized capital allocation programs, which were modified in both 2006 and 2007 by our Board of Directors to increase the amount of capital authorized for share repurchases by $350 million and $900 million, respectively. In 2008, all of our common stock repurchases occurred between January and July. In July 2008, we suspended our repurchases in connection with our proposal to acquire all of the outstanding stock of Republic Services, Inc., and when the proposal was withdrawn in October 2008, we determined that, given the state of the financial markets, it would be prudent to suspend repurchases for the foreseeable future. As a result, there are no repurchases to report for the three months ended December 31, 2008 and the repurchases made during 2008 are significantly less than that which was authorized.</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right="800" w:firstLine="399"/>
        <w:spacing w:after="0" w:line="334" w:lineRule="auto"/>
        <w:rPr>
          <w:sz w:val="20"/>
          <w:szCs w:val="20"/>
          <w:color w:val="auto"/>
        </w:rPr>
      </w:pPr>
      <w:r>
        <w:rPr>
          <w:rFonts w:ascii="Arial" w:cs="Arial" w:eastAsia="Arial" w:hAnsi="Arial"/>
          <w:sz w:val="11"/>
          <w:szCs w:val="11"/>
          <w:color w:val="auto"/>
        </w:rPr>
        <w:t>The information below was derived from the audited Consolidated Financial Statements included in this report and in previous annual reports we filed with the SEC. This information should be read together with those Consolidated Financial Statements and the notes thereto. The adoption of new accounting pronouncements, changes in certain accounting policies and certain reclassifications impact the comparability of the financial information presented below. These historical results are not necessarily indicative of the results to be expected in the future.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w w:val="93"/>
              </w:rPr>
              <w:t>Years Ended December 31,</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rPr>
              <w:t>2008(a)</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2007(a)</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2006(a)</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5"/>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w w:val="88"/>
              </w:rPr>
              <w:t>millions,</w:t>
            </w:r>
          </w:p>
        </w:tc>
        <w:tc>
          <w:tcPr>
            <w:tcW w:w="1160" w:type="dxa"/>
            <w:vAlign w:val="bottom"/>
            <w:gridSpan w:val="4"/>
          </w:tcPr>
          <w:p>
            <w:pPr>
              <w:spacing w:after="0"/>
              <w:rPr>
                <w:sz w:val="20"/>
                <w:szCs w:val="20"/>
                <w:color w:val="auto"/>
              </w:rPr>
            </w:pPr>
            <w:r>
              <w:rPr>
                <w:rFonts w:ascii="Arial" w:cs="Arial" w:eastAsia="Arial" w:hAnsi="Arial"/>
                <w:sz w:val="10"/>
                <w:szCs w:val="10"/>
                <w:b w:val="1"/>
                <w:bCs w:val="1"/>
                <w:color w:val="auto"/>
                <w:w w:val="89"/>
              </w:rPr>
              <w:t>except per share amounts)</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Operating revenues</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13,388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13,310</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13,363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13,074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12,516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7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Operating</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8,466</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8,402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8,587</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8,631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8,228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Selling, general and administrative</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1,477</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1,432</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1,388</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1,276</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1,238</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1,259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1,334</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1,361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Restructuring</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(47)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25</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11,154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11,056</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11,334</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11,364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2,234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2,254</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2,029</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1,710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Other expense, net</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(478)</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(555)</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(618)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Income before income taxes and accounting changes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1,756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1,703</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1,474</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1,092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325</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Income before accounting changes</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1,087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1,163</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1,149</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1,182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Accounting changes, net of taxes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1,087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1,163</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1,149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1,182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7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Income before accounting changes</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2.21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2.25</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2.13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2.11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Accounting changes, net of taxes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ind w:left="140"/>
              <w:spacing w:after="0"/>
              <w:rPr>
                <w:sz w:val="20"/>
                <w:szCs w:val="20"/>
                <w:color w:val="auto"/>
              </w:rPr>
            </w:pPr>
            <w:r>
              <w:rPr>
                <w:rFonts w:ascii="Arial" w:cs="Arial" w:eastAsia="Arial" w:hAnsi="Arial"/>
                <w:sz w:val="13"/>
                <w:szCs w:val="13"/>
                <w:color w:val="auto"/>
              </w:rPr>
              <w:t>Net income</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2.21</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2.25</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2.13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2.11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7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ind w:left="140"/>
              <w:spacing w:after="0"/>
              <w:rPr>
                <w:sz w:val="20"/>
                <w:szCs w:val="20"/>
                <w:color w:val="auto"/>
              </w:rPr>
            </w:pPr>
            <w:r>
              <w:rPr>
                <w:rFonts w:ascii="Arial" w:cs="Arial" w:eastAsia="Arial" w:hAnsi="Arial"/>
                <w:sz w:val="13"/>
                <w:szCs w:val="13"/>
                <w:color w:val="auto"/>
              </w:rPr>
              <w:t>Income before accounting changes</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2.19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2.23</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2.10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Accounting changes, net of taxes</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40" w:type="dxa"/>
            <w:vAlign w:val="bottom"/>
            <w:vMerge w:val="restart"/>
          </w:tcPr>
          <w:p>
            <w:pPr>
              <w:ind w:left="140"/>
              <w:spacing w:after="0"/>
              <w:rPr>
                <w:sz w:val="20"/>
                <w:szCs w:val="20"/>
                <w:color w:val="auto"/>
              </w:rPr>
            </w:pPr>
            <w:r>
              <w:rPr>
                <w:rFonts w:ascii="Arial" w:cs="Arial" w:eastAsia="Arial" w:hAnsi="Arial"/>
                <w:sz w:val="13"/>
                <w:szCs w:val="13"/>
                <w:color w:val="auto"/>
              </w:rPr>
              <w:t>Net income</w:t>
            </w: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2.19</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2.23</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2.10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w w:val="98"/>
              </w:rPr>
              <w:t>Cash dividends declared per common share (2005 includes $0.22 paid in 2006)</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0.96</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540" w:type="dxa"/>
            <w:vAlign w:val="bottom"/>
            <w:vMerge w:val="restart"/>
          </w:tcPr>
          <w:p>
            <w:pPr>
              <w:spacing w:after="0"/>
              <w:rPr>
                <w:sz w:val="20"/>
                <w:szCs w:val="20"/>
                <w:color w:val="auto"/>
              </w:rPr>
            </w:pPr>
            <w:r>
              <w:rPr>
                <w:rFonts w:ascii="Arial" w:cs="Arial" w:eastAsia="Arial" w:hAnsi="Arial"/>
                <w:sz w:val="13"/>
                <w:szCs w:val="13"/>
                <w:color w:val="auto"/>
              </w:rPr>
              <w:t>Cash dividends paid</w:t>
            </w: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80" w:type="dxa"/>
            <w:vAlign w:val="bottom"/>
          </w:tcPr>
          <w:p>
            <w:pPr>
              <w:spacing w:after="0"/>
              <w:rPr>
                <w:sz w:val="15"/>
                <w:szCs w:val="15"/>
                <w:color w:val="auto"/>
              </w:rPr>
            </w:pPr>
          </w:p>
        </w:tc>
        <w:tc>
          <w:tcPr>
            <w:tcW w:w="45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1.08</w:t>
            </w:r>
          </w:p>
        </w:tc>
        <w:tc>
          <w:tcPr>
            <w:tcW w:w="4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0.96</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0.88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0.80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0.75</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Sheet Data (at end of period):</w:t>
            </w:r>
          </w:p>
        </w:tc>
        <w:tc>
          <w:tcPr>
            <w:tcW w:w="7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Working capital (deficit)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(701)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(118)</w:t>
            </w:r>
          </w:p>
        </w:tc>
        <w:tc>
          <w:tcPr>
            <w:tcW w:w="440" w:type="dxa"/>
            <w:vAlign w:val="bottom"/>
            <w:gridSpan w:val="2"/>
          </w:tcPr>
          <w:p>
            <w:pPr>
              <w:ind w:left="36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(86)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194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Goodwill and other intangible assets, net</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5,620</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5,530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5,413</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5,514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Total assets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20,227</w:t>
            </w: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20,175</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20,600</w:t>
            </w:r>
          </w:p>
        </w:tc>
        <w:tc>
          <w:tcPr>
            <w:tcW w:w="1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21,135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20,905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Debt, including current portion</w:t>
            </w: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8,326</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8,337</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8,317</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8,687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Arial" w:cs="Arial" w:eastAsia="Arial" w:hAnsi="Arial"/>
                <w:sz w:val="13"/>
                <w:szCs w:val="13"/>
                <w:color w:val="auto"/>
              </w:rPr>
              <w:t>Stockholders’ equity</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5,902</w:t>
            </w: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5,792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6,222</w:t>
            </w:r>
          </w:p>
        </w:tc>
        <w:tc>
          <w:tcPr>
            <w:tcW w:w="16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color w:val="auto"/>
              </w:rPr>
              <w:t>6,121</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5,971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60" w:type="dxa"/>
            <w:vAlign w:val="bottom"/>
          </w:tcPr>
          <w:p>
            <w:pPr>
              <w:jc w:val="right"/>
              <w:ind w:right="174"/>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160" w:hanging="313"/>
        <w:spacing w:after="0" w:line="264" w:lineRule="auto"/>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 xml:space="preserve">For more information regarding these financial data, see the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section included in this report. For disclosures associated with the impact of the adoption of new accounting pronouncements and changes in our accounting policies on the comparability of this information, see Note 2 of the Consolidated Financial Statements.</w:t>
      </w:r>
    </w:p>
    <w:p>
      <w:pPr>
        <w:spacing w:after="0" w:line="14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 xml:space="preserve">This section includes a discussion of our operations for the three years ended December 31, 2008. This discussion may contain forward-looking statements that anticipate results based on management’s plans that are subject to uncertainty. We discuss in more detail various factors that could cause actual results to differ from expectations in Item 1A, </w:t>
      </w:r>
      <w:r>
        <w:rPr>
          <w:rFonts w:ascii="Arial" w:cs="Arial" w:eastAsia="Arial" w:hAnsi="Arial"/>
          <w:sz w:val="12"/>
          <w:szCs w:val="12"/>
          <w:i w:val="1"/>
          <w:iCs w:val="1"/>
          <w:color w:val="auto"/>
        </w:rPr>
        <w:t>Risk Factors</w:t>
      </w:r>
      <w:r>
        <w:rPr>
          <w:rFonts w:ascii="Arial" w:cs="Arial" w:eastAsia="Arial" w:hAnsi="Arial"/>
          <w:sz w:val="12"/>
          <w:szCs w:val="12"/>
          <w:color w:val="auto"/>
        </w:rPr>
        <w:t>. The following discussion should be read in light of that disclosure and together with the Consolidated Financial Statements and the notes to the Consolidated Financial Statements.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In 2008, we saw significant changes in the environment in which we operate, including severe economic uncertainty, increasing market volatility and continued tightening of credit markets, as well as a merger of two of the largest industry competitors. The market conditions in 2008 contributed to record high fuel and commodity prices during most of the year and nearly unprecedented drops in these commodity prices in the second half of the year. We often note that we are a recession resilient industry, but in challenging economic times, reduced consumer and business spending means less waste is being produced. Additionally, businesses across the country are experiencing slower demands for their products and services and a tightening of the credit markets, which makes it more difficult for many of our customers to pay their bills, leading to decreases in the services they request and, in some cases, cancelling our services all together.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Against this backdrop, we believe that our results of operations show just how successful we have been in improving our business. The highlights in 2008 include:</w:t>
      </w:r>
    </w:p>
    <w:p>
      <w:pPr>
        <w:spacing w:after="0" w:line="96"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 increase in revenues of $78 million in 2008 as compared with the prior year, driven by internal revenue growth on base business due to yield of 2.8%;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Income from operations as a percentage of revenue of 16.7% in 2008 as compared with 16.9% in 2007, in spite of:</w:t>
      </w:r>
    </w:p>
    <w:p>
      <w:pPr>
        <w:spacing w:after="0" w:line="96" w:lineRule="exact"/>
        <w:rPr>
          <w:rFonts w:ascii="Arial" w:cs="Arial" w:eastAsia="Arial" w:hAnsi="Arial"/>
          <w:sz w:val="13"/>
          <w:szCs w:val="13"/>
          <w:color w:val="auto"/>
        </w:rPr>
      </w:pPr>
    </w:p>
    <w:p>
      <w:pPr>
        <w:ind w:left="1500" w:hanging="214"/>
        <w:spacing w:after="0"/>
        <w:tabs>
          <w:tab w:leader="none" w:pos="1500" w:val="left"/>
        </w:tabs>
        <w:numPr>
          <w:ilvl w:val="1"/>
          <w:numId w:val="15"/>
        </w:numPr>
        <w:rPr>
          <w:rFonts w:ascii="Arial" w:cs="Arial" w:eastAsia="Arial" w:hAnsi="Arial"/>
          <w:sz w:val="13"/>
          <w:szCs w:val="13"/>
          <w:color w:val="auto"/>
        </w:rPr>
      </w:pPr>
      <w:r>
        <w:rPr>
          <w:rFonts w:ascii="Arial" w:cs="Arial" w:eastAsia="Arial" w:hAnsi="Arial"/>
          <w:sz w:val="13"/>
          <w:szCs w:val="13"/>
          <w:color w:val="auto"/>
        </w:rPr>
        <w:t>the dislocation in the recycling commodities markets experienced during the fourth quarter of 2008;</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15"/>
        </w:numPr>
        <w:rPr>
          <w:rFonts w:ascii="Arial" w:cs="Arial" w:eastAsia="Arial" w:hAnsi="Arial"/>
          <w:sz w:val="13"/>
          <w:szCs w:val="13"/>
          <w:color w:val="auto"/>
        </w:rPr>
      </w:pPr>
      <w:r>
        <w:rPr>
          <w:rFonts w:ascii="Arial" w:cs="Arial" w:eastAsia="Arial" w:hAnsi="Arial"/>
          <w:sz w:val="13"/>
          <w:szCs w:val="13"/>
          <w:color w:val="auto"/>
        </w:rPr>
        <w:t>sharply higher fuel costs throughout most of 2008;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15"/>
        </w:numPr>
        <w:rPr>
          <w:rFonts w:ascii="Arial" w:cs="Arial" w:eastAsia="Arial" w:hAnsi="Arial"/>
          <w:sz w:val="13"/>
          <w:szCs w:val="13"/>
          <w:color w:val="auto"/>
        </w:rPr>
      </w:pPr>
      <w:r>
        <w:rPr>
          <w:rFonts w:ascii="Arial" w:cs="Arial" w:eastAsia="Arial" w:hAnsi="Arial"/>
          <w:sz w:val="13"/>
          <w:szCs w:val="13"/>
          <w:color w:val="auto"/>
        </w:rPr>
        <w:t>higher operating expenses in the current year for non-recurring items, including</w:t>
      </w:r>
    </w:p>
    <w:p>
      <w:pPr>
        <w:spacing w:after="0" w:line="96" w:lineRule="exact"/>
        <w:rPr>
          <w:rFonts w:ascii="Arial" w:cs="Arial" w:eastAsia="Arial" w:hAnsi="Arial"/>
          <w:sz w:val="13"/>
          <w:szCs w:val="13"/>
          <w:color w:val="auto"/>
        </w:rPr>
      </w:pPr>
    </w:p>
    <w:p>
      <w:pPr>
        <w:ind w:left="1880" w:right="80" w:hanging="387"/>
        <w:spacing w:after="0" w:line="276" w:lineRule="auto"/>
        <w:tabs>
          <w:tab w:leader="none" w:pos="1880" w:val="left"/>
        </w:tabs>
        <w:numPr>
          <w:ilvl w:val="2"/>
          <w:numId w:val="15"/>
        </w:numPr>
        <w:rPr>
          <w:rFonts w:ascii="Arial" w:cs="Arial" w:eastAsia="Arial" w:hAnsi="Arial"/>
          <w:sz w:val="13"/>
          <w:szCs w:val="13"/>
          <w:color w:val="auto"/>
        </w:rPr>
      </w:pPr>
      <w:r>
        <w:rPr>
          <w:rFonts w:ascii="Arial" w:cs="Arial" w:eastAsia="Arial" w:hAnsi="Arial"/>
          <w:sz w:val="13"/>
          <w:szCs w:val="13"/>
          <w:color w:val="auto"/>
        </w:rPr>
        <w:t>a $33 million non-cash charge for an increase in the estimated present value of recorded obligations for environmental remediation liabilities due to a sharp decline in risk-free interest rates at year-end; and</w:t>
      </w:r>
    </w:p>
    <w:p>
      <w:pPr>
        <w:spacing w:after="0" w:line="49" w:lineRule="exact"/>
        <w:rPr>
          <w:rFonts w:ascii="Arial" w:cs="Arial" w:eastAsia="Arial" w:hAnsi="Arial"/>
          <w:sz w:val="13"/>
          <w:szCs w:val="13"/>
          <w:color w:val="auto"/>
        </w:rPr>
      </w:pPr>
    </w:p>
    <w:p>
      <w:pPr>
        <w:ind w:left="1880" w:right="300" w:hanging="387"/>
        <w:spacing w:after="0" w:line="276" w:lineRule="auto"/>
        <w:tabs>
          <w:tab w:leader="none" w:pos="1880" w:val="left"/>
        </w:tabs>
        <w:numPr>
          <w:ilvl w:val="2"/>
          <w:numId w:val="15"/>
        </w:numPr>
        <w:rPr>
          <w:rFonts w:ascii="Arial" w:cs="Arial" w:eastAsia="Arial" w:hAnsi="Arial"/>
          <w:sz w:val="13"/>
          <w:szCs w:val="13"/>
          <w:color w:val="auto"/>
        </w:rPr>
      </w:pPr>
      <w:r>
        <w:rPr>
          <w:rFonts w:ascii="Arial" w:cs="Arial" w:eastAsia="Arial" w:hAnsi="Arial"/>
          <w:sz w:val="13"/>
          <w:szCs w:val="13"/>
          <w:color w:val="auto"/>
        </w:rPr>
        <w:t>$50 million of costs associated with labor related matters, which were primarily for the withdrawal of certain collective bargaining units from underfunded multi-employer pension funds, compared with $33 million of costs incurred for labor disruptions in 2007;</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Strong and consistent diluted earnings per share, which was $2.19 in 2008 compared with $2.23 in 2007;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 increase in cash flow generated from operating activities of 5.6%, from $2,439 million in 2007 to $2,575 million in 2008.</w:t>
      </w:r>
    </w:p>
    <w:p>
      <w:pPr>
        <w:spacing w:after="0" w:line="96"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We experienced revenue increases during each of the first three quarters of 2008 as compared with 2007, followed by a significant decline in revenues in the fourth quarter caused primarily by the effect of the recycling commodities markets and the decrease in revenues from our fuel surcharge program. Our pricing program, which focuses on ensuring that we receive appropriate pricing for all of our services, continued to provide significant increases in our revenues from base business yield during 2008, reflecting our commitment to pricing discipline</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despite the economic environment. We are committed to our pricing excellence program, and do not intend to take volumes at prices that do not cover our costs and provide strong operating margins.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operating costs increased by $64 million, or less than one percent, in 2008 as compared with 2007. The largest contributors to the increase were the result of conditions discussed above. The negative effect of these cost increases was offset, in part, by benefits from our focus on operating efficiencies, managing fixed costs and reducing variable costs as our volumes decline due to (i) the slowdown in the economy; (ii) our pricing program; and (iii) divestitures.</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Our selling, general and administrative expenses increased by $45 million, or 3.1%, in 2008 as compared with 2007. The increase is largely attributable to increased labor costs as a result of merit increases, headcount increases, higher compensation costs associated with our equity-based compensation program for our senior employees, and higher insurance and benefit costs. We have also seen an increase in bad debt expense as a result of the weakened economy. Finally, we have incurred significant costs for our business development initiatives, which are focused on gaining new customers and entering new lines of business that are complementary to our core operations. These are costs that we believe are necessary to position Waste Management as a leading environmental solutions provider.</w:t>
      </w:r>
    </w:p>
    <w:p>
      <w:pPr>
        <w:spacing w:after="0" w:line="71"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As is our practice, we are including free cash flow, which is a non-GAAP measure of liquidity, in our disclosures because we use this measure in the evaluation and management of our business. We also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greater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calculate free cash flow as shown in the table below (in millions), which may not be the same as similarly titled measures presented by other companies:</w:t>
      </w:r>
    </w:p>
    <w:p>
      <w:pPr>
        <w:spacing w:after="0" w:line="98" w:lineRule="exact"/>
        <w:rPr>
          <w:sz w:val="20"/>
          <w:szCs w:val="20"/>
          <w:color w:val="auto"/>
        </w:rPr>
      </w:pPr>
    </w:p>
    <w:p>
      <w:pPr>
        <w:ind w:left="9500"/>
        <w:spacing w:after="0"/>
        <w:rPr>
          <w:sz w:val="20"/>
          <w:szCs w:val="20"/>
          <w:color w:val="auto"/>
        </w:rPr>
      </w:pPr>
      <w:r>
        <w:rPr>
          <w:rFonts w:ascii="Arial" w:cs="Arial" w:eastAsia="Arial" w:hAnsi="Arial"/>
          <w:sz w:val="10"/>
          <w:szCs w:val="10"/>
          <w:b w:val="1"/>
          <w:bCs w:val="1"/>
          <w:color w:val="auto"/>
        </w:rPr>
        <w:t>Years Ended</w:t>
      </w:r>
    </w:p>
    <w:p>
      <w:pPr>
        <w:spacing w:after="0" w:line="3" w:lineRule="exact"/>
        <w:rPr>
          <w:sz w:val="20"/>
          <w:szCs w:val="20"/>
          <w:color w:val="auto"/>
        </w:rPr>
      </w:pPr>
    </w:p>
    <w:p>
      <w:pPr>
        <w:ind w:left="9480"/>
        <w:spacing w:after="0"/>
        <w:rPr>
          <w:sz w:val="20"/>
          <w:szCs w:val="20"/>
          <w:color w:val="auto"/>
        </w:rPr>
      </w:pPr>
      <w:r>
        <w:rPr>
          <w:rFonts w:ascii="Arial" w:cs="Arial" w:eastAsia="Arial" w:hAnsi="Arial"/>
          <w:sz w:val="10"/>
          <w:szCs w:val="10"/>
          <w:b w:val="1"/>
          <w:bCs w:val="1"/>
          <w:color w:val="auto"/>
        </w:rPr>
        <w:t>December 31,</w:t>
      </w:r>
    </w:p>
    <w:tbl>
      <w:tblPr>
        <w:tblLayout w:type="fixed"/>
        <w:tblInd w:w="680" w:type="dxa"/>
        <w:tblCellMar>
          <w:top w:w="0" w:type="dxa"/>
          <w:left w:w="0" w:type="dxa"/>
          <w:bottom w:w="0" w:type="dxa"/>
          <w:right w:w="0" w:type="dxa"/>
        </w:tblCellMar>
      </w:tblPr>
      <w:tr>
        <w:trPr>
          <w:trHeight w:val="98"/>
        </w:trPr>
        <w:tc>
          <w:tcPr>
            <w:tcW w:w="83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2,439</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Capital expenditures</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(1,221)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(1,211)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1,466</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1,506</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Our free cash flow in 2008 exceeded the $1.4 billion we targeted for the year, which we believe is indicative of our continued ability to generate strong cash flow from our operations even in a challenging economic environment. The decrease in our free cash flow when comparing 2008 with 2007 is due to decreased proceeds from divestitures, which is largely a result of having fewer underperforming operations to sell as part of our fix-or-seek-exit initiative, offset in large part by growth in our net cash provided by operating activities.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Outlook</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In 2008, we experienced challenges associated with changing market conditions, which caused significant volatility in fuel and recyclable commodity prices, and the tightening of the economy, which has put negative pressure on both consumer and business spending, resulting in less consumption and waste produced. However, we are encouraged that our 2008 results demonstrate that the cornerstones of our business are resilient in a difficult economic environment. We believe we are well positioned to weather the current economic downturn. In 2009, we will focus on (i) ensuring that we are operating efficiently; and (ii) generating strong and consistent free cash flow.</w:t>
      </w:r>
    </w:p>
    <w:p>
      <w:pPr>
        <w:spacing w:after="0" w:line="70"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In February 2009, we announced that we are taking steps to further streamline our organization by consolidating many of our Market Areas. As a result of our restructuring, the 45 separate Market Areas that we previously operated have been consolidated into 25 Areas. We currently estimate that this restructuring will eliminate over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64" w:lineRule="auto"/>
        <w:rPr>
          <w:sz w:val="20"/>
          <w:szCs w:val="20"/>
          <w:color w:val="auto"/>
        </w:rPr>
      </w:pPr>
      <w:r>
        <w:rPr>
          <w:rFonts w:ascii="Arial" w:cs="Arial" w:eastAsia="Arial" w:hAnsi="Arial"/>
          <w:sz w:val="13"/>
          <w:szCs w:val="13"/>
          <w:color w:val="auto"/>
        </w:rPr>
        <w:t>1,000 employee positions throughout the Company and result in a restructuring charge of between $40 million and $50 million. We expect to recognize most of this charge during the first quarter of 2009. This realignment is the next step in our efforts to lower costs and further standardize processes and improve productivity, and we currently estimate that it will provide annualized cost savings in excess of $100 million.</w:t>
      </w:r>
    </w:p>
    <w:p>
      <w:pPr>
        <w:spacing w:after="0" w:line="67"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Although we expect that our net cash provided by operating activities may be negatively affected by general economic conditions, we believe that we will continue to generate strong cash flow from operations, which, along with our available cash, will provide sufficient liquidity to allow us to return value to our shareholders. Our 2009 capital allocation program provides for up to $1.3 billion in aggregate dividend payments, share repurchases, acquisitions and debt reductions. In 2009, we have significant debt repayment obligations, and while we currently intend to refinance a significant portion of the required repayments on a long-term basis, it is possible that we may not have access to the credit markets on acceptable terms. If the credit markets are not available to us, or are not available on terms we deem acceptable, we expect to rely on our available cash, our existing credit facility and the cash we generate from our operations to meet our debt repayment and other obligations. Our discretionary spending includes acquisitions of assets and businesses, dividends, repurchases of our common stock and certain capital expenditures. To the extent operating cash flows decline or are needed to support our debt repayment obligations, we have the ability to reduce our discretionary spending and still deliver superior service to our customers and a strong financial performance for our stockholders.</w:t>
      </w:r>
    </w:p>
    <w:p>
      <w:pPr>
        <w:spacing w:after="0" w:line="5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Over the years, the recyclables that we process have been subject to significant market price fluctuations, and in the first three quarters of 2008, increases in the prices of recycling commodities contributed to our revenue growth, margin expansion and earnings. However, our fourth quarter 2008 operating results reflect the significant dislocation in the commodities markets, including substantial reductions in demand both domestically and internationally. In this environment, we have experienced sharp declines in commodity prices and a degree of difficulty in selling recyclable commodities, including at contractually defined prices. We currently expect this market downturn to reduce our revenues and negatively affect our earnings and operating cash flows in 2009. Further, a sustained period of depressed commodity prices and/or demand for recyclables could result in a significant decline in the estimated fair value of WMRA, which could require us to record a non-cash impairment charge to their goodwill.</w:t>
      </w:r>
    </w:p>
    <w:p>
      <w:pPr>
        <w:spacing w:after="0" w:line="7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 xml:space="preserve">As discussed in our </w:t>
      </w:r>
      <w:r>
        <w:rPr>
          <w:rFonts w:ascii="Arial" w:cs="Arial" w:eastAsia="Arial" w:hAnsi="Arial"/>
          <w:sz w:val="13"/>
          <w:szCs w:val="13"/>
          <w:i w:val="1"/>
          <w:iCs w:val="1"/>
          <w:color w:val="auto"/>
        </w:rPr>
        <w:t>Overview</w:t>
      </w:r>
      <w:r>
        <w:rPr>
          <w:rFonts w:ascii="Arial" w:cs="Arial" w:eastAsia="Arial" w:hAnsi="Arial"/>
          <w:sz w:val="13"/>
          <w:szCs w:val="13"/>
          <w:color w:val="auto"/>
        </w:rPr>
        <w:t>, the cost of fuel also fell significantly in the second half of 2008. We do not expect future volatility in fuel prices to significantly affect our income from operations. However, we do expect the sharp decline in fuel prices to significantly reduce (i) the revenue provided by our fuel surcharge program; and (ii) our direct and indirect fuel costs in 2009 as compared with 2008.</w:t>
      </w:r>
    </w:p>
    <w:p>
      <w:pPr>
        <w:spacing w:after="0" w:line="67"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Technology Update — </w:t>
      </w:r>
      <w:r>
        <w:rPr>
          <w:rFonts w:ascii="Arial" w:cs="Arial" w:eastAsia="Arial" w:hAnsi="Arial"/>
          <w:sz w:val="12"/>
          <w:szCs w:val="12"/>
          <w:color w:val="auto"/>
        </w:rPr>
        <w:t>On March 20, 2008, we filed a lawsuit in state court in the Southern District of Texas against SAP AG and SAP America, Inc., alleging fraud and breach of</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 The lawsuit relates to our 2005 software license from SAP for a waste and recycling revenue management system and agreement for SAP to implement the software on a fixed-fee basis. We have been assigned a trial date in October 2009. As we continue to assess the alternatives available to us, we may determine that the best course of action is to abandon the SAP revenue management system, which would result in an impairment charge of between $45 million and $55 million.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 of Consolidated and Segment Financial Information</w:t>
      </w:r>
    </w:p>
    <w:p>
      <w:pPr>
        <w:spacing w:after="0" w:line="96"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i w:val="1"/>
          <w:iCs w:val="1"/>
          <w:color w:val="auto"/>
        </w:rPr>
        <w:t xml:space="preserve">Accounting Changes — </w:t>
      </w:r>
      <w:r>
        <w:rPr>
          <w:rFonts w:ascii="Arial" w:cs="Arial" w:eastAsia="Arial" w:hAnsi="Arial"/>
          <w:sz w:val="13"/>
          <w:szCs w:val="13"/>
          <w:color w:val="auto"/>
        </w:rPr>
        <w:t>Effective January 1, 2008, we adopted SFAS No. 157 for assets and liabilities recognized at fair value on a recurring basis. Our adoption of SFAS No. 157</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during the first quarter of 2008 resulted in the recognition of a $6 million charge to operating expenses and a corresponding $3 million credit to minority interest expense for the re-measurement of the fair value of environmental remediation recovery assets accounted for in accordance with Statement of Position No. 96-1, </w:t>
      </w:r>
      <w:r>
        <w:rPr>
          <w:rFonts w:ascii="Arial" w:cs="Arial" w:eastAsia="Arial" w:hAnsi="Arial"/>
          <w:sz w:val="13"/>
          <w:szCs w:val="13"/>
          <w:i w:val="1"/>
          <w:iCs w:val="1"/>
          <w:color w:val="auto"/>
        </w:rPr>
        <w:t>Environmental Remediation Liabilities.</w:t>
      </w:r>
      <w:r>
        <w:rPr>
          <w:rFonts w:ascii="Arial" w:cs="Arial" w:eastAsia="Arial" w:hAnsi="Arial"/>
          <w:sz w:val="13"/>
          <w:szCs w:val="13"/>
          <w:color w:val="auto"/>
        </w:rPr>
        <w:t xml:space="preserve"> The adoption of SFAS No. 157 did not materially affect our consolidated financial position, results of operations or cash flows. Refer to Note 17 for information about our fair value measurements.</w:t>
      </w:r>
    </w:p>
    <w:p>
      <w:pPr>
        <w:spacing w:after="0" w:line="71"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Effective January 1, 2007, we adopted FIN 48 and FSP No. 48-1. FIN 48 prescribes a recognition threshold and measurement attribute for financial statement recognition and measurement of tax positions taken or expected to be taken in tax returns. In addition, FIN 48 provides guidance on the de-recognition, classification and disclosure of tax positions, as well as the accounting for related interest and penalties. FSP No. 48-1 provides guidance associated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with the criteria that must be evaluated in determining if a tax position has been effectively settled and should be recognized as a tax benefit.</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Refer to Note 2 of our Consolidated Financial Statements for additional information related to the impact of the implementation of these new accounting pronouncements on our results of operations and financial position.</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Reclassification of Segment Information </w:t>
      </w:r>
      <w:r>
        <w:rPr>
          <w:rFonts w:ascii="Arial" w:cs="Arial" w:eastAsia="Arial" w:hAnsi="Arial"/>
          <w:sz w:val="13"/>
          <w:szCs w:val="13"/>
          <w:color w:val="auto"/>
        </w:rPr>
        <w:t>— During the second quarter of 2008, we moved certain Canadian business operations from the Western Group to the Midwest Group to</w:t>
      </w:r>
      <w:r>
        <w:rPr>
          <w:rFonts w:ascii="Arial" w:cs="Arial" w:eastAsia="Arial" w:hAnsi="Arial"/>
          <w:sz w:val="13"/>
          <w:szCs w:val="13"/>
          <w:i w:val="1"/>
          <w:iCs w:val="1"/>
          <w:color w:val="auto"/>
        </w:rPr>
        <w:t xml:space="preserve"> </w:t>
      </w:r>
      <w:r>
        <w:rPr>
          <w:rFonts w:ascii="Arial" w:cs="Arial" w:eastAsia="Arial" w:hAnsi="Arial"/>
          <w:sz w:val="13"/>
          <w:szCs w:val="13"/>
          <w:color w:val="auto"/>
        </w:rPr>
        <w:t>facilitate improved business execution. We have reflected the impact of this change for all periods presented to provide financial information that consistently reflects our current approach to managing our operations.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as described below. Actual results could differ materially from the estimates and assumptions that we use in the preparation of our financial statements.</w:t>
      </w:r>
    </w:p>
    <w:p>
      <w:pPr>
        <w:spacing w:after="0" w:line="59"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Landfills </w:t>
      </w:r>
      <w:r>
        <w:rPr>
          <w:rFonts w:ascii="Arial" w:cs="Arial" w:eastAsia="Arial" w:hAnsi="Arial"/>
          <w:sz w:val="13"/>
          <w:szCs w:val="13"/>
          <w:color w:val="auto"/>
        </w:rPr>
        <w:t>— The cost estimates for final capping, closure and post-closure activities at landfills for which we have responsibility are estimated based on our interpretations of current</w:t>
      </w:r>
      <w:r>
        <w:rPr>
          <w:rFonts w:ascii="Arial" w:cs="Arial" w:eastAsia="Arial" w:hAnsi="Arial"/>
          <w:sz w:val="13"/>
          <w:szCs w:val="13"/>
          <w:i w:val="1"/>
          <w:iCs w:val="1"/>
          <w:color w:val="auto"/>
        </w:rPr>
        <w:t xml:space="preserve"> </w:t>
      </w:r>
      <w:r>
        <w:rPr>
          <w:rFonts w:ascii="Arial" w:cs="Arial" w:eastAsia="Arial" w:hAnsi="Arial"/>
          <w:sz w:val="13"/>
          <w:szCs w:val="13"/>
          <w:color w:val="auto"/>
        </w:rPr>
        <w:t>requirements and proposed or anticipated regulatory changes. We also estimate additional costs, pursuant to the requirements of SFAS No. 143, based on the amount a third party would charge us to perform such activities even when we expect to perform these activities internally. We estimate the airspace to be consumed related to each final capping event and the timing of construction related to each final capping event and of closure and post-closure activities. Because landfill final capping, closure and post-closure obligations are measured at estimated fair value using present value techniques, changes in the estimated timing of construction of future landfill final capping and closure and post-closure activities would have an effect on these liabilities, related assets and results of operations.</w:t>
      </w:r>
    </w:p>
    <w:p>
      <w:pPr>
        <w:spacing w:after="0" w:line="72"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i w:val="1"/>
          <w:iCs w:val="1"/>
          <w:color w:val="auto"/>
        </w:rPr>
        <w:t xml:space="preserve">Landfill Costs </w:t>
      </w:r>
      <w:r>
        <w:rPr>
          <w:rFonts w:ascii="Arial" w:cs="Arial" w:eastAsia="Arial" w:hAnsi="Arial"/>
          <w:sz w:val="13"/>
          <w:szCs w:val="13"/>
          <w:color w:val="auto"/>
        </w:rPr>
        <w:t>— We estimate the total cost to develop each of our landfill sites to its remaining permitted and expansion capacity. This estimate includes such costs as landfill liner</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landfill 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72"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i w:val="1"/>
          <w:iCs w:val="1"/>
          <w:color w:val="auto"/>
        </w:rPr>
        <w:t xml:space="preserve">Final Capping Costs </w:t>
      </w:r>
      <w:r>
        <w:rPr>
          <w:rFonts w:ascii="Arial" w:cs="Arial" w:eastAsia="Arial" w:hAnsi="Arial"/>
          <w:sz w:val="13"/>
          <w:szCs w:val="13"/>
          <w:color w:val="auto"/>
        </w:rPr>
        <w:t>— We estimate the cost for each final capping event based on the area to be finally capped and the capping materials and activities required. The estimates also</w:t>
      </w:r>
      <w:r>
        <w:rPr>
          <w:rFonts w:ascii="Arial" w:cs="Arial" w:eastAsia="Arial" w:hAnsi="Arial"/>
          <w:sz w:val="13"/>
          <w:szCs w:val="13"/>
          <w:i w:val="1"/>
          <w:iCs w:val="1"/>
          <w:color w:val="auto"/>
        </w:rPr>
        <w:t xml:space="preserve"> </w:t>
      </w:r>
      <w:r>
        <w:rPr>
          <w:rFonts w:ascii="Arial" w:cs="Arial" w:eastAsia="Arial" w:hAnsi="Arial"/>
          <w:sz w:val="13"/>
          <w:szCs w:val="13"/>
          <w:color w:val="auto"/>
        </w:rPr>
        <w:t>consider when these costs would actually be paid and factor in inflation and discount rates. Our engineering personnel allocate final landfill capping costs to specific capping events. The landfill capacity associated with each final capping event is then quantified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Closure and Post-Closure Costs </w:t>
      </w:r>
      <w:r>
        <w:rPr>
          <w:rFonts w:ascii="Arial" w:cs="Arial" w:eastAsia="Arial" w:hAnsi="Arial"/>
          <w:sz w:val="13"/>
          <w:szCs w:val="13"/>
          <w:color w:val="auto"/>
        </w:rPr>
        <w:t>— We base our estimates for closure and post-closure costs on our interpretations of permit and regulatory requirements for closure and post-closure</w:t>
      </w:r>
      <w:r>
        <w:rPr>
          <w:rFonts w:ascii="Arial" w:cs="Arial" w:eastAsia="Arial" w:hAnsi="Arial"/>
          <w:sz w:val="13"/>
          <w:szCs w:val="13"/>
          <w:i w:val="1"/>
          <w:iCs w:val="1"/>
          <w:color w:val="auto"/>
        </w:rPr>
        <w:t xml:space="preserve"> </w:t>
      </w:r>
      <w:r>
        <w:rPr>
          <w:rFonts w:ascii="Arial" w:cs="Arial" w:eastAsia="Arial" w:hAnsi="Arial"/>
          <w:sz w:val="13"/>
          <w:szCs w:val="13"/>
          <w:color w:val="auto"/>
        </w:rPr>
        <w:t>maintenance and monitoring. The estimates for landfill closure and post-closure costs also consider when the costs would actually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72" w:lineRule="exact"/>
        <w:rPr>
          <w:sz w:val="20"/>
          <w:szCs w:val="20"/>
          <w:color w:val="auto"/>
        </w:rPr>
      </w:pPr>
    </w:p>
    <w:p>
      <w:pPr>
        <w:jc w:val="both"/>
        <w:ind w:left="680" w:firstLine="399"/>
        <w:spacing w:after="0" w:line="371" w:lineRule="auto"/>
        <w:rPr>
          <w:sz w:val="20"/>
          <w:szCs w:val="20"/>
          <w:color w:val="auto"/>
        </w:rPr>
      </w:pPr>
      <w:r>
        <w:rPr>
          <w:rFonts w:ascii="Arial" w:cs="Arial" w:eastAsia="Arial" w:hAnsi="Arial"/>
          <w:sz w:val="11"/>
          <w:szCs w:val="11"/>
          <w:i w:val="1"/>
          <w:iCs w:val="1"/>
          <w:color w:val="auto"/>
        </w:rPr>
        <w:t xml:space="preserve">Remaining Permitted Airspace </w:t>
      </w:r>
      <w:r>
        <w:rPr>
          <w:rFonts w:ascii="Arial" w:cs="Arial" w:eastAsia="Arial" w:hAnsi="Arial"/>
          <w:sz w:val="11"/>
          <w:szCs w:val="11"/>
          <w:color w:val="auto"/>
        </w:rPr>
        <w:t>— Our engineers, in consultation with third-party engineering consultants and surveyors, are responsible for determining remaining permitted airspace</w:t>
      </w:r>
      <w:r>
        <w:rPr>
          <w:rFonts w:ascii="Arial" w:cs="Arial" w:eastAsia="Arial" w:hAnsi="Arial"/>
          <w:sz w:val="11"/>
          <w:szCs w:val="11"/>
          <w:i w:val="1"/>
          <w:iCs w:val="1"/>
          <w:color w:val="auto"/>
        </w:rPr>
        <w:t xml:space="preserve"> </w:t>
      </w:r>
      <w:r>
        <w:rPr>
          <w:rFonts w:ascii="Arial" w:cs="Arial" w:eastAsia="Arial" w:hAnsi="Arial"/>
          <w:sz w:val="11"/>
          <w:szCs w:val="11"/>
          <w:color w:val="auto"/>
        </w:rPr>
        <w:t>at our landfills. The remaining permitted airspace is determined by an annual survey, which is then used to compare the existing landfill topography to the expected final landfill topography.</w:t>
      </w:r>
    </w:p>
    <w:p>
      <w:pPr>
        <w:spacing w:after="0" w:line="12"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Expansion Airspace </w:t>
      </w:r>
      <w:r>
        <w:rPr>
          <w:rFonts w:ascii="Arial" w:cs="Arial" w:eastAsia="Arial" w:hAnsi="Arial"/>
          <w:sz w:val="13"/>
          <w:szCs w:val="13"/>
          <w:color w:val="auto"/>
        </w:rPr>
        <w:t>— We include currently unpermitted expansion airspace in our estimate of remaining permitted and expansion airspace in certain circumstances. First, to include</w:t>
      </w:r>
      <w:r>
        <w:rPr>
          <w:rFonts w:ascii="Arial" w:cs="Arial" w:eastAsia="Arial" w:hAnsi="Arial"/>
          <w:sz w:val="13"/>
          <w:szCs w:val="13"/>
          <w:i w:val="1"/>
          <w:iCs w:val="1"/>
          <w:color w:val="auto"/>
        </w:rPr>
        <w:t xml:space="preserve"> </w:t>
      </w:r>
      <w:r>
        <w:rPr>
          <w:rFonts w:ascii="Arial" w:cs="Arial" w:eastAsia="Arial" w:hAnsi="Arial"/>
          <w:sz w:val="13"/>
          <w:szCs w:val="13"/>
          <w:color w:val="auto"/>
        </w:rPr>
        <w:t>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67"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Personnel are actively working to obtain land use and local, state or provincial approvals for an expansion of an existing landfill;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It is likely that the approvals will be received within the normal application and processing time periods for approvals in the jurisdiction in which the landfill is located;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have a legal right to use or obtain land to be included in the expansion plan;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There are no significant known technical, legal, community, business, or political restrictions or similar issues that could impair the success of such expansion;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Financial analysis has been completed, and the results demonstrate that the expansion has a positive financial and operational impact;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Airspace and related costs, including additional closure and post-closure costs, have been estimated based on conceptual design.</w:t>
      </w:r>
    </w:p>
    <w:p>
      <w:pPr>
        <w:spacing w:after="0" w:line="96"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these criteria are no longer met, based on the facts and circumstances of a specific landfill. In these circumstances, continued inclusion must be approved through a landfill-specific review process that includes approval of the Chief Financial Officer and a review by the Audit Committee of the Board of Directors on a quarterly basis. Of the 42 landfill sites with expansions at December 31, 2008, 19 landfills required the Chief Financial Officer to approve the inclusion of the unpermitted airspace. Ten of these landfills required approval by the Chief Financial Officer because of community or political opposition that could impede the expansion process. The remaining nine landfills required approval primarily due to the permit application processes not meeting the one- or five-year requirements, as a result of state-specific permitting procedures.</w:t>
      </w:r>
    </w:p>
    <w:p>
      <w:pPr>
        <w:spacing w:after="0" w:line="7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Once the remaining permitted and expansion airspace is determined in cubic yards, an airspace utilization factor, or AUF, is established to calculate the remaining permitted and expansion capacity in tons. The AUF is established using the measured density obtained from previous annual surveys and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320" w:lineRule="auto"/>
        <w:rPr>
          <w:sz w:val="20"/>
          <w:szCs w:val="20"/>
          <w:color w:val="auto"/>
        </w:rPr>
      </w:pPr>
      <w:r>
        <w:rPr>
          <w:rFonts w:ascii="Arial" w:cs="Arial" w:eastAsia="Arial" w:hAnsi="Arial"/>
          <w:sz w:val="12"/>
          <w:szCs w:val="12"/>
          <w:color w:val="auto"/>
        </w:rPr>
        <w:t>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35"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When we include the expansion airspace in our calculations of remaining permitted and expansion airspace, we also include the projected costs for development, as well as the projected asset retirement cost related to final capping, and closure and post-closure of the expansion in the amortization basis of the landfill.</w:t>
      </w:r>
    </w:p>
    <w:p>
      <w:pPr>
        <w:spacing w:after="0" w:line="35"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or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an expansion permit has become remote, the capitalized costs related to the expansion effort are expensed immediately.</w:t>
      </w:r>
    </w:p>
    <w:p>
      <w:pPr>
        <w:spacing w:after="0" w:line="7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Environmental Remediation Liabilities </w:t>
      </w:r>
      <w:r>
        <w:rPr>
          <w:rFonts w:ascii="Arial" w:cs="Arial" w:eastAsia="Arial" w:hAnsi="Arial"/>
          <w:sz w:val="12"/>
          <w:szCs w:val="12"/>
          <w:color w:val="auto"/>
        </w:rPr>
        <w:t>— We are subject to an array of laws and regulations relating to the protection of the environment. Under current laws and regulations, we may</w:t>
      </w:r>
      <w:r>
        <w:rPr>
          <w:rFonts w:ascii="Arial" w:cs="Arial" w:eastAsia="Arial" w:hAnsi="Arial"/>
          <w:sz w:val="12"/>
          <w:szCs w:val="12"/>
          <w:i w:val="1"/>
          <w:iCs w:val="1"/>
          <w:color w:val="auto"/>
        </w:rPr>
        <w:t xml:space="preserve"> </w:t>
      </w:r>
      <w:r>
        <w:rPr>
          <w:rFonts w:ascii="Arial" w:cs="Arial" w:eastAsia="Arial" w:hAnsi="Arial"/>
          <w:sz w:val="12"/>
          <w:szCs w:val="12"/>
          <w:color w:val="auto"/>
        </w:rPr>
        <w:t>have liabilities for environmental damage caused by our operations, or for damage caused by conditions that existed before we acquired a site. These liabilities include potentially responsible party, or PRP,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several estimates and assumptions.</w:t>
      </w:r>
    </w:p>
    <w:p>
      <w:pPr>
        <w:spacing w:after="0" w:line="55" w:lineRule="exact"/>
        <w:rPr>
          <w:sz w:val="20"/>
          <w:szCs w:val="20"/>
          <w:color w:val="auto"/>
        </w:rPr>
      </w:pPr>
    </w:p>
    <w:p>
      <w:pPr>
        <w:jc w:val="both"/>
        <w:ind w:left="680" w:right="140" w:firstLine="399"/>
        <w:spacing w:after="0" w:line="289" w:lineRule="auto"/>
        <w:rPr>
          <w:sz w:val="20"/>
          <w:szCs w:val="20"/>
          <w:color w:val="auto"/>
        </w:rPr>
      </w:pPr>
      <w:r>
        <w:rPr>
          <w:rFonts w:ascii="Arial" w:cs="Arial" w:eastAsia="Arial" w:hAnsi="Arial"/>
          <w:sz w:val="12"/>
          <w:szCs w:val="12"/>
          <w:color w:val="auto"/>
        </w:rPr>
        <w:t>We estimate costs required to remediate sites where it is probable that a liability has been incurred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 for the likely remedy are then either developed using our internal resources or by third-party environmental engineers or other service providers. Internally developed estimates are based on:</w:t>
      </w:r>
    </w:p>
    <w:p>
      <w:pPr>
        <w:spacing w:after="0" w:line="53"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Management’s judgment and experience in remediating our own and unrelated parties’ sites;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Information available from regulatory agencies as to costs of remediation;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number, financial resources and relative degree of responsibility of other PRPs who may be liable for remediation of a specific site;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typical allocation of costs among PRPs unless the actual allocation has been determined.</w:t>
      </w:r>
    </w:p>
    <w:p>
      <w:pPr>
        <w:spacing w:after="0" w:line="96"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i w:val="1"/>
          <w:iCs w:val="1"/>
          <w:color w:val="auto"/>
        </w:rPr>
        <w:t xml:space="preserve">Asset Impairments </w:t>
      </w:r>
      <w:r>
        <w:rPr>
          <w:rFonts w:ascii="Arial" w:cs="Arial" w:eastAsia="Arial" w:hAnsi="Arial"/>
          <w:sz w:val="13"/>
          <w:szCs w:val="13"/>
          <w:color w:val="auto"/>
        </w:rPr>
        <w:t>— Our long-lived assets, including landfills and landfill expansions, are carried on our financial statements based on their cost less accumulated depreciation or</w:t>
      </w:r>
      <w:r>
        <w:rPr>
          <w:rFonts w:ascii="Arial" w:cs="Arial" w:eastAsia="Arial" w:hAnsi="Arial"/>
          <w:sz w:val="13"/>
          <w:szCs w:val="13"/>
          <w:i w:val="1"/>
          <w:iCs w:val="1"/>
          <w:color w:val="auto"/>
        </w:rPr>
        <w:t xml:space="preserve"> </w:t>
      </w:r>
      <w:r>
        <w:rPr>
          <w:rFonts w:ascii="Arial" w:cs="Arial" w:eastAsia="Arial" w:hAnsi="Arial"/>
          <w:sz w:val="13"/>
          <w:szCs w:val="13"/>
          <w:color w:val="auto"/>
        </w:rPr>
        <w:t>amortization. We review the carrying value of our long-lived assets for impairment whenever events or changes in circumstances indicate that the carrying value of an asset may not be recoverable. In order to assess whether a potential impairment exists, the assets’ carrying values are compared with their undiscounted expected future cash flows. Estimating future cash flows requires significant judgment about factors such as general economic conditions and projected growth rates,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00"/>
        <w:spacing w:after="0" w:line="260" w:lineRule="auto"/>
        <w:rPr>
          <w:sz w:val="20"/>
          <w:szCs w:val="20"/>
          <w:color w:val="auto"/>
        </w:rPr>
      </w:pPr>
      <w:r>
        <w:rPr>
          <w:rFonts w:ascii="Arial" w:cs="Arial" w:eastAsia="Arial" w:hAnsi="Arial"/>
          <w:sz w:val="13"/>
          <w:szCs w:val="13"/>
          <w:color w:val="auto"/>
        </w:rPr>
        <w:t>and our estimates often vary from cash flows eventually realized. Impairments are measured by comparing the fair value of the asset to its carrying value. Fair value is generally determined by considering (i) internally developed discounted projected cash flow analysis of the asset; (ii) actual third-party valuations; and/or (iii) information available regarding the current market environment for similar assets. If the fair value of an asset is determined to be less than the carrying amount of the asset, an impairment in the amount of the difference is recorded in the period that the impairment indicator occurs.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There are other considerations for impairments of landfills and goodwill, as described below.</w:t>
      </w:r>
    </w:p>
    <w:p>
      <w:pPr>
        <w:spacing w:after="0" w:line="96" w:lineRule="exact"/>
        <w:rPr>
          <w:sz w:val="20"/>
          <w:szCs w:val="20"/>
          <w:color w:val="auto"/>
        </w:rPr>
      </w:pPr>
    </w:p>
    <w:p>
      <w:pPr>
        <w:jc w:val="both"/>
        <w:ind w:left="680" w:right="1060" w:firstLine="399"/>
        <w:spacing w:after="0" w:line="260" w:lineRule="auto"/>
        <w:rPr>
          <w:sz w:val="20"/>
          <w:szCs w:val="20"/>
          <w:color w:val="auto"/>
        </w:rPr>
      </w:pPr>
      <w:r>
        <w:rPr>
          <w:rFonts w:ascii="Arial" w:cs="Arial" w:eastAsia="Arial" w:hAnsi="Arial"/>
          <w:sz w:val="13"/>
          <w:szCs w:val="13"/>
          <w:i w:val="1"/>
          <w:iCs w:val="1"/>
          <w:color w:val="auto"/>
        </w:rPr>
        <w:t xml:space="preserve">Landfills </w:t>
      </w:r>
      <w:r>
        <w:rPr>
          <w:rFonts w:ascii="Arial" w:cs="Arial" w:eastAsia="Arial" w:hAnsi="Arial"/>
          <w:sz w:val="13"/>
          <w:szCs w:val="13"/>
          <w:color w:val="auto"/>
        </w:rPr>
        <w:t>— Certain impairment indicators require significant judgment and understanding of the waste industry when applied to landfill development or expansion projects. For</w:t>
      </w:r>
      <w:r>
        <w:rPr>
          <w:rFonts w:ascii="Arial" w:cs="Arial" w:eastAsia="Arial" w:hAnsi="Arial"/>
          <w:sz w:val="13"/>
          <w:szCs w:val="13"/>
          <w:i w:val="1"/>
          <w:iCs w:val="1"/>
          <w:color w:val="auto"/>
        </w:rPr>
        <w:t xml:space="preserve"> </w:t>
      </w:r>
      <w:r>
        <w:rPr>
          <w:rFonts w:ascii="Arial" w:cs="Arial" w:eastAsia="Arial" w:hAnsi="Arial"/>
          <w:sz w:val="13"/>
          <w:szCs w:val="13"/>
          <w:color w:val="auto"/>
        </w:rPr>
        <w:t>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of our landfill assets due to the unique nature of the waste industry.</w:t>
      </w:r>
    </w:p>
    <w:p>
      <w:pPr>
        <w:spacing w:after="0" w:line="70" w:lineRule="exact"/>
        <w:rPr>
          <w:sz w:val="20"/>
          <w:szCs w:val="20"/>
          <w:color w:val="auto"/>
        </w:rPr>
      </w:pPr>
    </w:p>
    <w:p>
      <w:pPr>
        <w:ind w:left="680" w:right="880" w:firstLine="399"/>
        <w:spacing w:after="0" w:line="260" w:lineRule="auto"/>
        <w:rPr>
          <w:sz w:val="20"/>
          <w:szCs w:val="20"/>
          <w:color w:val="auto"/>
        </w:rPr>
      </w:pPr>
      <w:r>
        <w:rPr>
          <w:rFonts w:ascii="Arial" w:cs="Arial" w:eastAsia="Arial" w:hAnsi="Arial"/>
          <w:sz w:val="13"/>
          <w:szCs w:val="13"/>
          <w:i w:val="1"/>
          <w:iCs w:val="1"/>
          <w:color w:val="auto"/>
        </w:rPr>
        <w:t xml:space="preserve">Goodwill </w:t>
      </w:r>
      <w:r>
        <w:rPr>
          <w:rFonts w:ascii="Arial" w:cs="Arial" w:eastAsia="Arial" w:hAnsi="Arial"/>
          <w:sz w:val="13"/>
          <w:szCs w:val="13"/>
          <w:color w:val="auto"/>
        </w:rPr>
        <w:t>— At least annually, we assess whether goodwill is impaired. We assess whether an impairment exists by comparing the fair value of each Group to its carrying value,</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goodwill. We rely on discounted cash flow analysis, which requires significant judgments and estimates about the future operations of each Group, to develop our estimates of fair value. Additional impairment assessments may be performed on an interim basis if we encounter events or changes in circumstances that would indicate that, more likely than not, the carrying value of goodwill has been impaired.</w:t>
      </w:r>
    </w:p>
    <w:p>
      <w:pPr>
        <w:spacing w:after="0" w:line="70" w:lineRule="exact"/>
        <w:rPr>
          <w:sz w:val="20"/>
          <w:szCs w:val="20"/>
          <w:color w:val="auto"/>
        </w:rPr>
      </w:pPr>
    </w:p>
    <w:p>
      <w:pPr>
        <w:ind w:left="680" w:right="880" w:firstLine="399"/>
        <w:spacing w:after="0" w:line="258" w:lineRule="auto"/>
        <w:rPr>
          <w:sz w:val="20"/>
          <w:szCs w:val="20"/>
          <w:color w:val="auto"/>
        </w:rPr>
      </w:pPr>
      <w:r>
        <w:rPr>
          <w:rFonts w:ascii="Arial" w:cs="Arial" w:eastAsia="Arial" w:hAnsi="Arial"/>
          <w:sz w:val="13"/>
          <w:szCs w:val="13"/>
          <w:i w:val="1"/>
          <w:iCs w:val="1"/>
          <w:color w:val="auto"/>
        </w:rPr>
        <w:t xml:space="preserve">Self-insurance reserves and recoveries </w:t>
      </w:r>
      <w:r>
        <w:rPr>
          <w:rFonts w:ascii="Arial" w:cs="Arial" w:eastAsia="Arial" w:hAnsi="Arial"/>
          <w:sz w:val="13"/>
          <w:szCs w:val="13"/>
          <w:color w:val="auto"/>
        </w:rPr>
        <w:t>— We have retained a significant portion of the risks related to our health and welfare, automobile, general liability and workers’</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insurance programs. Our liabilities associated with the exposure for unpaid claims and associated expenses, including incurred but not reported losses, generally is estimated with the assistance of external actuaries and by factoring in pending claims and historical trends and data. Our estimated accruals for these liabilities could be significantly different than our ultimate obligations if variables such as the frequency or severity of future incidents are significantly different than what we assume. Estimated insurance recoveries related to recorded liabilities are recorded as assets when we believe that the receipt of such amounts is probable.</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Our operating revenues in 2008 were $13.4 billion, compared with $13.3 billion in 2007 and $13.4 billion in 2006. We manage and evaluate our operations primarily through our Eastern, Midwest, Southern, Western, Wheelabrator and WMRA Groups. These six operating Groups are our reportable segments. Shown below (in millions) is the contribution to revenues during each year provided by our six operating Groups and our Other waste services: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46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3,182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3,614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Midwest</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3,117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3,141</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3,141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4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3,667</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3,681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3,759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Western</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3,300</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3,350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3,373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4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912</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WMRA</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1,014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953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740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4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330</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Intercompany</w:t>
            </w: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(2,134)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(2,271)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(2,449)</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44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13,363</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60" w:type="dxa"/>
            <w:vAlign w:val="bottom"/>
          </w:tcPr>
          <w:p>
            <w:pPr>
              <w:jc w:val="right"/>
              <w:ind w:right="2174"/>
              <w:spacing w:after="0"/>
              <w:rPr>
                <w:sz w:val="20"/>
                <w:szCs w:val="20"/>
                <w:color w:val="auto"/>
              </w:rPr>
            </w:pPr>
            <w:r>
              <w:rPr>
                <w:rFonts w:ascii="Arial" w:cs="Arial" w:eastAsia="Arial" w:hAnsi="Arial"/>
                <w:sz w:val="13"/>
                <w:szCs w:val="13"/>
                <w:color w:val="auto"/>
              </w:rPr>
              <w:t>27</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4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Our operating revenues generally come from fees charged for our collection, disposal, transfer, Wheelabrator and recycling services. Revenues from our collection operations are influenced by factors such as collection frequency, type of collection equipment furnished, type and volume or weight of the waste collected, distance to the disposal facility and our disposal costs. Revenues from our landfill operations consist of tipping fees, which are generally based on the weight, volume and type of waste being disposed of at our disposal facilities. Fees charged at transfer stations are generally based on the volume of waste deposited, taking into account our cost of loading, transporting and disposing of the solid waste at a disposal site. Our Wheelabrator revenues are based on the type and volume of waste received at our waste-to-energy facilities and IPPs and fees charged for the sale of energy and steam. Recycling revenue, which is generated by our WMRA Group as well as recycling operations embedded in the operations of our four geographic operating Groups, generally consists of tipping fees and the sale of recyclable commodities to third parties. The fees we charge for our collection, disposal, transfer and recycling services generally include fuel surcharges, which are indexed to current market costs for fuel. Our “other” revenues include our in-plant services, methane gas recovery, Port-O-Let</w:t>
      </w:r>
      <w:r>
        <w:rPr>
          <w:rFonts w:ascii="Arial" w:cs="Arial" w:eastAsia="Arial" w:hAnsi="Arial"/>
          <w:sz w:val="10"/>
          <w:szCs w:val="10"/>
          <w:color w:val="auto"/>
        </w:rPr>
        <w:t>®</w:t>
      </w:r>
      <w:r>
        <w:rPr>
          <w:rFonts w:ascii="Arial" w:cs="Arial" w:eastAsia="Arial" w:hAnsi="Arial"/>
          <w:sz w:val="12"/>
          <w:szCs w:val="12"/>
          <w:color w:val="auto"/>
        </w:rPr>
        <w:t xml:space="preserve"> services, street and parking lot sweeping services, portable self-storage, fluorescent lamp recycling and healthcare solutions services. Intercompany revenues between our operations have been eliminated in the consolidated financial statements. The mix of operating revenues from our different services is reflected in the table below (in millions):</w:t>
      </w:r>
    </w:p>
    <w:p>
      <w:pPr>
        <w:spacing w:after="0" w:line="6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8,679</w:t>
            </w:r>
          </w:p>
        </w:tc>
        <w:tc>
          <w:tcPr>
            <w:tcW w:w="8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8,714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8,837</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Landfill</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2,955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3,047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3,197</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1,589</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1,802</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Wheelabrator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912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868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902</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80" w:type="dxa"/>
            <w:vAlign w:val="bottom"/>
            <w:tcBorders>
              <w:lef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905</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(2,134)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(2,271)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(2,449)</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13,388</w:t>
            </w:r>
          </w:p>
        </w:tc>
        <w:tc>
          <w:tcPr>
            <w:tcW w:w="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13,310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13,363</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and includes internal revenue growth calculated as a percentage of revenues from related business and as a percentage of total Company revenues: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rPr>
              <w:t>Period-to-Period Change</w:t>
            </w: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9"/>
                <w:szCs w:val="9"/>
                <w:b w:val="1"/>
                <w:bCs w:val="1"/>
                <w:color w:val="auto"/>
              </w:rPr>
              <w:t>Period-to-Period Change</w:t>
            </w: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9"/>
                <w:szCs w:val="9"/>
                <w:b w:val="1"/>
                <w:bCs w:val="1"/>
                <w:color w:val="auto"/>
              </w:rPr>
              <w:t>2008 vs. 2007</w:t>
            </w: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9"/>
                <w:szCs w:val="9"/>
                <w:b w:val="1"/>
                <w:bCs w:val="1"/>
                <w:color w:val="auto"/>
              </w:rPr>
              <w:t>2007 vs. 2006</w:t>
            </w:r>
          </w:p>
        </w:tc>
        <w:tc>
          <w:tcPr>
            <w:tcW w:w="6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gridSpan w:val="2"/>
          </w:tcPr>
          <w:p>
            <w:pPr>
              <w:jc w:val="center"/>
              <w:ind w:right="380"/>
              <w:spacing w:after="0" w:line="75" w:lineRule="exact"/>
              <w:rPr>
                <w:sz w:val="20"/>
                <w:szCs w:val="20"/>
                <w:color w:val="auto"/>
              </w:rPr>
            </w:pPr>
            <w:r>
              <w:rPr>
                <w:rFonts w:ascii="Arial" w:cs="Arial" w:eastAsia="Arial" w:hAnsi="Arial"/>
                <w:sz w:val="8"/>
                <w:szCs w:val="8"/>
                <w:b w:val="1"/>
                <w:bCs w:val="1"/>
                <w:color w:val="auto"/>
              </w:rPr>
              <w:t>As a% of</w:t>
            </w:r>
          </w:p>
        </w:tc>
        <w:tc>
          <w:tcPr>
            <w:tcW w:w="70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As a% of</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gridSpan w:val="2"/>
          </w:tcPr>
          <w:p>
            <w:pPr>
              <w:jc w:val="center"/>
              <w:ind w:right="380"/>
              <w:spacing w:after="0" w:line="75" w:lineRule="exact"/>
              <w:rPr>
                <w:sz w:val="20"/>
                <w:szCs w:val="20"/>
                <w:color w:val="auto"/>
              </w:rPr>
            </w:pPr>
            <w:r>
              <w:rPr>
                <w:rFonts w:ascii="Arial" w:cs="Arial" w:eastAsia="Arial" w:hAnsi="Arial"/>
                <w:sz w:val="8"/>
                <w:szCs w:val="8"/>
                <w:b w:val="1"/>
                <w:bCs w:val="1"/>
                <w:color w:val="auto"/>
              </w:rPr>
              <w:t>As a% of</w:t>
            </w:r>
          </w:p>
        </w:tc>
        <w:tc>
          <w:tcPr>
            <w:tcW w:w="68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As a% of</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4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92"/>
              </w:rPr>
              <w:t>Related</w:t>
            </w:r>
          </w:p>
        </w:tc>
        <w:tc>
          <w:tcPr>
            <w:tcW w:w="108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92"/>
              </w:rPr>
              <w:t>Total</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right="400"/>
              <w:spacing w:after="0" w:line="98" w:lineRule="exact"/>
              <w:rPr>
                <w:sz w:val="20"/>
                <w:szCs w:val="20"/>
                <w:color w:val="auto"/>
              </w:rPr>
            </w:pPr>
            <w:r>
              <w:rPr>
                <w:rFonts w:ascii="Arial" w:cs="Arial" w:eastAsia="Arial" w:hAnsi="Arial"/>
                <w:sz w:val="9"/>
                <w:szCs w:val="9"/>
                <w:b w:val="1"/>
                <w:bCs w:val="1"/>
                <w:color w:val="auto"/>
                <w:w w:val="92"/>
              </w:rPr>
              <w:t>Related</w:t>
            </w:r>
          </w:p>
        </w:tc>
        <w:tc>
          <w:tcPr>
            <w:tcW w:w="820" w:type="dxa"/>
            <w:vAlign w:val="bottom"/>
            <w:gridSpan w:val="2"/>
          </w:tcPr>
          <w:p>
            <w:pPr>
              <w:jc w:val="center"/>
              <w:ind w:right="140"/>
              <w:spacing w:after="0" w:line="98"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11"/>
        </w:trPr>
        <w:tc>
          <w:tcPr>
            <w:tcW w:w="4500" w:type="dxa"/>
            <w:vAlign w:val="bottom"/>
          </w:tcPr>
          <w:p>
            <w:pPr>
              <w:spacing w:after="0"/>
              <w:rPr>
                <w:sz w:val="9"/>
                <w:szCs w:val="9"/>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9"/>
                <w:szCs w:val="9"/>
                <w:b w:val="1"/>
                <w:bCs w:val="1"/>
                <w:color w:val="auto"/>
              </w:rPr>
              <w:t>Amount</w:t>
            </w:r>
          </w:p>
        </w:tc>
        <w:tc>
          <w:tcPr>
            <w:tcW w:w="200" w:type="dxa"/>
            <w:vAlign w:val="bottom"/>
          </w:tcPr>
          <w:p>
            <w:pPr>
              <w:spacing w:after="0"/>
              <w:rPr>
                <w:sz w:val="9"/>
                <w:szCs w:val="9"/>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86"/>
              </w:rPr>
              <w:t>Business(a)</w:t>
            </w:r>
          </w:p>
        </w:tc>
        <w:tc>
          <w:tcPr>
            <w:tcW w:w="108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5"/>
              </w:rPr>
              <w:t>Company(b)</w:t>
            </w:r>
          </w:p>
        </w:tc>
        <w:tc>
          <w:tcPr>
            <w:tcW w:w="600" w:type="dxa"/>
            <w:vAlign w:val="bottom"/>
            <w:gridSpan w:val="3"/>
          </w:tcPr>
          <w:p>
            <w:pPr>
              <w:jc w:val="right"/>
              <w:ind w:right="240"/>
              <w:spacing w:after="0"/>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9"/>
                <w:szCs w:val="9"/>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0"/>
              </w:rPr>
              <w:t>Business(a)</w:t>
            </w:r>
          </w:p>
        </w:tc>
        <w:tc>
          <w:tcPr>
            <w:tcW w:w="8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5"/>
              </w:rPr>
              <w:t>Company(b)</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Average yield:</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00" w:type="dxa"/>
            <w:vAlign w:val="bottom"/>
          </w:tcPr>
          <w:p>
            <w:pPr>
              <w:ind w:left="240"/>
              <w:spacing w:after="0"/>
              <w:rPr>
                <w:sz w:val="20"/>
                <w:szCs w:val="20"/>
                <w:color w:val="auto"/>
              </w:rPr>
            </w:pPr>
            <w:r>
              <w:rPr>
                <w:rFonts w:ascii="Arial" w:cs="Arial" w:eastAsia="Arial" w:hAnsi="Arial"/>
                <w:sz w:val="12"/>
                <w:szCs w:val="12"/>
                <w:color w:val="auto"/>
              </w:rPr>
              <w:t>Solid waste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347</w:t>
            </w:r>
          </w:p>
        </w:tc>
        <w:tc>
          <w:tcPr>
            <w:tcW w:w="200" w:type="dxa"/>
            <w:vAlign w:val="bottom"/>
          </w:tcPr>
          <w:p>
            <w:pPr>
              <w:spacing w:after="0"/>
              <w:rPr>
                <w:sz w:val="12"/>
                <w:szCs w:val="12"/>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2"/>
                <w:szCs w:val="12"/>
                <w:color w:val="auto"/>
              </w:rPr>
              <w:t>3.2%</w:t>
            </w: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2.6%</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431</w:t>
            </w:r>
          </w:p>
        </w:tc>
        <w:tc>
          <w:tcPr>
            <w:tcW w:w="1180" w:type="dxa"/>
            <w:vAlign w:val="bottom"/>
            <w:gridSpan w:val="3"/>
          </w:tcPr>
          <w:p>
            <w:pPr>
              <w:jc w:val="right"/>
              <w:ind w:right="300"/>
              <w:spacing w:after="0"/>
              <w:rPr>
                <w:sz w:val="20"/>
                <w:szCs w:val="20"/>
                <w:color w:val="auto"/>
              </w:rPr>
            </w:pPr>
            <w:r>
              <w:rPr>
                <w:rFonts w:ascii="Arial" w:cs="Arial" w:eastAsia="Arial" w:hAnsi="Arial"/>
                <w:sz w:val="12"/>
                <w:szCs w:val="12"/>
                <w:color w:val="auto"/>
              </w:rPr>
              <w:t>4.0%</w:t>
            </w: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Waste-to-energy</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2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2.7</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0.1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120"/>
              <w:spacing w:after="0"/>
              <w:rPr>
                <w:sz w:val="20"/>
                <w:szCs w:val="20"/>
                <w:color w:val="auto"/>
              </w:rPr>
            </w:pPr>
            <w:r>
              <w:rPr>
                <w:rFonts w:ascii="Arial" w:cs="Arial" w:eastAsia="Arial" w:hAnsi="Arial"/>
                <w:sz w:val="12"/>
                <w:szCs w:val="12"/>
                <w:color w:val="auto"/>
              </w:rPr>
              <w:t>Base business</w:t>
            </w: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3"/>
            <w:vMerge w:val="restart"/>
          </w:tcPr>
          <w:p>
            <w:pPr>
              <w:jc w:val="right"/>
              <w:ind w:right="380"/>
              <w:spacing w:after="0"/>
              <w:rPr>
                <w:sz w:val="20"/>
                <w:szCs w:val="20"/>
                <w:color w:val="auto"/>
              </w:rPr>
            </w:pPr>
            <w:r>
              <w:rPr>
                <w:rFonts w:ascii="Arial" w:cs="Arial" w:eastAsia="Arial" w:hAnsi="Arial"/>
                <w:sz w:val="12"/>
                <w:szCs w:val="12"/>
                <w:color w:val="auto"/>
              </w:rPr>
              <w:t>3.2</w:t>
            </w: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3"/>
            <w:vMerge w:val="restart"/>
          </w:tcPr>
          <w:p>
            <w:pPr>
              <w:jc w:val="right"/>
              <w:ind w:right="400"/>
              <w:spacing w:after="0"/>
              <w:rPr>
                <w:sz w:val="20"/>
                <w:szCs w:val="20"/>
                <w:color w:val="auto"/>
              </w:rPr>
            </w:pPr>
            <w:r>
              <w:rPr>
                <w:rFonts w:ascii="Arial" w:cs="Arial" w:eastAsia="Arial" w:hAnsi="Arial"/>
                <w:sz w:val="12"/>
                <w:szCs w:val="12"/>
                <w:color w:val="auto"/>
              </w:rPr>
              <w:t>3.7</w:t>
            </w: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366</w:t>
            </w: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432</w:t>
            </w:r>
          </w:p>
        </w:tc>
        <w:tc>
          <w:tcPr>
            <w:tcW w:w="1180" w:type="dxa"/>
            <w:vAlign w:val="bottom"/>
            <w:gridSpan w:val="3"/>
            <w:vMerge w:val="continue"/>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Commodity</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w:t>
            </w:r>
          </w:p>
        </w:tc>
        <w:tc>
          <w:tcPr>
            <w:tcW w:w="20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6.9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0.6</w:t>
            </w: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306</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34.3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7"/>
        </w:trPr>
        <w:tc>
          <w:tcPr>
            <w:tcW w:w="4500" w:type="dxa"/>
            <w:vAlign w:val="bottom"/>
          </w:tcPr>
          <w:p>
            <w:pPr>
              <w:ind w:left="120"/>
              <w:spacing w:after="0"/>
              <w:rPr>
                <w:sz w:val="20"/>
                <w:szCs w:val="20"/>
                <w:color w:val="auto"/>
              </w:rPr>
            </w:pPr>
            <w:r>
              <w:rPr>
                <w:rFonts w:ascii="Arial" w:cs="Arial" w:eastAsia="Arial" w:hAnsi="Arial"/>
                <w:sz w:val="12"/>
                <w:szCs w:val="12"/>
                <w:color w:val="auto"/>
              </w:rPr>
              <w:t>Electricity (IPPs)</w:t>
            </w:r>
          </w:p>
        </w:tc>
        <w:tc>
          <w:tcPr>
            <w:tcW w:w="1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8</w:t>
            </w:r>
          </w:p>
        </w:tc>
        <w:tc>
          <w:tcPr>
            <w:tcW w:w="200" w:type="dxa"/>
            <w:vAlign w:val="bottom"/>
          </w:tcPr>
          <w:p>
            <w:pPr>
              <w:spacing w:after="0"/>
              <w:rPr>
                <w:sz w:val="12"/>
                <w:szCs w:val="12"/>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2"/>
                <w:szCs w:val="12"/>
                <w:color w:val="auto"/>
              </w:rPr>
              <w:t>10.8</w:t>
            </w: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2</w:t>
            </w:r>
          </w:p>
        </w:tc>
        <w:tc>
          <w:tcPr>
            <w:tcW w:w="1180" w:type="dxa"/>
            <w:vAlign w:val="bottom"/>
            <w:gridSpan w:val="3"/>
          </w:tcPr>
          <w:p>
            <w:pPr>
              <w:jc w:val="right"/>
              <w:ind w:right="400"/>
              <w:spacing w:after="0"/>
              <w:rPr>
                <w:sz w:val="20"/>
                <w:szCs w:val="20"/>
                <w:color w:val="auto"/>
              </w:rPr>
            </w:pPr>
            <w:r>
              <w:rPr>
                <w:rFonts w:ascii="Arial" w:cs="Arial" w:eastAsia="Arial" w:hAnsi="Arial"/>
                <w:sz w:val="12"/>
                <w:szCs w:val="12"/>
                <w:color w:val="auto"/>
              </w:rPr>
              <w:t>2.7</w:t>
            </w: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Fuel surcharges and mandated fees</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w:t>
            </w:r>
          </w:p>
        </w:tc>
        <w:tc>
          <w:tcPr>
            <w:tcW w:w="20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36.5</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rPr>
              <w:t>7.3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3"/>
            <w:vMerge w:val="restart"/>
          </w:tcPr>
          <w:p>
            <w:pPr>
              <w:jc w:val="right"/>
              <w:ind w:right="380"/>
              <w:spacing w:after="0"/>
              <w:rPr>
                <w:sz w:val="20"/>
                <w:szCs w:val="20"/>
                <w:color w:val="auto"/>
              </w:rPr>
            </w:pPr>
            <w:r>
              <w:rPr>
                <w:rFonts w:ascii="Arial" w:cs="Arial" w:eastAsia="Arial" w:hAnsi="Arial"/>
                <w:sz w:val="12"/>
                <w:szCs w:val="12"/>
                <w:color w:val="auto"/>
              </w:rPr>
              <w:t>4.9</w:t>
            </w: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3"/>
            <w:vMerge w:val="restart"/>
          </w:tcPr>
          <w:p>
            <w:pPr>
              <w:jc w:val="right"/>
              <w:ind w:right="400"/>
              <w:spacing w:after="0"/>
              <w:rPr>
                <w:sz w:val="20"/>
                <w:szCs w:val="20"/>
                <w:color w:val="auto"/>
              </w:rPr>
            </w:pPr>
            <w:r>
              <w:rPr>
                <w:rFonts w:ascii="Arial" w:cs="Arial" w:eastAsia="Arial" w:hAnsi="Arial"/>
                <w:sz w:val="12"/>
                <w:szCs w:val="12"/>
                <w:color w:val="auto"/>
              </w:rPr>
              <w:t>5.9</w:t>
            </w: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644</w:t>
            </w:r>
          </w:p>
        </w:tc>
        <w:tc>
          <w:tcPr>
            <w:tcW w:w="2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775</w:t>
            </w:r>
          </w:p>
        </w:tc>
        <w:tc>
          <w:tcPr>
            <w:tcW w:w="1180" w:type="dxa"/>
            <w:vAlign w:val="bottom"/>
            <w:gridSpan w:val="3"/>
            <w:vMerge w:val="continue"/>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Volume</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(557)</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(4.2)</w:t>
            </w: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(588)</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Internal revenue growth</w:t>
            </w: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87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0.7</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2"/>
                <w:szCs w:val="12"/>
                <w:color w:val="auto"/>
              </w:rPr>
              <w:t>187</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50"/>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Acquisition</w:t>
            </w: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117</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0.9</w:t>
            </w: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w:t>
            </w: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47"/>
        </w:trPr>
        <w:tc>
          <w:tcPr>
            <w:tcW w:w="4500" w:type="dxa"/>
            <w:vAlign w:val="bottom"/>
          </w:tcPr>
          <w:p>
            <w:pPr>
              <w:spacing w:after="0"/>
              <w:rPr>
                <w:sz w:val="20"/>
                <w:szCs w:val="20"/>
                <w:color w:val="auto"/>
              </w:rPr>
            </w:pPr>
            <w:r>
              <w:rPr>
                <w:rFonts w:ascii="Arial" w:cs="Arial" w:eastAsia="Arial" w:hAnsi="Arial"/>
                <w:sz w:val="12"/>
                <w:szCs w:val="12"/>
                <w:color w:val="auto"/>
              </w:rPr>
              <w:t>Divestitures</w:t>
            </w:r>
          </w:p>
        </w:tc>
        <w:tc>
          <w:tcPr>
            <w:tcW w:w="14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(130)</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2"/>
                <w:szCs w:val="12"/>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(320)</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7"/>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43</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50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78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2"/>
                <w:szCs w:val="12"/>
                <w:color w:val="auto"/>
              </w:rPr>
              <w:t>0.6%</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(53)</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32"/>
        </w:trPr>
        <w:tc>
          <w:tcPr>
            <w:tcW w:w="4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40" w:hanging="252"/>
        <w:spacing w:after="0" w:line="264" w:lineRule="auto"/>
        <w:tabs>
          <w:tab w:leader="none" w:pos="10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These percentages are calculated by dividing the amount of the current year increase by the prior year’s related business revenue adjusted to exclude the impacts of current year divestitures ($130 million and $320 million for 2008 and 2007, respectively). The table below summarizes the related business revenues for each year, which were used to calculate the percentages of related business: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Denominator</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Related business revenues: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280"/>
              <w:spacing w:after="0"/>
              <w:rPr>
                <w:sz w:val="20"/>
                <w:szCs w:val="20"/>
                <w:color w:val="auto"/>
              </w:rPr>
            </w:pPr>
            <w:r>
              <w:rPr>
                <w:rFonts w:ascii="Arial" w:cs="Arial" w:eastAsia="Arial" w:hAnsi="Arial"/>
                <w:sz w:val="13"/>
                <w:szCs w:val="13"/>
                <w:color w:val="auto"/>
              </w:rPr>
              <w:t>Solid waste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10,715</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10,877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Waste-to-energy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140"/>
              <w:spacing w:after="0"/>
              <w:rPr>
                <w:sz w:val="20"/>
                <w:szCs w:val="20"/>
                <w:color w:val="auto"/>
              </w:rPr>
            </w:pPr>
            <w:r>
              <w:rPr>
                <w:rFonts w:ascii="Arial" w:cs="Arial" w:eastAsia="Arial" w:hAnsi="Arial"/>
                <w:sz w:val="13"/>
                <w:szCs w:val="13"/>
                <w:color w:val="auto"/>
              </w:rPr>
              <w:t>Base business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11,408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11,593</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Commodity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893</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Electricity (IPPs)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Fuel surcharges and mandated fees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482</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Total Company</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13,180</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13,043</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00" w:right="200" w:hanging="259"/>
        <w:spacing w:after="0" w:line="320" w:lineRule="auto"/>
        <w:tabs>
          <w:tab w:leader="none" w:pos="10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These percentages are calculated by dividing the amount of the current year increase or decrease by the prior year’s total company revenue ($13,310 million and $13,363 million for 2008 and 2007, respectively) adjusted to exclude the impacts of current year divestitures ($130 million and $320 million for 2008 and 2007, respectively).</w:t>
      </w:r>
    </w:p>
    <w:p>
      <w:pPr>
        <w:spacing w:after="0" w:line="74"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Base Business </w:t>
      </w:r>
      <w:r>
        <w:rPr>
          <w:rFonts w:ascii="Arial" w:cs="Arial" w:eastAsia="Arial" w:hAnsi="Arial"/>
          <w:sz w:val="13"/>
          <w:szCs w:val="13"/>
          <w:color w:val="auto"/>
        </w:rPr>
        <w:t>— Yield on base business reflects the effect on our revenue from the pricing activities of our collection, transfer, disposal and waste-to-energy operations, exclusive of</w:t>
      </w:r>
      <w:r>
        <w:rPr>
          <w:rFonts w:ascii="Arial" w:cs="Arial" w:eastAsia="Arial" w:hAnsi="Arial"/>
          <w:sz w:val="13"/>
          <w:szCs w:val="13"/>
          <w:i w:val="1"/>
          <w:iCs w:val="1"/>
          <w:color w:val="auto"/>
        </w:rPr>
        <w:t xml:space="preserve"> </w:t>
      </w:r>
      <w:r>
        <w:rPr>
          <w:rFonts w:ascii="Arial" w:cs="Arial" w:eastAsia="Arial" w:hAnsi="Arial"/>
          <w:sz w:val="13"/>
          <w:szCs w:val="13"/>
          <w:color w:val="auto"/>
        </w:rPr>
        <w:t>volume changes. Revenue growth from base business yield includes not only price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In both 2008 and 2007, our pricing excellence initiative was the primary contributor to our revenue growth from base business yield. Although our pricing programs are contributing to yield improvements in each of our core solid waste lines of business, the increase in revenue from base business yield has been driven by our collection operations in each reported period. Increased collection revenues due to yield were more than offset by revenue declines from lower collection volumes. However, we continue to find that, in spite of collection volume declines, increased yield on base business and a focus on controlling variable costs provide notable margin improvements and earnings expansion in our collection line of business.</w:t>
      </w:r>
    </w:p>
    <w:p>
      <w:pPr>
        <w:spacing w:after="0" w:line="53"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Throughout 2008 and 2007, we also experienced increases in revenue due to yield on base business from our pricing excellence initiative at our transfer stations and the municipal solid waste streams at our landfills. The increases in transfer station revenues have been the most significant in the Eastern portion of the United States. At our landfills, municipal solid waste revenue growth from yield has been the most significant in our Southern Group, although the Midwest and Western Groups also provided notable revenue growth from yield in this line of business. In 2007, we also experienced increases in revenue due to yield on base business in the special waste and construction and demolition waste streams at our landfills.</w:t>
      </w:r>
    </w:p>
    <w:p>
      <w:pPr>
        <w:spacing w:after="0" w:line="53"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addition to the revenue growth provided by our pricing initiative, we saw an increase in revenue from yield at our waste-to-energy facilities in 2008. This increase was largely due to annual rate increases for electricity under long-term contracts and favorable energy market pricing, which is generally indexed to natural gas prices.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Revenues from our environmental fee, which is included in base business yield, were $181 million, $121 million and $76 million for the years ended December 31, 2008, 2007 and 2006, respectively.</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Commodity </w:t>
      </w:r>
      <w:r>
        <w:rPr>
          <w:rFonts w:ascii="Arial" w:cs="Arial" w:eastAsia="Arial" w:hAnsi="Arial"/>
          <w:sz w:val="13"/>
          <w:szCs w:val="13"/>
          <w:color w:val="auto"/>
        </w:rPr>
        <w:t>— For the first nine months of 2008, revenues increased $178 million due to higher recycling prices as compared with the prior year period. However, during the fourth</w:t>
      </w:r>
      <w:r>
        <w:rPr>
          <w:rFonts w:ascii="Arial" w:cs="Arial" w:eastAsia="Arial" w:hAnsi="Arial"/>
          <w:sz w:val="13"/>
          <w:szCs w:val="13"/>
          <w:i w:val="1"/>
          <w:iCs w:val="1"/>
          <w:color w:val="auto"/>
        </w:rPr>
        <w:t xml:space="preserve"> </w:t>
      </w:r>
      <w:r>
        <w:rPr>
          <w:rFonts w:ascii="Arial" w:cs="Arial" w:eastAsia="Arial" w:hAnsi="Arial"/>
          <w:sz w:val="13"/>
          <w:szCs w:val="13"/>
          <w:color w:val="auto"/>
        </w:rPr>
        <w:t>quarter of 2008, a rapid decline in commodity prices due to a significant decrease in the demand for commodities both domestically and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internationally caused a year-over-year revenue decrease of $97 million. In 2008, average prices for old corrugated cardboard decreased 9% and average prices for old newsprint increased by 14%. However, when comparing commodity prices during the fourth quarter of 2008 with the comparable prior year period, average prices for old corrugated cardboard decreased by 58% and average prices for old newsprint decreased by 30%.</w:t>
      </w:r>
    </w:p>
    <w:p>
      <w:pPr>
        <w:spacing w:after="0" w:line="67" w:lineRule="exact"/>
        <w:rPr>
          <w:sz w:val="20"/>
          <w:szCs w:val="20"/>
          <w:color w:val="auto"/>
        </w:rPr>
      </w:pPr>
    </w:p>
    <w:p>
      <w:pPr>
        <w:ind w:left="680" w:right="620" w:firstLine="399"/>
        <w:spacing w:after="0" w:line="276" w:lineRule="auto"/>
        <w:rPr>
          <w:sz w:val="20"/>
          <w:szCs w:val="20"/>
          <w:color w:val="auto"/>
        </w:rPr>
      </w:pPr>
      <w:r>
        <w:rPr>
          <w:rFonts w:ascii="Arial" w:cs="Arial" w:eastAsia="Arial" w:hAnsi="Arial"/>
          <w:sz w:val="13"/>
          <w:szCs w:val="13"/>
          <w:color w:val="auto"/>
        </w:rPr>
        <w:t>In 2007, average prices for old corrugated cardboard increased by 62% and average prices for old newsprint increased by 39% when compared with 2006, which drove the $306 million of revenue growth from commodity yield in 2007.</w:t>
      </w:r>
    </w:p>
    <w:p>
      <w:pPr>
        <w:spacing w:after="0" w:line="59"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i w:val="1"/>
          <w:iCs w:val="1"/>
          <w:color w:val="auto"/>
        </w:rPr>
        <w:t xml:space="preserve">Fuel surcharges and mandated fees </w:t>
      </w:r>
      <w:r>
        <w:rPr>
          <w:rFonts w:ascii="Arial" w:cs="Arial" w:eastAsia="Arial" w:hAnsi="Arial"/>
          <w:sz w:val="12"/>
          <w:szCs w:val="12"/>
          <w:color w:val="auto"/>
        </w:rPr>
        <w:t>— Fuel surcharges increased revenues year-over-year by $189 million in 2008. This increase is due to our continued effort to pass on our higher</w:t>
      </w:r>
      <w:r>
        <w:rPr>
          <w:rFonts w:ascii="Arial" w:cs="Arial" w:eastAsia="Arial" w:hAnsi="Arial"/>
          <w:sz w:val="12"/>
          <w:szCs w:val="12"/>
          <w:i w:val="1"/>
          <w:iCs w:val="1"/>
          <w:color w:val="auto"/>
        </w:rPr>
        <w:t xml:space="preserve"> </w:t>
      </w:r>
      <w:r>
        <w:rPr>
          <w:rFonts w:ascii="Arial" w:cs="Arial" w:eastAsia="Arial" w:hAnsi="Arial"/>
          <w:sz w:val="12"/>
          <w:szCs w:val="12"/>
          <w:color w:val="auto"/>
        </w:rPr>
        <w:t>fuel costs to our customers through fuel surcharges. Although our fuel surcharge program is designed to respond to changes in the market price for fuel, there is an administrative delay between the time our fuel costs change and when we are able to make the corresponding change in our fuel surcharges. This delay negatively affected our ability to fully recover our cost increases in the first six months of 2008 as the increases in our fuel surcharges consistently lagged the sharp increases in fuel costs throughout the first half of the year. However, the cost of fuel began to decline during the third quarter of 2008, allowing us to fully recover the fuel cost increases we incurred during the year.</w:t>
      </w:r>
    </w:p>
    <w:p>
      <w:pPr>
        <w:spacing w:after="0" w:line="55"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Fuel surcharges increased revenues year-over-year by $29 million in 2007. Market prices for fuel were relatively flat for the first nine months of 2007, but increased sharply during the fourth quarter. Accordingly, all of the revenue increase due to fuel surcharges in 2007 was generated during the fourth quarter, and we were unable to fully recover our higher fuel costs for the period.</w:t>
      </w:r>
    </w:p>
    <w:p>
      <w:pPr>
        <w:spacing w:after="0" w:line="67"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The mandated fees included in this line item are primarily related to the pass-through of 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3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Volume </w:t>
      </w:r>
      <w:r>
        <w:rPr>
          <w:rFonts w:ascii="Arial" w:cs="Arial" w:eastAsia="Arial" w:hAnsi="Arial"/>
          <w:sz w:val="13"/>
          <w:szCs w:val="13"/>
          <w:color w:val="auto"/>
        </w:rPr>
        <w:t>— The decline in our revenues due to lower volumes when comparing 2008 with 2007 has been driven by declines in our collection volumes and, to a lesser extent, lower</w:t>
      </w:r>
      <w:r>
        <w:rPr>
          <w:rFonts w:ascii="Arial" w:cs="Arial" w:eastAsia="Arial" w:hAnsi="Arial"/>
          <w:sz w:val="13"/>
          <w:szCs w:val="13"/>
          <w:i w:val="1"/>
          <w:iCs w:val="1"/>
          <w:color w:val="auto"/>
        </w:rPr>
        <w:t xml:space="preserve"> </w:t>
      </w:r>
      <w:r>
        <w:rPr>
          <w:rFonts w:ascii="Arial" w:cs="Arial" w:eastAsia="Arial" w:hAnsi="Arial"/>
          <w:sz w:val="13"/>
          <w:szCs w:val="13"/>
          <w:color w:val="auto"/>
        </w:rPr>
        <w:t>transfer station, recycling and third-party disposal volumes. Decreases in 2008 revenue due to lower volumes are discussed in more detail below:</w:t>
      </w:r>
    </w:p>
    <w:p>
      <w:pPr>
        <w:spacing w:after="0" w:line="59" w:lineRule="exact"/>
        <w:rPr>
          <w:sz w:val="20"/>
          <w:szCs w:val="20"/>
          <w:color w:val="auto"/>
        </w:rPr>
      </w:pPr>
    </w:p>
    <w:p>
      <w:pPr>
        <w:jc w:val="both"/>
        <w:ind w:left="1080" w:right="40" w:firstLine="383"/>
        <w:spacing w:after="0" w:line="260" w:lineRule="auto"/>
        <w:rPr>
          <w:sz w:val="20"/>
          <w:szCs w:val="20"/>
          <w:color w:val="auto"/>
        </w:rPr>
      </w:pPr>
      <w:r>
        <w:rPr>
          <w:rFonts w:ascii="Arial" w:cs="Arial" w:eastAsia="Arial" w:hAnsi="Arial"/>
          <w:sz w:val="13"/>
          <w:szCs w:val="13"/>
          <w:color w:val="auto"/>
        </w:rPr>
        <w:t>Our revenues from collection volumes continue to be affected by our focus on improving margins through increased pricing. However, the slowdown in the economy has also had a significant impact on our industrial collection line of business as a result of the continued slowdown in both residential and commercial construction activities across the United States. While our commercial collection line of business tends to be relatively recession resistant, we have experienced some volume declines in this business that we attribute to the sluggish economy.</w:t>
      </w:r>
    </w:p>
    <w:p>
      <w:pPr>
        <w:spacing w:after="0" w:line="70" w:lineRule="exact"/>
        <w:rPr>
          <w:sz w:val="20"/>
          <w:szCs w:val="20"/>
          <w:color w:val="auto"/>
        </w:rPr>
      </w:pPr>
    </w:p>
    <w:p>
      <w:pPr>
        <w:ind w:left="1080" w:right="180" w:firstLine="383"/>
        <w:spacing w:after="0" w:line="264" w:lineRule="auto"/>
        <w:rPr>
          <w:sz w:val="20"/>
          <w:szCs w:val="20"/>
          <w:color w:val="auto"/>
        </w:rPr>
      </w:pPr>
      <w:r>
        <w:rPr>
          <w:rFonts w:ascii="Arial" w:cs="Arial" w:eastAsia="Arial" w:hAnsi="Arial"/>
          <w:sz w:val="13"/>
          <w:szCs w:val="13"/>
          <w:color w:val="auto"/>
        </w:rPr>
        <w:t>Declines in revenue due to lower third-party volumes in our transfer station operations have been the most notable in our Eastern and Southern Groups and can generally be attributed to the effects of pricing and sluggish economic conditions. The declines in our revenues due to lower volumes in our recycling operations are attributable to the drastic decline in the demand for recyclables in late 2008, both domestically and internationally.</w:t>
      </w:r>
    </w:p>
    <w:p>
      <w:pPr>
        <w:spacing w:after="0" w:line="67" w:lineRule="exact"/>
        <w:rPr>
          <w:sz w:val="20"/>
          <w:szCs w:val="20"/>
          <w:color w:val="auto"/>
        </w:rPr>
      </w:pPr>
    </w:p>
    <w:p>
      <w:pPr>
        <w:ind w:left="1080" w:right="40" w:firstLine="383"/>
        <w:spacing w:after="0" w:line="296" w:lineRule="auto"/>
        <w:rPr>
          <w:sz w:val="20"/>
          <w:szCs w:val="20"/>
          <w:color w:val="auto"/>
        </w:rPr>
      </w:pPr>
      <w:r>
        <w:rPr>
          <w:rFonts w:ascii="Arial" w:cs="Arial" w:eastAsia="Arial" w:hAnsi="Arial"/>
          <w:sz w:val="12"/>
          <w:szCs w:val="12"/>
          <w:color w:val="auto"/>
        </w:rPr>
        <w:t>We have experienced declines in third-party revenue at our landfills due to reduced construction and demolition and municipal solid waste volumes throughout 2008, although the volume decline in our construction and demolition waste stream was at a slower rate than it had been in 2007 largely as a result of hurricane-related volume increases in our Southern Group. These volume declines have been offset, in part, by an increase in special waste disposal volumes, primarily in our Southern Group.</w:t>
      </w:r>
    </w:p>
    <w:p>
      <w:pPr>
        <w:spacing w:after="0" w:line="5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decline in our revenues due to lower volumes when comparing 2007 with 2006 was driven by declines in our collection volumes and, to a lesser extent, lower transfer station and third-party disposal volumes. Decreases in 2007 revenue due to lower volumes are discussed in more detail below:</w:t>
      </w:r>
    </w:p>
    <w:p>
      <w:pPr>
        <w:spacing w:after="0" w:line="59" w:lineRule="exact"/>
        <w:rPr>
          <w:sz w:val="20"/>
          <w:szCs w:val="20"/>
          <w:color w:val="auto"/>
        </w:rPr>
      </w:pPr>
    </w:p>
    <w:p>
      <w:pPr>
        <w:ind w:left="1080" w:right="540" w:firstLine="383"/>
        <w:spacing w:after="0" w:line="276" w:lineRule="auto"/>
        <w:rPr>
          <w:sz w:val="20"/>
          <w:szCs w:val="20"/>
          <w:color w:val="auto"/>
        </w:rPr>
      </w:pPr>
      <w:r>
        <w:rPr>
          <w:rFonts w:ascii="Arial" w:cs="Arial" w:eastAsia="Arial" w:hAnsi="Arial"/>
          <w:sz w:val="13"/>
          <w:szCs w:val="13"/>
          <w:color w:val="auto"/>
        </w:rPr>
        <w:t>Collection volume declines significantly affected the revenues of each of our collection lines of business in each geographic operating Group, but they were the most significant in our industrial collection business due to the significant slowdown in residential construction across the United States.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40" w:firstLine="383"/>
        <w:spacing w:after="0" w:line="258" w:lineRule="auto"/>
        <w:rPr>
          <w:sz w:val="20"/>
          <w:szCs w:val="20"/>
          <w:color w:val="auto"/>
        </w:rPr>
      </w:pPr>
      <w:r>
        <w:rPr>
          <w:rFonts w:ascii="Arial" w:cs="Arial" w:eastAsia="Arial" w:hAnsi="Arial"/>
          <w:sz w:val="13"/>
          <w:szCs w:val="13"/>
          <w:color w:val="auto"/>
        </w:rPr>
        <w:t>In 2007, declines in revenue due to lower third-party volumes in our transfer station operations were the most notable in our Eastern Group and were generally due to the effects of pricing. We also experienced declines in third-party revenue at our landfills due to reduced disposal volumes. The most significant declines were in our construction and demolition waste, particularly in our Southern Group. The reduction in construction and demolition volumes was largely due to the significant slowdown in residential construction across the United States. The volume declines for our municipal solid waste disposal operations were the most significant in our Midwest Group due primarily to our focus on pricing increases.</w:t>
      </w:r>
    </w:p>
    <w:p>
      <w:pPr>
        <w:spacing w:after="0" w:line="71" w:lineRule="exact"/>
        <w:rPr>
          <w:sz w:val="20"/>
          <w:szCs w:val="20"/>
          <w:color w:val="auto"/>
        </w:rPr>
      </w:pPr>
    </w:p>
    <w:p>
      <w:pPr>
        <w:ind w:left="1080" w:right="60" w:firstLine="383"/>
        <w:spacing w:after="0" w:line="264" w:lineRule="auto"/>
        <w:rPr>
          <w:sz w:val="20"/>
          <w:szCs w:val="20"/>
          <w:color w:val="auto"/>
        </w:rPr>
      </w:pPr>
      <w:r>
        <w:rPr>
          <w:rFonts w:ascii="Arial" w:cs="Arial" w:eastAsia="Arial" w:hAnsi="Arial"/>
          <w:sz w:val="13"/>
          <w:szCs w:val="13"/>
          <w:color w:val="auto"/>
        </w:rPr>
        <w:t>Waste-to-energy and recycling revenues also declined in 2007 due to volume decreases. In our waste-to-energy business, the decrease was largely due to the termination of an operating and maintenance agreement in May 2007. The revenue decline due to lower third-party volumes in our recycling business was primarily attributable to the decreases in certain brokerage activities and the closure of a plastics processing facility.</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Acquisitions and Divestitures </w:t>
      </w:r>
      <w:r>
        <w:rPr>
          <w:rFonts w:ascii="Arial" w:cs="Arial" w:eastAsia="Arial" w:hAnsi="Arial"/>
          <w:sz w:val="12"/>
          <w:szCs w:val="12"/>
          <w:color w:val="auto"/>
        </w:rPr>
        <w:t>— Revenues increased $117 million in 2008 and $37 million in 2007 due to acquisitions, principally in the collection, transfer and recycling businesses,</w:t>
      </w:r>
      <w:r>
        <w:rPr>
          <w:rFonts w:ascii="Arial" w:cs="Arial" w:eastAsia="Arial" w:hAnsi="Arial"/>
          <w:sz w:val="12"/>
          <w:szCs w:val="12"/>
          <w:i w:val="1"/>
          <w:iCs w:val="1"/>
          <w:color w:val="auto"/>
        </w:rPr>
        <w:t xml:space="preserve"> </w:t>
      </w:r>
      <w:r>
        <w:rPr>
          <w:rFonts w:ascii="Arial" w:cs="Arial" w:eastAsia="Arial" w:hAnsi="Arial"/>
          <w:sz w:val="12"/>
          <w:szCs w:val="12"/>
          <w:color w:val="auto"/>
        </w:rPr>
        <w:t>although we also made acquisitions in 2008 in our “Other” business as we focus on entering new lines of business. Divestitures accounted for decreased revenues of $130 million in 2008 and $320 million in 2007. These divestitures were primarily comprised of collection operations and, to a lesser extent, transfer station and recycling operations. In the second, third and fourth quarters of 2008, revenue growth from acquisitions exceeded revenue declines from divestitures, a trend we had not seen in over two years. This change reflects (i) that there are less under-performing operations that are being considered for divestiture and (ii) the resulting shift of focus to accretive acquisitions.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680" w:right="40" w:firstLine="399"/>
        <w:spacing w:after="0" w:line="275" w:lineRule="auto"/>
        <w:rPr>
          <w:sz w:val="20"/>
          <w:szCs w:val="20"/>
          <w:color w:val="auto"/>
        </w:rPr>
      </w:pPr>
      <w:r>
        <w:rPr>
          <w:rFonts w:ascii="Arial" w:cs="Arial" w:eastAsia="Arial" w:hAnsi="Arial"/>
          <w:sz w:val="12"/>
          <w:szCs w:val="12"/>
          <w:color w:val="auto"/>
        </w:rPr>
        <w:t>Our operating expenses include (i) labor and related benefits (excluding labor costs associated with maintenance and repairs included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relating to equipment, vehicles and facilities and related labor costs; (iv) subcontractor costs, which include the costs of independent haulers who transport waste collected by us to disposal facilities and are driven by variables such as volumes, distance and fuel prices; (v) costs of goods sold, which are primarily the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interest accretion on asset retirement and environmental remediation obligations, leachate and methane collection and treatment, landfill remediation costs and other landfill site costs;</w:t>
      </w:r>
    </w:p>
    <w:p>
      <w:pPr>
        <w:spacing w:after="0" w:line="2" w:lineRule="exact"/>
        <w:rPr>
          <w:sz w:val="20"/>
          <w:szCs w:val="20"/>
          <w:color w:val="auto"/>
        </w:rPr>
      </w:pPr>
    </w:p>
    <w:p>
      <w:pPr>
        <w:ind w:left="680" w:right="60" w:firstLine="7"/>
        <w:spacing w:after="0" w:line="264" w:lineRule="auto"/>
        <w:tabs>
          <w:tab w:leader="none" w:pos="902" w:val="left"/>
        </w:tabs>
        <w:numPr>
          <w:ilvl w:val="0"/>
          <w:numId w:val="20"/>
        </w:numPr>
        <w:rPr>
          <w:rFonts w:ascii="Arial" w:cs="Arial" w:eastAsia="Arial" w:hAnsi="Arial"/>
          <w:sz w:val="13"/>
          <w:szCs w:val="13"/>
          <w:color w:val="auto"/>
        </w:rPr>
      </w:pPr>
      <w:r>
        <w:rPr>
          <w:rFonts w:ascii="Arial" w:cs="Arial" w:eastAsia="Arial" w:hAnsi="Arial"/>
          <w:sz w:val="13"/>
          <w:szCs w:val="13"/>
          <w:color w:val="auto"/>
        </w:rPr>
        <w:t>risk management costs, which include workers’ compensation and insurance and claim costs and (x) other operating costs, which include, among other costs, equipment and facility rent and property taxes.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following table summarizes the major components of our operating expenses, including the impact of foreign currency translation, for the years ended December 31 (dollars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Period-to-</w:t>
            </w: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Period-to-</w:t>
            </w: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7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4"/>
          </w:tcPr>
          <w:p>
            <w:pPr>
              <w:jc w:val="right"/>
              <w:ind w:right="660"/>
              <w:spacing w:after="0"/>
              <w:rPr>
                <w:sz w:val="20"/>
                <w:szCs w:val="20"/>
                <w:color w:val="auto"/>
              </w:rPr>
            </w:pPr>
            <w:r>
              <w:rPr>
                <w:rFonts w:ascii="Arial" w:cs="Arial" w:eastAsia="Arial" w:hAnsi="Arial"/>
                <w:sz w:val="10"/>
                <w:szCs w:val="10"/>
                <w:b w:val="1"/>
                <w:bCs w:val="1"/>
                <w:color w:val="auto"/>
              </w:rPr>
              <w:t>Period Change</w:t>
            </w:r>
          </w:p>
        </w:tc>
        <w:tc>
          <w:tcPr>
            <w:tcW w:w="3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4"/>
          </w:tcPr>
          <w:p>
            <w:pPr>
              <w:jc w:val="right"/>
              <w:ind w:right="700"/>
              <w:spacing w:after="0"/>
              <w:rPr>
                <w:sz w:val="20"/>
                <w:szCs w:val="20"/>
                <w:color w:val="auto"/>
              </w:rPr>
            </w:pPr>
            <w:r>
              <w:rPr>
                <w:rFonts w:ascii="Arial" w:cs="Arial" w:eastAsia="Arial" w:hAnsi="Arial"/>
                <w:sz w:val="10"/>
                <w:szCs w:val="10"/>
                <w:b w:val="1"/>
                <w:bCs w:val="1"/>
                <w:color w:val="auto"/>
              </w:rPr>
              <w:t>Period Change</w:t>
            </w: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7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$ 2,420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8</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$ 2,412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$ 2,479</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1,048</w:t>
            </w:r>
          </w:p>
        </w:tc>
        <w:tc>
          <w:tcPr>
            <w:tcW w:w="1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(100)</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(8.7)</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1,148</w:t>
            </w:r>
          </w:p>
        </w:tc>
        <w:tc>
          <w:tcPr>
            <w:tcW w:w="1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(100)</w:t>
            </w: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(8.0)</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1,248</w:t>
            </w:r>
          </w:p>
        </w:tc>
        <w:tc>
          <w:tcPr>
            <w:tcW w:w="0" w:type="dxa"/>
            <w:vAlign w:val="bottom"/>
          </w:tcPr>
          <w:p>
            <w:pPr>
              <w:spacing w:after="0"/>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1,074</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(0.5)</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1,079</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1,137</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Subcontractor costs</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901</w:t>
            </w:r>
          </w:p>
        </w:tc>
        <w:tc>
          <w:tcPr>
            <w:tcW w:w="1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(0.1)</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902</w:t>
            </w:r>
          </w:p>
        </w:tc>
        <w:tc>
          <w:tcPr>
            <w:tcW w:w="1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(69)</w:t>
            </w:r>
          </w:p>
        </w:tc>
        <w:tc>
          <w:tcPr>
            <w:tcW w:w="780" w:type="dxa"/>
            <w:vAlign w:val="bottom"/>
            <w:gridSpan w:val="2"/>
          </w:tcPr>
          <w:p>
            <w:pPr>
              <w:jc w:val="right"/>
              <w:ind w:right="420"/>
              <w:spacing w:after="0"/>
              <w:rPr>
                <w:sz w:val="20"/>
                <w:szCs w:val="20"/>
                <w:color w:val="auto"/>
              </w:rPr>
            </w:pPr>
            <w:r>
              <w:rPr>
                <w:rFonts w:ascii="Arial" w:cs="Arial" w:eastAsia="Arial" w:hAnsi="Arial"/>
                <w:sz w:val="13"/>
                <w:szCs w:val="13"/>
                <w:color w:val="auto"/>
              </w:rPr>
              <w:t>(7.1)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971</w:t>
            </w:r>
          </w:p>
        </w:tc>
        <w:tc>
          <w:tcPr>
            <w:tcW w:w="0" w:type="dxa"/>
            <w:vAlign w:val="bottom"/>
          </w:tcPr>
          <w:p>
            <w:pPr>
              <w:spacing w:after="0"/>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812</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43</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5.6</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769</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180</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30.6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Fuel</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715</w:t>
            </w:r>
          </w:p>
        </w:tc>
        <w:tc>
          <w:tcPr>
            <w:tcW w:w="12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134</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23.1</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581</w:t>
            </w:r>
          </w:p>
        </w:tc>
        <w:tc>
          <w:tcPr>
            <w:tcW w:w="12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2</w:t>
            </w:r>
          </w:p>
        </w:tc>
        <w:tc>
          <w:tcPr>
            <w:tcW w:w="780" w:type="dxa"/>
            <w:vAlign w:val="bottom"/>
            <w:gridSpan w:val="2"/>
          </w:tcPr>
          <w:p>
            <w:pPr>
              <w:jc w:val="right"/>
              <w:ind w:right="460"/>
              <w:spacing w:after="0"/>
              <w:rPr>
                <w:sz w:val="20"/>
                <w:szCs w:val="20"/>
                <w:color w:val="auto"/>
              </w:rPr>
            </w:pPr>
            <w:r>
              <w:rPr>
                <w:rFonts w:ascii="Arial" w:cs="Arial" w:eastAsia="Arial" w:hAnsi="Arial"/>
                <w:sz w:val="13"/>
                <w:szCs w:val="13"/>
                <w:color w:val="auto"/>
              </w:rPr>
              <w:t>0.3</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579</w:t>
            </w:r>
          </w:p>
        </w:tc>
        <w:tc>
          <w:tcPr>
            <w:tcW w:w="0" w:type="dxa"/>
            <w:vAlign w:val="bottom"/>
          </w:tcPr>
          <w:p>
            <w:pPr>
              <w:spacing w:after="0"/>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608</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6</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602</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641</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291</w:t>
            </w:r>
          </w:p>
        </w:tc>
        <w:tc>
          <w:tcPr>
            <w:tcW w:w="12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30</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11.5</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261</w:t>
            </w:r>
          </w:p>
        </w:tc>
        <w:tc>
          <w:tcPr>
            <w:tcW w:w="12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23</w:t>
            </w:r>
          </w:p>
        </w:tc>
        <w:tc>
          <w:tcPr>
            <w:tcW w:w="780" w:type="dxa"/>
            <w:vAlign w:val="bottom"/>
            <w:gridSpan w:val="2"/>
          </w:tcPr>
          <w:p>
            <w:pPr>
              <w:jc w:val="right"/>
              <w:ind w:right="460"/>
              <w:spacing w:after="0"/>
              <w:rPr>
                <w:sz w:val="20"/>
                <w:szCs w:val="20"/>
                <w:color w:val="auto"/>
              </w:rPr>
            </w:pPr>
            <w:r>
              <w:rPr>
                <w:rFonts w:ascii="Arial" w:cs="Arial" w:eastAsia="Arial" w:hAnsi="Arial"/>
                <w:sz w:val="13"/>
                <w:szCs w:val="13"/>
                <w:color w:val="auto"/>
              </w:rPr>
              <w:t>9.7</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99"/>
              </w:rPr>
              <w:t>(25.4)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Other</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388</w:t>
            </w:r>
          </w:p>
        </w:tc>
        <w:tc>
          <w:tcPr>
            <w:tcW w:w="12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(43)</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w w:val="99"/>
              </w:rPr>
              <w:t>(10.0)</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431</w:t>
            </w:r>
          </w:p>
        </w:tc>
        <w:tc>
          <w:tcPr>
            <w:tcW w:w="120" w:type="dxa"/>
            <w:vAlign w:val="bottom"/>
          </w:tcPr>
          <w:p>
            <w:pPr>
              <w:spacing w:after="0"/>
              <w:rPr>
                <w:sz w:val="13"/>
                <w:szCs w:val="13"/>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3"/>
                <w:szCs w:val="13"/>
                <w:color w:val="auto"/>
              </w:rPr>
              <w:t>17</w:t>
            </w:r>
          </w:p>
        </w:tc>
        <w:tc>
          <w:tcPr>
            <w:tcW w:w="780" w:type="dxa"/>
            <w:vAlign w:val="bottom"/>
            <w:gridSpan w:val="2"/>
          </w:tcPr>
          <w:p>
            <w:pPr>
              <w:jc w:val="right"/>
              <w:ind w:right="460"/>
              <w:spacing w:after="0"/>
              <w:rPr>
                <w:sz w:val="20"/>
                <w:szCs w:val="20"/>
                <w:color w:val="auto"/>
              </w:rPr>
            </w:pPr>
            <w:r>
              <w:rPr>
                <w:rFonts w:ascii="Arial" w:cs="Arial" w:eastAsia="Arial" w:hAnsi="Arial"/>
                <w:sz w:val="13"/>
                <w:szCs w:val="13"/>
                <w:color w:val="auto"/>
              </w:rPr>
              <w:t>4.1</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$ 8,466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64</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0.8%</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$ 8,402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(185)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$ 8,587</w:t>
            </w:r>
          </w:p>
        </w:tc>
        <w:tc>
          <w:tcPr>
            <w:tcW w:w="0" w:type="dxa"/>
            <w:vAlign w:val="bottom"/>
          </w:tcPr>
          <w:p>
            <w:pPr>
              <w:spacing w:after="0"/>
              <w:rPr>
                <w:sz w:val="1"/>
                <w:szCs w:val="1"/>
                <w:color w:val="auto"/>
              </w:rPr>
            </w:pPr>
          </w:p>
        </w:tc>
      </w:tr>
      <w:tr>
        <w:trPr>
          <w:trHeight w:val="29"/>
        </w:trPr>
        <w:tc>
          <w:tcPr>
            <w:tcW w:w="4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changes in our operating expenses for 2008 and 2007 compared with the prior years can largely be attributed to the following:</w:t>
      </w:r>
    </w:p>
    <w:p>
      <w:pPr>
        <w:spacing w:after="0" w:line="96" w:lineRule="exact"/>
        <w:rPr>
          <w:sz w:val="20"/>
          <w:szCs w:val="20"/>
          <w:color w:val="auto"/>
        </w:rPr>
      </w:pPr>
    </w:p>
    <w:p>
      <w:pPr>
        <w:jc w:val="both"/>
        <w:ind w:left="1280" w:right="120" w:hanging="190"/>
        <w:spacing w:after="0" w:line="296" w:lineRule="auto"/>
        <w:tabs>
          <w:tab w:leader="none" w:pos="1280" w:val="left"/>
        </w:tabs>
        <w:numPr>
          <w:ilvl w:val="0"/>
          <w:numId w:val="21"/>
        </w:numPr>
        <w:rPr>
          <w:rFonts w:ascii="Arial" w:cs="Arial" w:eastAsia="Arial" w:hAnsi="Arial"/>
          <w:sz w:val="12"/>
          <w:szCs w:val="12"/>
          <w:color w:val="auto"/>
        </w:rPr>
      </w:pPr>
      <w:r>
        <w:rPr>
          <w:rFonts w:ascii="Arial" w:cs="Arial" w:eastAsia="Arial" w:hAnsi="Arial"/>
          <w:sz w:val="12"/>
          <w:szCs w:val="12"/>
          <w:i w:val="1"/>
          <w:iCs w:val="1"/>
          <w:color w:val="auto"/>
        </w:rPr>
        <w:t xml:space="preserve">Volume declines and divestitures — </w:t>
      </w:r>
      <w:r>
        <w:rPr>
          <w:rFonts w:ascii="Arial" w:cs="Arial" w:eastAsia="Arial" w:hAnsi="Arial"/>
          <w:sz w:val="12"/>
          <w:szCs w:val="12"/>
          <w:color w:val="auto"/>
        </w:rPr>
        <w:t>In both 2008 and 2007, we experienced volume declines as a result of (i) the weakening economy; (ii) our focus on our pricing program and</w:t>
      </w:r>
      <w:r>
        <w:rPr>
          <w:rFonts w:ascii="Arial" w:cs="Arial" w:eastAsia="Arial" w:hAnsi="Arial"/>
          <w:sz w:val="12"/>
          <w:szCs w:val="12"/>
          <w:i w:val="1"/>
          <w:iCs w:val="1"/>
          <w:color w:val="auto"/>
        </w:rPr>
        <w:t xml:space="preserve"> </w:t>
      </w:r>
      <w:r>
        <w:rPr>
          <w:rFonts w:ascii="Arial" w:cs="Arial" w:eastAsia="Arial" w:hAnsi="Arial"/>
          <w:sz w:val="12"/>
          <w:szCs w:val="12"/>
          <w:color w:val="auto"/>
        </w:rPr>
        <w:t>shedding unprofitable business; and (iii) divestitures. We continue to manage our fixed costs and reduce our variable costs as we experience volume declines, and have achieved significant cost savings as a result. These cost decreases have benefited each of the operating cost categories identified in the table above.</w:t>
      </w:r>
    </w:p>
    <w:p>
      <w:pPr>
        <w:spacing w:after="0" w:line="39" w:lineRule="exact"/>
        <w:rPr>
          <w:rFonts w:ascii="Arial" w:cs="Arial" w:eastAsia="Arial" w:hAnsi="Arial"/>
          <w:sz w:val="12"/>
          <w:szCs w:val="12"/>
          <w:color w:val="auto"/>
        </w:rPr>
      </w:pPr>
    </w:p>
    <w:p>
      <w:pPr>
        <w:ind w:left="1280" w:right="14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and growth initiatives — </w:t>
      </w:r>
      <w:r>
        <w:rPr>
          <w:rFonts w:ascii="Arial" w:cs="Arial" w:eastAsia="Arial" w:hAnsi="Arial"/>
          <w:sz w:val="13"/>
          <w:szCs w:val="13"/>
          <w:color w:val="auto"/>
        </w:rPr>
        <w:t>During 2008, a significant portion of the cost savings derived from divestitures was offset by cost increases attributed to recently acquired</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businesses and, to a lesser extent, other growth initiatives.</w:t>
      </w:r>
    </w:p>
    <w:p>
      <w:pPr>
        <w:spacing w:after="0" w:line="49" w:lineRule="exact"/>
        <w:rPr>
          <w:rFonts w:ascii="Arial" w:cs="Arial" w:eastAsia="Arial" w:hAnsi="Arial"/>
          <w:sz w:val="13"/>
          <w:szCs w:val="13"/>
          <w:color w:val="auto"/>
        </w:rPr>
      </w:pPr>
    </w:p>
    <w:p>
      <w:pPr>
        <w:ind w:left="1280" w:right="20" w:hanging="190"/>
        <w:spacing w:after="0" w:line="255"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Fuel price increases — </w:t>
      </w:r>
      <w:r>
        <w:rPr>
          <w:rFonts w:ascii="Arial" w:cs="Arial" w:eastAsia="Arial" w:hAnsi="Arial"/>
          <w:sz w:val="13"/>
          <w:szCs w:val="13"/>
          <w:color w:val="auto"/>
        </w:rPr>
        <w:t>In each year, increased fuel costs have increased our operating expenses and negatively affected our operating margins. Diesel fuel prices varied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significantly in 2008, reaching a record-high price of $4.76 per gallon in July and falling to a three-year low of $2.33 per gallon by the end of the year. On average, diesel fuel prices increased 32% from $2.88 per gallon in 2007 to $3.81 per gallon in 2008. For 2007, we experienced an average increase of $0.18 per gallon as compared with 2006, or almost 7%. Higher fuel costs caused increases in both our direct fuel costs and our subcontractor costs throughout 2008 and 2007. As disclosed in the </w:t>
      </w:r>
      <w:r>
        <w:rPr>
          <w:rFonts w:ascii="Arial" w:cs="Arial" w:eastAsia="Arial" w:hAnsi="Arial"/>
          <w:sz w:val="13"/>
          <w:szCs w:val="13"/>
          <w:i w:val="1"/>
          <w:iCs w:val="1"/>
          <w:color w:val="auto"/>
        </w:rPr>
        <w:t>Operating Revenues</w:t>
      </w:r>
      <w:r>
        <w:rPr>
          <w:rFonts w:ascii="Arial" w:cs="Arial" w:eastAsia="Arial" w:hAnsi="Arial"/>
          <w:sz w:val="13"/>
          <w:szCs w:val="13"/>
          <w:color w:val="auto"/>
        </w:rPr>
        <w:t xml:space="preserve"> section above, we have a fuel surcharge program that is designed to recover our increased fuel costs. Although our fuel surcharge program is designed to respond to changes in the market price for fuel, there is an administrative delay between the time our fuel costs change and when we are able to make the corresponding change in our fuel surcharges. This delay negatively affected our ability to fully recover our cost increases in the first six months of 2008 as the increases in our fuel surcharges consistently lagged the sharp increases in fuel costs throughout the first half of the year. However, the cost of fuel declined during the last half of 2008, allowing us to fully recover the fuel costs increase we incurred during the year.</w:t>
      </w:r>
    </w:p>
    <w:p>
      <w:pPr>
        <w:spacing w:after="0" w:line="64"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i w:val="1"/>
          <w:iCs w:val="1"/>
          <w:color w:val="auto"/>
        </w:rPr>
        <w:t xml:space="preserve">Commodities markets — </w:t>
      </w:r>
      <w:r>
        <w:rPr>
          <w:rFonts w:ascii="Arial" w:cs="Arial" w:eastAsia="Arial" w:hAnsi="Arial"/>
          <w:sz w:val="13"/>
          <w:szCs w:val="13"/>
          <w:color w:val="auto"/>
        </w:rPr>
        <w:t>Market prices for recyclable commodities increased significantly from 2006 to 2007 and also continued to climb through most of 2008, resulting in</w:t>
      </w:r>
      <w:r>
        <w:rPr>
          <w:rFonts w:ascii="Arial" w:cs="Arial" w:eastAsia="Arial" w:hAnsi="Arial"/>
          <w:sz w:val="13"/>
          <w:szCs w:val="13"/>
          <w:i w:val="1"/>
          <w:iCs w:val="1"/>
          <w:color w:val="auto"/>
        </w:rPr>
        <w:t xml:space="preserve"> </w:t>
      </w:r>
      <w:r>
        <w:rPr>
          <w:rFonts w:ascii="Arial" w:cs="Arial" w:eastAsia="Arial" w:hAnsi="Arial"/>
          <w:sz w:val="13"/>
          <w:szCs w:val="13"/>
          <w:color w:val="auto"/>
        </w:rPr>
        <w:t>higher costs of goods sold in both periods. However, during the fourth quarter of 2008, the market prices and demand for recyclable commodities declined sharply. The significant decrease in market prices during the fourth quarter of 2008 and significant decreases in our brokerage and recycling facility volumes during much of 2008 partially offset the effect of higher commodity prices on our cost of goods sold during the first three quarters of 2008.</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25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Union-related labor issues </w:t>
      </w:r>
      <w:r>
        <w:rPr>
          <w:rFonts w:ascii="Arial" w:cs="Arial" w:eastAsia="Arial" w:hAnsi="Arial"/>
          <w:sz w:val="13"/>
          <w:szCs w:val="13"/>
          <w:color w:val="auto"/>
        </w:rPr>
        <w:t>— Our 2008 operating expenses were significantly affected by a labor disruption associated with the renegotiation of a collective bargaining agreement</w:t>
      </w:r>
      <w:r>
        <w:rPr>
          <w:rFonts w:ascii="Arial" w:cs="Arial" w:eastAsia="Arial" w:hAnsi="Arial"/>
          <w:sz w:val="13"/>
          <w:szCs w:val="13"/>
          <w:i w:val="1"/>
          <w:iCs w:val="1"/>
          <w:color w:val="auto"/>
        </w:rPr>
        <w:t xml:space="preserve"> </w:t>
      </w:r>
      <w:r>
        <w:rPr>
          <w:rFonts w:ascii="Arial" w:cs="Arial" w:eastAsia="Arial" w:hAnsi="Arial"/>
          <w:sz w:val="13"/>
          <w:szCs w:val="13"/>
          <w:color w:val="auto"/>
        </w:rPr>
        <w:t>in Milwaukee, Wisconsin and the related agreement of the bargaining unit to withdraw from the underfunded Central States Pension Fund, which is discussed in Note 10 to the Consolidated Financial Statements. These activities increased the operating expenses of our Midwest Group by $32 million during the third and fourth quarters of 2008. Approximately $24 million of these costs have been included in the “Labor and related benefits” category, $21 million of which were associated with charges related to the bargaining unit agreeing to our proposal to withdraw them from the underfunded Central States Pension Fund. The remaining $8 million has been included in our “Other” category and was related to security and the deployment and lodging costs incurred for the Company’s replacement workers who were brought to Milwaukee from across the organization.</w:t>
      </w:r>
    </w:p>
    <w:p>
      <w:pPr>
        <w:spacing w:after="0" w:line="73" w:lineRule="exact"/>
        <w:rPr>
          <w:rFonts w:ascii="Arial" w:cs="Arial" w:eastAsia="Arial" w:hAnsi="Arial"/>
          <w:sz w:val="13"/>
          <w:szCs w:val="13"/>
          <w:color w:val="auto"/>
        </w:rPr>
      </w:pPr>
    </w:p>
    <w:p>
      <w:pPr>
        <w:ind w:left="1280" w:right="20"/>
        <w:spacing w:after="0" w:line="276" w:lineRule="auto"/>
        <w:rPr>
          <w:rFonts w:ascii="Arial" w:cs="Arial" w:eastAsia="Arial" w:hAnsi="Arial"/>
          <w:sz w:val="13"/>
          <w:szCs w:val="13"/>
          <w:color w:val="auto"/>
        </w:rPr>
      </w:pPr>
      <w:r>
        <w:rPr>
          <w:rFonts w:ascii="Arial" w:cs="Arial" w:eastAsia="Arial" w:hAnsi="Arial"/>
          <w:sz w:val="13"/>
          <w:szCs w:val="13"/>
          <w:color w:val="auto"/>
        </w:rPr>
        <w:t>Additionally, during the fourth quarter of 2008, we incurred another $18 million in “Labor and related benefits” charges associated with the withdrawal of certain bargaining units in our Midwest and Eastern Groups from underfunded multi-employer pension plans.</w:t>
      </w:r>
    </w:p>
    <w:p>
      <w:pPr>
        <w:spacing w:after="0" w:line="59" w:lineRule="exact"/>
        <w:rPr>
          <w:rFonts w:ascii="Arial" w:cs="Arial" w:eastAsia="Arial" w:hAnsi="Arial"/>
          <w:sz w:val="13"/>
          <w:szCs w:val="13"/>
          <w:color w:val="auto"/>
        </w:rPr>
      </w:pPr>
    </w:p>
    <w:p>
      <w:pPr>
        <w:ind w:left="1280" w:right="360"/>
        <w:spacing w:after="0" w:line="276" w:lineRule="auto"/>
        <w:rPr>
          <w:rFonts w:ascii="Arial" w:cs="Arial" w:eastAsia="Arial" w:hAnsi="Arial"/>
          <w:sz w:val="13"/>
          <w:szCs w:val="13"/>
          <w:color w:val="auto"/>
        </w:rPr>
      </w:pPr>
      <w:r>
        <w:rPr>
          <w:rFonts w:ascii="Arial" w:cs="Arial" w:eastAsia="Arial" w:hAnsi="Arial"/>
          <w:sz w:val="13"/>
          <w:szCs w:val="13"/>
          <w:color w:val="auto"/>
        </w:rPr>
        <w:t>In 2007, our Western Group incurred “Other” operating expenses of $33 million for security, labor, lodging, travel and other costs incurred as a result of labor disruptions in Oakland and Los Angeles, California.</w:t>
      </w:r>
    </w:p>
    <w:p>
      <w:pPr>
        <w:spacing w:after="0" w:line="59" w:lineRule="exact"/>
        <w:rPr>
          <w:rFonts w:ascii="Arial" w:cs="Arial" w:eastAsia="Arial" w:hAnsi="Arial"/>
          <w:sz w:val="13"/>
          <w:szCs w:val="13"/>
          <w:color w:val="auto"/>
        </w:rPr>
      </w:pPr>
    </w:p>
    <w:p>
      <w:pPr>
        <w:ind w:left="1280" w:right="140" w:hanging="190"/>
        <w:spacing w:after="0" w:line="260"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Changes in risk-free interest rates </w:t>
      </w:r>
      <w:r>
        <w:rPr>
          <w:rFonts w:ascii="Arial" w:cs="Arial" w:eastAsia="Arial" w:hAnsi="Arial"/>
          <w:sz w:val="13"/>
          <w:szCs w:val="13"/>
          <w:color w:val="auto"/>
        </w:rPr>
        <w:t>— We recognized a $33 million charge to landfill operating costs during the fourth quarter of 2008 due to a sharp decline in United States</w:t>
      </w:r>
      <w:r>
        <w:rPr>
          <w:rFonts w:ascii="Arial" w:cs="Arial" w:eastAsia="Arial" w:hAnsi="Arial"/>
          <w:sz w:val="13"/>
          <w:szCs w:val="13"/>
          <w:i w:val="1"/>
          <w:iCs w:val="1"/>
          <w:color w:val="auto"/>
        </w:rPr>
        <w:t xml:space="preserve"> </w:t>
      </w:r>
      <w:r>
        <w:rPr>
          <w:rFonts w:ascii="Arial" w:cs="Arial" w:eastAsia="Arial" w:hAnsi="Arial"/>
          <w:sz w:val="13"/>
          <w:szCs w:val="13"/>
          <w:color w:val="auto"/>
        </w:rPr>
        <w:t>Treasury rates, which are used to estimate the present value of our environmental remediation obligations. During the fourth quarter of 2008, the discount rate used was reduced from 4.00% to 2.25%. During 2007, we recorded an $8 million charge to reduce the discount rate from 4.75% to 4.00% and during 2006 we recorded a $6 million decrease in expense to reflect an increase in the rate from 4.25% to 4.75%.</w:t>
      </w:r>
    </w:p>
    <w:p>
      <w:pPr>
        <w:spacing w:after="0" w:line="70"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Many of the cost increases summarized above are due to general economic and market conditions over which we have little or no control. After considering the significant impacts of market-driven factors, we are encouraged that our results continue to reflect our focus on (i) identifying operational efficiencies that translate into cost savings; (ii) managing our fixed costs and reducing our variable costs as volumes decline due to our pricing program and the downturn in the economy; and (iii) reducing our costs in light of recent divestitures.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items affecting the comparability of our operating expenses by category for the three years presented include the following: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Labor and related benefits</w:t>
      </w:r>
    </w:p>
    <w:p>
      <w:pPr>
        <w:spacing w:after="0" w:line="96" w:lineRule="exact"/>
        <w:rPr>
          <w:sz w:val="20"/>
          <w:szCs w:val="20"/>
          <w:color w:val="auto"/>
        </w:rPr>
      </w:pPr>
    </w:p>
    <w:p>
      <w:pPr>
        <w:ind w:left="1280" w:right="20" w:hanging="190"/>
        <w:spacing w:after="0" w:line="258"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each year, wages increased due to annual merit adjustments, although these higher costs have been more than offset by headcount reductions due to operational efficiencies and divestitures.</w:t>
      </w: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experienced additional overtime and other labor costs due to severe winter weather conditions during the first quarter of 2008 in our Midwest Group.</w:t>
      </w:r>
    </w:p>
    <w:p>
      <w:pPr>
        <w:spacing w:after="0" w:line="7" w:lineRule="exact"/>
        <w:rPr>
          <w:rFonts w:ascii="Arial" w:cs="Arial" w:eastAsia="Arial" w:hAnsi="Arial"/>
          <w:sz w:val="13"/>
          <w:szCs w:val="13"/>
          <w:color w:val="auto"/>
        </w:rPr>
      </w:pPr>
    </w:p>
    <w:p>
      <w:pPr>
        <w:ind w:left="1280" w:right="300" w:hanging="190"/>
        <w:spacing w:after="0" w:line="264"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accrued bonus expenses were lower in 2008 because our performance against targets established by our incentive plans was not as strong as it had been in either 2007 or 2006.</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Transfer and disposal costs</w:t>
      </w:r>
    </w:p>
    <w:p>
      <w:pPr>
        <w:spacing w:after="0" w:line="96"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During 2008 and 2007, these costs decreased due to volume declines and divestitures.</w:t>
      </w:r>
    </w:p>
    <w:p>
      <w:pPr>
        <w:spacing w:after="0" w:line="15"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During 2008 and 2007, these costs further decreased due to our focus on improving internalization.</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Disposal and franchise fees and taxes</w:t>
      </w:r>
    </w:p>
    <w:p>
      <w:pPr>
        <w:spacing w:after="0" w:line="96"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favorable resolution of a disposal tax matter in our Eastern Group reduced these expenses by $18 million during 2007 and $3 million during 2008.</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Landfill operating costs</w:t>
      </w:r>
    </w:p>
    <w:p>
      <w:pPr>
        <w:spacing w:after="0" w:line="96" w:lineRule="exact"/>
        <w:rPr>
          <w:sz w:val="20"/>
          <w:szCs w:val="20"/>
          <w:color w:val="auto"/>
        </w:rPr>
      </w:pPr>
    </w:p>
    <w:p>
      <w:pPr>
        <w:ind w:left="5620" w:right="1940" w:hanging="4530"/>
        <w:spacing w:after="0" w:line="750" w:lineRule="auto"/>
        <w:tabs>
          <w:tab w:leader="none" w:pos="1295"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2008, these costs included the unfavorable impact of the January 1, 2008 adoption of SFAS No. 157, which resulted in a $6 million charge.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During 2007, we recognized an $8 million charge for a revision in our estimate of remediation costs associated with one of our prior operations.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Risk management</w:t>
      </w:r>
    </w:p>
    <w:p>
      <w:pPr>
        <w:spacing w:after="0" w:line="96" w:lineRule="exact"/>
        <w:rPr>
          <w:sz w:val="20"/>
          <w:szCs w:val="20"/>
          <w:color w:val="auto"/>
        </w:rPr>
      </w:pPr>
    </w:p>
    <w:p>
      <w:pPr>
        <w:ind w:left="1280" w:right="300" w:hanging="190"/>
        <w:spacing w:after="0" w:line="258"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Over the last three years, we have been successful in reducing these costs, which can be primarily attributed to our continued focus on safety and reduced accident and injury rates.</w:t>
      </w:r>
    </w:p>
    <w:p>
      <w:pPr>
        <w:ind w:left="1280" w:right="320" w:hanging="190"/>
        <w:spacing w:after="0" w:line="252"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For 2008, the decrease in expense was largely associated with reduced actuarial projections of workers’ compensation costs and reduced auto and general liability claims for current claim periods.</w:t>
      </w:r>
    </w:p>
    <w:p>
      <w:pPr>
        <w:ind w:left="1280" w:right="580" w:hanging="190"/>
        <w:spacing w:after="0" w:line="264"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For 2007, the decrease in expense was largely associated with reduced actuarial projections of auto and general liability claims and, to a lesser extent, reduced workers’ compensation costs, all primarily related to prior claim periods.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w:t>
      </w:r>
    </w:p>
    <w:p>
      <w:pPr>
        <w:spacing w:after="0" w:line="96" w:lineRule="exact"/>
        <w:rPr>
          <w:sz w:val="20"/>
          <w:szCs w:val="20"/>
          <w:color w:val="auto"/>
        </w:rPr>
      </w:pPr>
    </w:p>
    <w:p>
      <w:pPr>
        <w:ind w:left="1280" w:right="260" w:hanging="190"/>
        <w:spacing w:after="0" w:line="258"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2007, we incurred $21 million of lease termination costs associated with the purchase of one of our independent power production plants that had previously been operated through a lease agreement.</w:t>
      </w:r>
    </w:p>
    <w:p>
      <w:pPr>
        <w:ind w:left="1280" w:hanging="190"/>
        <w:spacing w:after="0"/>
        <w:tabs>
          <w:tab w:leader="none" w:pos="12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 2008 and 2007, we had an increase in gains recognized on the sales of assets due to our focus on identifying under-utilized assets in order to increase our efficiency.</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selling, general and administrative expenses consist of (i) labor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 advertising, travel and entertainment, rentals, postage and printing. In addition, the financial impacts of litigation settlements generally are included in our “other” selling, general and administrative expenses.</w:t>
      </w:r>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following table summarizes the major components of our selling, general and administrative expenses for the years ended December 31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98"/>
              </w:rPr>
              <w:t>2008</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gridSpan w:val="2"/>
          </w:tcPr>
          <w:p>
            <w:pPr>
              <w:jc w:val="right"/>
              <w:ind w:right="980"/>
              <w:spacing w:after="0"/>
              <w:rPr>
                <w:sz w:val="20"/>
                <w:szCs w:val="20"/>
                <w:color w:val="auto"/>
              </w:rPr>
            </w:pPr>
            <w:r>
              <w:rPr>
                <w:rFonts w:ascii="Arial" w:cs="Arial" w:eastAsia="Arial" w:hAnsi="Arial"/>
                <w:sz w:val="10"/>
                <w:szCs w:val="10"/>
                <w:b w:val="1"/>
                <w:bCs w:val="1"/>
                <w:color w:val="auto"/>
                <w:w w:val="97"/>
              </w:rPr>
              <w:t>Period-to-</w:t>
            </w:r>
          </w:p>
        </w:tc>
        <w:tc>
          <w:tcPr>
            <w:tcW w:w="80" w:type="dxa"/>
            <w:vAlign w:val="bottom"/>
          </w:tcPr>
          <w:p>
            <w:pPr>
              <w:spacing w:after="0"/>
              <w:rPr>
                <w:sz w:val="10"/>
                <w:szCs w:val="10"/>
                <w:color w:val="auto"/>
              </w:rPr>
            </w:pPr>
          </w:p>
        </w:tc>
        <w:tc>
          <w:tcPr>
            <w:tcW w:w="32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98"/>
              </w:rPr>
              <w:t>2007</w:t>
            </w: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w w:val="93"/>
              </w:rPr>
              <w:t>Period-to-</w:t>
            </w: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740" w:type="dxa"/>
            <w:vAlign w:val="bottom"/>
            <w:gridSpan w:val="4"/>
          </w:tcPr>
          <w:p>
            <w:pPr>
              <w:jc w:val="right"/>
              <w:ind w:right="86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560" w:type="dxa"/>
            <w:vAlign w:val="bottom"/>
            <w:gridSpan w:val="4"/>
          </w:tcPr>
          <w:p>
            <w:pPr>
              <w:jc w:val="right"/>
              <w:ind w:right="70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8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853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6"/>
              </w:rPr>
              <w:t>$ 18</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835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6"/>
              </w:rPr>
              <w:t>$ 41</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794</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20"/>
                <w:szCs w:val="20"/>
                <w:color w:val="auto"/>
              </w:rPr>
            </w:pPr>
            <w:r>
              <w:rPr>
                <w:rFonts w:ascii="Arial" w:cs="Arial" w:eastAsia="Arial" w:hAnsi="Arial"/>
                <w:sz w:val="13"/>
                <w:szCs w:val="13"/>
                <w:color w:val="auto"/>
              </w:rPr>
              <w:t>Professional fees</w:t>
            </w:r>
          </w:p>
        </w:tc>
        <w:tc>
          <w:tcPr>
            <w:tcW w:w="80" w:type="dxa"/>
            <w:vAlign w:val="bottom"/>
          </w:tcPr>
          <w:p>
            <w:pPr>
              <w:spacing w:after="0"/>
              <w:rPr>
                <w:sz w:val="13"/>
                <w:szCs w:val="13"/>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3"/>
                <w:szCs w:val="13"/>
                <w:color w:val="auto"/>
              </w:rPr>
              <w:t>168</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8</w:t>
            </w:r>
          </w:p>
        </w:tc>
        <w:tc>
          <w:tcPr>
            <w:tcW w:w="1460" w:type="dxa"/>
            <w:vAlign w:val="bottom"/>
            <w:gridSpan w:val="2"/>
          </w:tcPr>
          <w:p>
            <w:pPr>
              <w:jc w:val="right"/>
              <w:ind w:right="660"/>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3"/>
                <w:szCs w:val="13"/>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3"/>
                <w:szCs w:val="13"/>
                <w:color w:val="auto"/>
              </w:rPr>
              <w:t>160</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(1)</w:t>
            </w:r>
          </w:p>
        </w:tc>
        <w:tc>
          <w:tcPr>
            <w:tcW w:w="1260" w:type="dxa"/>
            <w:vAlign w:val="bottom"/>
            <w:gridSpan w:val="2"/>
          </w:tcPr>
          <w:p>
            <w:pPr>
              <w:jc w:val="right"/>
              <w:ind w:right="460"/>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57"/>
        </w:trPr>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57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16.3</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49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3880" w:type="dxa"/>
            <w:vAlign w:val="bottom"/>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3"/>
                <w:szCs w:val="13"/>
                <w:color w:val="auto"/>
              </w:rPr>
              <w:t>399</w:t>
            </w:r>
          </w:p>
        </w:tc>
        <w:tc>
          <w:tcPr>
            <w:tcW w:w="28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1460" w:type="dxa"/>
            <w:vAlign w:val="bottom"/>
            <w:gridSpan w:val="2"/>
          </w:tcPr>
          <w:p>
            <w:pPr>
              <w:jc w:val="right"/>
              <w:ind w:right="660"/>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3"/>
                <w:szCs w:val="13"/>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3"/>
                <w:szCs w:val="13"/>
                <w:color w:val="auto"/>
              </w:rPr>
              <w:t>388</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4</w:t>
            </w:r>
          </w:p>
        </w:tc>
        <w:tc>
          <w:tcPr>
            <w:tcW w:w="1260" w:type="dxa"/>
            <w:vAlign w:val="bottom"/>
            <w:gridSpan w:val="2"/>
          </w:tcPr>
          <w:p>
            <w:pPr>
              <w:jc w:val="right"/>
              <w:ind w:right="500"/>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8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w w:val="92"/>
              </w:rPr>
              <w:t>1,477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6"/>
              </w:rPr>
              <w:t>$ 45</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w w:val="92"/>
              </w:rPr>
              <w:t>1,432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6"/>
              </w:rPr>
              <w:t>$ 44</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1,388</w:t>
            </w:r>
          </w:p>
        </w:tc>
        <w:tc>
          <w:tcPr>
            <w:tcW w:w="0" w:type="dxa"/>
            <w:vAlign w:val="bottom"/>
          </w:tcPr>
          <w:p>
            <w:pPr>
              <w:spacing w:after="0"/>
              <w:rPr>
                <w:sz w:val="1"/>
                <w:szCs w:val="1"/>
                <w:color w:val="auto"/>
              </w:rPr>
            </w:pPr>
          </w:p>
        </w:tc>
      </w:tr>
      <w:tr>
        <w:trPr>
          <w:trHeight w:val="29"/>
        </w:trPr>
        <w:tc>
          <w:tcPr>
            <w:tcW w:w="3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 significant portion of the $45 million increase in our “Selling, general and administrative” expenses in 2008 was as a result of our focus on business development initiatives, including gaining new customers and entering new lines of business. We estimate that these initiatives increased our expenses by nearly $19 million when comparing 2008 with 2007. Approximately $8 million of the $19 million increase is associated with increased consulting costs and has been included in “Professional fees.” The remaining cost increases can generally be attributed to increased headcount, advertising and travel and entertainment costs.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significant changes in our selling, general and administrative expenses during the reported periods are summarized below:</w:t>
      </w:r>
    </w:p>
    <w:p>
      <w:pPr>
        <w:spacing w:after="0" w:line="96" w:lineRule="exact"/>
        <w:rPr>
          <w:sz w:val="20"/>
          <w:szCs w:val="20"/>
          <w:color w:val="auto"/>
        </w:rPr>
      </w:pPr>
    </w:p>
    <w:p>
      <w:pPr>
        <w:jc w:val="both"/>
        <w:ind w:left="680" w:right="20" w:firstLine="399"/>
        <w:spacing w:after="0" w:line="334" w:lineRule="auto"/>
        <w:rPr>
          <w:sz w:val="20"/>
          <w:szCs w:val="20"/>
          <w:color w:val="auto"/>
        </w:rPr>
      </w:pPr>
      <w:r>
        <w:rPr>
          <w:rFonts w:ascii="Arial" w:cs="Arial" w:eastAsia="Arial" w:hAnsi="Arial"/>
          <w:sz w:val="11"/>
          <w:szCs w:val="11"/>
          <w:i w:val="1"/>
          <w:iCs w:val="1"/>
          <w:color w:val="auto"/>
        </w:rPr>
        <w:t xml:space="preserve">Labor and related benefits </w:t>
      </w:r>
      <w:r>
        <w:rPr>
          <w:rFonts w:ascii="Arial" w:cs="Arial" w:eastAsia="Arial" w:hAnsi="Arial"/>
          <w:sz w:val="11"/>
          <w:szCs w:val="11"/>
          <w:color w:val="auto"/>
        </w:rPr>
        <w:t>— The increases in 2008 and 2007 are primarily attributable to (i) higher salaries and hourly wages due to merit raises; (ii) higher compensation costs due</w:t>
      </w:r>
      <w:r>
        <w:rPr>
          <w:rFonts w:ascii="Arial" w:cs="Arial" w:eastAsia="Arial" w:hAnsi="Arial"/>
          <w:sz w:val="11"/>
          <w:szCs w:val="11"/>
          <w:i w:val="1"/>
          <w:iCs w:val="1"/>
          <w:color w:val="auto"/>
        </w:rPr>
        <w:t xml:space="preserve"> </w:t>
      </w:r>
      <w:r>
        <w:rPr>
          <w:rFonts w:ascii="Arial" w:cs="Arial" w:eastAsia="Arial" w:hAnsi="Arial"/>
          <w:sz w:val="11"/>
          <w:szCs w:val="11"/>
          <w:color w:val="auto"/>
        </w:rPr>
        <w:t>to an increase in headcount driven by an increase in the size of our sales force and our focus on our people and business development initiatives; and (iii) higher non-cash compensation costs associated with the equity-based compensation provided for by our long-term incentive plans. In 2008, we also experienced higher insurance and benefit costs. These increases were</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partially offset by lower bonus expenses accrued in 2008 because our performance against targets established by our incentive plan was not as strong as it had been in either 2007 or 2006.</w:t>
      </w:r>
    </w:p>
    <w:p>
      <w:pPr>
        <w:spacing w:after="0" w:line="11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We incurred significant costs in both 2008 and 2007 that are of a non-recurring nature. In 2008, we incurred over $7 million of legal and consulting costs to</w:t>
      </w:r>
      <w:r>
        <w:rPr>
          <w:rFonts w:ascii="Arial" w:cs="Arial" w:eastAsia="Arial" w:hAnsi="Arial"/>
          <w:sz w:val="13"/>
          <w:szCs w:val="13"/>
          <w:i w:val="1"/>
          <w:iCs w:val="1"/>
          <w:color w:val="auto"/>
        </w:rPr>
        <w:t xml:space="preserve"> </w:t>
      </w:r>
      <w:r>
        <w:rPr>
          <w:rFonts w:ascii="Arial" w:cs="Arial" w:eastAsia="Arial" w:hAnsi="Arial"/>
          <w:sz w:val="13"/>
          <w:szCs w:val="13"/>
          <w:color w:val="auto"/>
        </w:rPr>
        <w:t>support our previously proposed acquisition of Republic Services, Inc. In 2007, our consulting fees were higher due to increased spending for various strategic initiatives, including the support and development of the SAP waste and recycling revenue management system, which we discontinued development of in early 2008. For information related to the current status of our pending litigation against SAP, refer to Note 10 of our Consolidated Financial Statements.</w:t>
      </w:r>
    </w:p>
    <w:p>
      <w:pPr>
        <w:spacing w:after="0" w:line="7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Provision for bad debts </w:t>
      </w:r>
      <w:r>
        <w:rPr>
          <w:rFonts w:ascii="Arial" w:cs="Arial" w:eastAsia="Arial" w:hAnsi="Arial"/>
          <w:sz w:val="13"/>
          <w:szCs w:val="13"/>
          <w:color w:val="auto"/>
        </w:rPr>
        <w:t>— The increase in our provision for bad debts in 2008 is due to the effects of the weakened economy, which has increased collection risks associated with</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customers.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As discussed above, our continued focus on our sales, marketing and other initiatives and identifying new customers resulted in increases in our advertising costs and travel</w:t>
      </w:r>
      <w:r>
        <w:rPr>
          <w:rFonts w:ascii="Arial" w:cs="Arial" w:eastAsia="Arial" w:hAnsi="Arial"/>
          <w:sz w:val="12"/>
          <w:szCs w:val="12"/>
          <w:i w:val="1"/>
          <w:iCs w:val="1"/>
          <w:color w:val="auto"/>
        </w:rPr>
        <w:t xml:space="preserve"> </w:t>
      </w:r>
      <w:r>
        <w:rPr>
          <w:rFonts w:ascii="Arial" w:cs="Arial" w:eastAsia="Arial" w:hAnsi="Arial"/>
          <w:sz w:val="12"/>
          <w:szCs w:val="12"/>
          <w:color w:val="auto"/>
        </w:rPr>
        <w:t>and entertainment costs in 2008. The comparability of these costs for the periods presented has also been affected by net charges of approximately $2 million in 2007 and $20 million in 2006 to record our estimated obligations for unclaimed property. Additionally, in both 2007 and 2006, our other costs increased due to higher sales and marketing costs and higher travel and entertainment costs due partially to the development of our revenue management system and our efforts to implement various initiatives.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Depreciation and amortization includes (i) depreciation of property and equipment, including assets recorded due to capital leases, on a straight-line basis from three to 50 years;</w:t>
      </w:r>
    </w:p>
    <w:p>
      <w:pPr>
        <w:spacing w:after="0" w:line="27" w:lineRule="exact"/>
        <w:rPr>
          <w:sz w:val="20"/>
          <w:szCs w:val="20"/>
          <w:color w:val="auto"/>
        </w:rPr>
      </w:pPr>
    </w:p>
    <w:p>
      <w:pPr>
        <w:ind w:left="680" w:firstLine="7"/>
        <w:spacing w:after="0" w:line="255" w:lineRule="auto"/>
        <w:tabs>
          <w:tab w:leader="none" w:pos="873" w:val="left"/>
        </w:tabs>
        <w:numPr>
          <w:ilvl w:val="0"/>
          <w:numId w:val="30"/>
        </w:numPr>
        <w:rPr>
          <w:rFonts w:ascii="Arial" w:cs="Arial" w:eastAsia="Arial" w:hAnsi="Arial"/>
          <w:sz w:val="13"/>
          <w:szCs w:val="13"/>
          <w:color w:val="auto"/>
        </w:rPr>
      </w:pPr>
      <w:r>
        <w:rPr>
          <w:rFonts w:ascii="Arial" w:cs="Arial" w:eastAsia="Arial" w:hAnsi="Arial"/>
          <w:sz w:val="13"/>
          <w:szCs w:val="13"/>
          <w:color w:val="auto"/>
        </w:rPr>
        <w:t>amortization of landfill costs, including those incurred and all estimated future costs for landfill development, construction, asset retirement costs arising from closure and post-closure, on a units-of-consumption method as landfill airspace is consumed over the estimated remaining permitted and expansion capacity of a site; (iii) amortization of landfill asset retirement costs arising from final capping obligations on a units-of-consumption method as airspace is consumed over the estimated capacity associated with each final capping event; and (iv) amortization of intangible assets with a definite life, either using a 150% declining balance approach or a straight-line basis over the definitive terms of the related agreements, which are generally from two to ten years depending on the type of asset.</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components of our depreciation and amortization costs for the years ended December 31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restart"/>
          </w:tcPr>
          <w:p>
            <w:pPr>
              <w:jc w:val="right"/>
              <w:ind w:right="37"/>
              <w:spacing w:after="0"/>
              <w:rPr>
                <w:sz w:val="20"/>
                <w:szCs w:val="20"/>
                <w:color w:val="auto"/>
              </w:rPr>
            </w:pPr>
            <w:r>
              <w:rPr>
                <w:rFonts w:ascii="Arial" w:cs="Arial" w:eastAsia="Arial" w:hAnsi="Arial"/>
                <w:sz w:val="10"/>
                <w:szCs w:val="10"/>
                <w:b w:val="1"/>
                <w:bCs w:val="1"/>
                <w:color w:val="auto"/>
                <w:w w:val="89"/>
              </w:rPr>
              <w:t>2008</w:t>
            </w: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jc w:val="right"/>
              <w:ind w:right="48"/>
              <w:spacing w:after="0"/>
              <w:rPr>
                <w:sz w:val="20"/>
                <w:szCs w:val="20"/>
                <w:color w:val="auto"/>
              </w:rPr>
            </w:pPr>
            <w:r>
              <w:rPr>
                <w:rFonts w:ascii="Arial" w:cs="Arial" w:eastAsia="Arial" w:hAnsi="Arial"/>
                <w:sz w:val="10"/>
                <w:szCs w:val="10"/>
                <w:b w:val="1"/>
                <w:bCs w:val="1"/>
                <w:color w:val="auto"/>
              </w:rPr>
              <w:t>Period-to-</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2007</w:t>
            </w: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7"/>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gridSpan w:val="2"/>
          </w:tcPr>
          <w:p>
            <w:pPr>
              <w:jc w:val="right"/>
              <w:spacing w:after="0"/>
              <w:rPr>
                <w:sz w:val="20"/>
                <w:szCs w:val="20"/>
                <w:color w:val="auto"/>
              </w:rPr>
            </w:pPr>
            <w:r>
              <w:rPr>
                <w:rFonts w:ascii="Arial" w:cs="Arial" w:eastAsia="Arial" w:hAnsi="Arial"/>
                <w:sz w:val="10"/>
                <w:szCs w:val="10"/>
                <w:b w:val="1"/>
                <w:bCs w:val="1"/>
                <w:color w:val="auto"/>
              </w:rPr>
              <w:t>Period Change</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760" w:type="dxa"/>
            <w:vAlign w:val="bottom"/>
            <w:gridSpan w:val="4"/>
          </w:tcPr>
          <w:p>
            <w:pPr>
              <w:jc w:val="right"/>
              <w:ind w:right="92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w:t>
            </w:r>
          </w:p>
        </w:tc>
        <w:tc>
          <w:tcPr>
            <w:tcW w:w="8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08"/>
              <w:spacing w:after="0"/>
              <w:rPr>
                <w:sz w:val="20"/>
                <w:szCs w:val="20"/>
                <w:color w:val="auto"/>
              </w:rPr>
            </w:pPr>
            <w:r>
              <w:rPr>
                <w:rFonts w:ascii="Arial" w:cs="Arial" w:eastAsia="Arial" w:hAnsi="Arial"/>
                <w:sz w:val="13"/>
                <w:szCs w:val="13"/>
                <w:color w:val="auto"/>
                <w:w w:val="88"/>
              </w:rPr>
              <w:t>$ (11)</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w w:val="88"/>
              </w:rPr>
              <w:t>(1.4)%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rPr>
              <w:t>796</w:t>
            </w:r>
          </w:p>
        </w:tc>
        <w:tc>
          <w:tcPr>
            <w:tcW w:w="76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w w:val="88"/>
              </w:rPr>
              <w:t>$ (33)</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829</w:t>
            </w:r>
          </w:p>
        </w:tc>
        <w:tc>
          <w:tcPr>
            <w:tcW w:w="0" w:type="dxa"/>
            <w:vAlign w:val="bottom"/>
          </w:tcPr>
          <w:p>
            <w:pPr>
              <w:spacing w:after="0"/>
              <w:rPr>
                <w:sz w:val="1"/>
                <w:szCs w:val="1"/>
                <w:color w:val="auto"/>
              </w:rPr>
            </w:pPr>
          </w:p>
        </w:tc>
      </w:tr>
      <w:tr>
        <w:trPr>
          <w:trHeight w:val="157"/>
        </w:trPr>
        <w:tc>
          <w:tcPr>
            <w:tcW w:w="346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429</w:t>
            </w:r>
          </w:p>
        </w:tc>
        <w:tc>
          <w:tcPr>
            <w:tcW w:w="840" w:type="dxa"/>
            <w:vAlign w:val="bottom"/>
          </w:tcPr>
          <w:p>
            <w:pPr>
              <w:spacing w:after="0"/>
              <w:rPr>
                <w:sz w:val="13"/>
                <w:szCs w:val="13"/>
                <w:color w:val="auto"/>
              </w:rPr>
            </w:pPr>
          </w:p>
        </w:tc>
        <w:tc>
          <w:tcPr>
            <w:tcW w:w="880" w:type="dxa"/>
            <w:vAlign w:val="bottom"/>
            <w:gridSpan w:val="2"/>
          </w:tcPr>
          <w:p>
            <w:pPr>
              <w:jc w:val="right"/>
              <w:ind w:right="508"/>
              <w:spacing w:after="0"/>
              <w:rPr>
                <w:sz w:val="20"/>
                <w:szCs w:val="20"/>
                <w:color w:val="auto"/>
              </w:rPr>
            </w:pPr>
            <w:r>
              <w:rPr>
                <w:rFonts w:ascii="Arial" w:cs="Arial" w:eastAsia="Arial" w:hAnsi="Arial"/>
                <w:sz w:val="13"/>
                <w:szCs w:val="13"/>
                <w:color w:val="auto"/>
              </w:rPr>
              <w:t>(11)</w:t>
            </w:r>
          </w:p>
        </w:tc>
        <w:tc>
          <w:tcPr>
            <w:tcW w:w="920" w:type="dxa"/>
            <w:vAlign w:val="bottom"/>
            <w:gridSpan w:val="2"/>
          </w:tcPr>
          <w:p>
            <w:pPr>
              <w:jc w:val="right"/>
              <w:ind w:right="660"/>
              <w:spacing w:after="0"/>
              <w:rPr>
                <w:sz w:val="20"/>
                <w:szCs w:val="20"/>
                <w:color w:val="auto"/>
              </w:rPr>
            </w:pPr>
            <w:r>
              <w:rPr>
                <w:rFonts w:ascii="Arial" w:cs="Arial" w:eastAsia="Arial" w:hAnsi="Arial"/>
                <w:sz w:val="13"/>
                <w:szCs w:val="13"/>
                <w:color w:val="auto"/>
                <w:w w:val="89"/>
              </w:rPr>
              <w:t>(2.5)</w:t>
            </w:r>
          </w:p>
        </w:tc>
        <w:tc>
          <w:tcPr>
            <w:tcW w:w="80" w:type="dxa"/>
            <w:vAlign w:val="bottom"/>
          </w:tcPr>
          <w:p>
            <w:pPr>
              <w:spacing w:after="0"/>
              <w:rPr>
                <w:sz w:val="13"/>
                <w:szCs w:val="13"/>
                <w:color w:val="auto"/>
              </w:rPr>
            </w:pPr>
          </w:p>
        </w:tc>
        <w:tc>
          <w:tcPr>
            <w:tcW w:w="1160" w:type="dxa"/>
            <w:vAlign w:val="bottom"/>
            <w:gridSpan w:val="2"/>
          </w:tcPr>
          <w:p>
            <w:pPr>
              <w:jc w:val="right"/>
              <w:ind w:right="860"/>
              <w:spacing w:after="0"/>
              <w:rPr>
                <w:sz w:val="20"/>
                <w:szCs w:val="20"/>
                <w:color w:val="auto"/>
              </w:rPr>
            </w:pPr>
            <w:r>
              <w:rPr>
                <w:rFonts w:ascii="Arial" w:cs="Arial" w:eastAsia="Arial" w:hAnsi="Arial"/>
                <w:sz w:val="13"/>
                <w:szCs w:val="13"/>
                <w:color w:val="auto"/>
              </w:rPr>
              <w:t>440</w:t>
            </w:r>
          </w:p>
        </w:tc>
        <w:tc>
          <w:tcPr>
            <w:tcW w:w="760" w:type="dxa"/>
            <w:vAlign w:val="bottom"/>
            <w:gridSpan w:val="2"/>
          </w:tcPr>
          <w:p>
            <w:pPr>
              <w:jc w:val="right"/>
              <w:ind w:right="388"/>
              <w:spacing w:after="0"/>
              <w:rPr>
                <w:sz w:val="20"/>
                <w:szCs w:val="20"/>
                <w:color w:val="auto"/>
              </w:rPr>
            </w:pPr>
            <w:r>
              <w:rPr>
                <w:rFonts w:ascii="Arial" w:cs="Arial" w:eastAsia="Arial" w:hAnsi="Arial"/>
                <w:sz w:val="13"/>
                <w:szCs w:val="13"/>
                <w:color w:val="auto"/>
              </w:rPr>
              <w:t>(39)</w:t>
            </w:r>
          </w:p>
        </w:tc>
        <w:tc>
          <w:tcPr>
            <w:tcW w:w="1000" w:type="dxa"/>
            <w:vAlign w:val="bottom"/>
            <w:gridSpan w:val="2"/>
          </w:tcPr>
          <w:p>
            <w:pPr>
              <w:jc w:val="right"/>
              <w:ind w:right="680"/>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48"/>
              <w:spacing w:after="0"/>
              <w:rPr>
                <w:sz w:val="20"/>
                <w:szCs w:val="20"/>
                <w:color w:val="auto"/>
              </w:rPr>
            </w:pPr>
            <w:r>
              <w:rPr>
                <w:rFonts w:ascii="Arial" w:cs="Arial" w:eastAsia="Arial" w:hAnsi="Arial"/>
                <w:sz w:val="13"/>
                <w:szCs w:val="13"/>
                <w:color w:val="auto"/>
              </w:rPr>
              <w:t>1</w:t>
            </w:r>
          </w:p>
        </w:tc>
        <w:tc>
          <w:tcPr>
            <w:tcW w:w="920" w:type="dxa"/>
            <w:vAlign w:val="bottom"/>
            <w:gridSpan w:val="2"/>
            <w:shd w:val="clear" w:color="auto" w:fill="CCEEFF"/>
          </w:tcPr>
          <w:p>
            <w:pPr>
              <w:jc w:val="right"/>
              <w:ind w:right="720"/>
              <w:spacing w:after="0"/>
              <w:rPr>
                <w:sz w:val="20"/>
                <w:szCs w:val="20"/>
                <w:color w:val="auto"/>
              </w:rPr>
            </w:pPr>
            <w:r>
              <w:rPr>
                <w:rFonts w:ascii="Arial" w:cs="Arial" w:eastAsia="Arial" w:hAnsi="Arial"/>
                <w:sz w:val="13"/>
                <w:szCs w:val="13"/>
                <w:color w:val="auto"/>
                <w:w w:val="99"/>
              </w:rPr>
              <w:t>4.3</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rPr>
              <w:t>23</w:t>
            </w:r>
          </w:p>
        </w:tc>
        <w:tc>
          <w:tcPr>
            <w:tcW w:w="76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(3)</w:t>
            </w:r>
          </w:p>
        </w:tc>
        <w:tc>
          <w:tcPr>
            <w:tcW w:w="10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w w:val="88"/>
              </w:rPr>
              <w:t>(11.5)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2"/>
            <w:vMerge w:val="restart"/>
          </w:tcPr>
          <w:p>
            <w:pPr>
              <w:jc w:val="right"/>
              <w:ind w:right="560"/>
              <w:spacing w:after="0"/>
              <w:rPr>
                <w:sz w:val="20"/>
                <w:szCs w:val="20"/>
                <w:color w:val="auto"/>
              </w:rPr>
            </w:pPr>
            <w:r>
              <w:rPr>
                <w:rFonts w:ascii="Arial" w:cs="Arial" w:eastAsia="Arial" w:hAnsi="Arial"/>
                <w:sz w:val="13"/>
                <w:szCs w:val="13"/>
                <w:color w:val="auto"/>
                <w:w w:val="88"/>
              </w:rPr>
              <w:t>(1.7)%</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3"/>
                <w:szCs w:val="13"/>
                <w:color w:val="auto"/>
              </w:rPr>
              <w:t>(5.6)%</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1,238</w:t>
            </w:r>
          </w:p>
        </w:tc>
        <w:tc>
          <w:tcPr>
            <w:tcW w:w="840" w:type="dxa"/>
            <w:vAlign w:val="bottom"/>
          </w:tcPr>
          <w:p>
            <w:pPr>
              <w:spacing w:after="0"/>
              <w:rPr>
                <w:sz w:val="13"/>
                <w:szCs w:val="13"/>
                <w:color w:val="auto"/>
              </w:rPr>
            </w:pPr>
          </w:p>
        </w:tc>
        <w:tc>
          <w:tcPr>
            <w:tcW w:w="880" w:type="dxa"/>
            <w:vAlign w:val="bottom"/>
            <w:gridSpan w:val="2"/>
          </w:tcPr>
          <w:p>
            <w:pPr>
              <w:jc w:val="right"/>
              <w:ind w:right="508"/>
              <w:spacing w:after="0"/>
              <w:rPr>
                <w:sz w:val="20"/>
                <w:szCs w:val="20"/>
                <w:color w:val="auto"/>
              </w:rPr>
            </w:pPr>
            <w:r>
              <w:rPr>
                <w:rFonts w:ascii="Arial" w:cs="Arial" w:eastAsia="Arial" w:hAnsi="Arial"/>
                <w:sz w:val="13"/>
                <w:szCs w:val="13"/>
                <w:color w:val="auto"/>
                <w:w w:val="88"/>
              </w:rPr>
              <w:t>$ (21)</w:t>
            </w:r>
          </w:p>
        </w:tc>
        <w:tc>
          <w:tcPr>
            <w:tcW w:w="92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60"/>
              <w:spacing w:after="0"/>
              <w:rPr>
                <w:sz w:val="20"/>
                <w:szCs w:val="20"/>
                <w:color w:val="auto"/>
              </w:rPr>
            </w:pPr>
            <w:r>
              <w:rPr>
                <w:rFonts w:ascii="Arial" w:cs="Arial" w:eastAsia="Arial" w:hAnsi="Arial"/>
                <w:sz w:val="13"/>
                <w:szCs w:val="13"/>
                <w:color w:val="auto"/>
                <w:w w:val="85"/>
              </w:rPr>
              <w:t>1,259</w:t>
            </w:r>
          </w:p>
        </w:tc>
        <w:tc>
          <w:tcPr>
            <w:tcW w:w="760" w:type="dxa"/>
            <w:vAlign w:val="bottom"/>
            <w:gridSpan w:val="2"/>
          </w:tcPr>
          <w:p>
            <w:pPr>
              <w:jc w:val="right"/>
              <w:ind w:right="388"/>
              <w:spacing w:after="0"/>
              <w:rPr>
                <w:sz w:val="20"/>
                <w:szCs w:val="20"/>
                <w:color w:val="auto"/>
              </w:rPr>
            </w:pPr>
            <w:r>
              <w:rPr>
                <w:rFonts w:ascii="Arial" w:cs="Arial" w:eastAsia="Arial" w:hAnsi="Arial"/>
                <w:sz w:val="13"/>
                <w:szCs w:val="13"/>
                <w:color w:val="auto"/>
                <w:w w:val="88"/>
              </w:rPr>
              <w:t>$ (75)</w:t>
            </w:r>
          </w:p>
        </w:tc>
        <w:tc>
          <w:tcPr>
            <w:tcW w:w="100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1,334</w:t>
            </w:r>
          </w:p>
        </w:tc>
        <w:tc>
          <w:tcPr>
            <w:tcW w:w="0" w:type="dxa"/>
            <w:vAlign w:val="bottom"/>
          </w:tcPr>
          <w:p>
            <w:pPr>
              <w:spacing w:after="0"/>
              <w:rPr>
                <w:sz w:val="1"/>
                <w:szCs w:val="1"/>
                <w:color w:val="auto"/>
              </w:rPr>
            </w:pPr>
          </w:p>
        </w:tc>
      </w:tr>
      <w:tr>
        <w:trPr>
          <w:trHeight w:val="30"/>
        </w:trPr>
        <w:tc>
          <w:tcPr>
            <w:tcW w:w="3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In both 2008 and 2007, the decrease in depreciation on tangible property and equipment is largely due to (i) components of enterprise-wide software becoming fully-depreciated; and (ii) our focus on identifying operational efficiencies as we shed unprofitable business, which has allowed us to retire or sell under-utilized assets.</w:t>
      </w:r>
    </w:p>
    <w:p>
      <w:pPr>
        <w:spacing w:after="0" w:line="59" w:lineRule="exact"/>
        <w:rPr>
          <w:sz w:val="20"/>
          <w:szCs w:val="20"/>
          <w:color w:val="auto"/>
        </w:rPr>
      </w:pPr>
    </w:p>
    <w:p>
      <w:pPr>
        <w:jc w:val="both"/>
        <w:ind w:left="680" w:right="20" w:firstLine="399"/>
        <w:spacing w:after="0" w:line="285" w:lineRule="auto"/>
        <w:rPr>
          <w:sz w:val="20"/>
          <w:szCs w:val="20"/>
          <w:color w:val="auto"/>
        </w:rPr>
      </w:pPr>
      <w:r>
        <w:rPr>
          <w:rFonts w:ascii="Arial" w:cs="Arial" w:eastAsia="Arial" w:hAnsi="Arial"/>
          <w:sz w:val="12"/>
          <w:szCs w:val="12"/>
          <w:color w:val="auto"/>
        </w:rPr>
        <w:t>The decrease in amortization of landfill airspace expense in 2008 and 2007 is largely due to volume declines as a result of (i) the slowdown in the economy; (ii) our pricing program, which has significantly reduced our collection volumes; and (iii) the redirection of waste to third-party disposal facilities in certain regions due to either the closure of our own landfills or the current capacity constraints of landfills where we are working on procuring an expansion permit. The comparability of our amortization of landfill airspace for the years ended December 31, 2008, 2007, and 2006 has also been affected by adjustments recorded in each year for changes in estimates related to our final capping, closure and post-closure obligations. During the years ended December 31, 2008, 2007 and 2006, landfill amortization expense was reduced by $3 million, $17 million and $1 million, respectively, for the effects of these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changes in estimates. In each year, the majority of the reduced expense resulting from the revised estimates was associated with final capping changes that were generally the result of</w:t>
      </w:r>
    </w:p>
    <w:p>
      <w:pPr>
        <w:spacing w:after="0" w:line="27" w:lineRule="exact"/>
        <w:rPr>
          <w:sz w:val="20"/>
          <w:szCs w:val="20"/>
          <w:color w:val="auto"/>
        </w:rPr>
      </w:pPr>
    </w:p>
    <w:p>
      <w:pPr>
        <w:ind w:left="680" w:right="380" w:firstLine="7"/>
        <w:spacing w:after="0" w:line="264" w:lineRule="auto"/>
        <w:tabs>
          <w:tab w:leader="none" w:pos="836" w:val="left"/>
        </w:tabs>
        <w:numPr>
          <w:ilvl w:val="0"/>
          <w:numId w:val="31"/>
        </w:numPr>
        <w:rPr>
          <w:rFonts w:ascii="Arial" w:cs="Arial" w:eastAsia="Arial" w:hAnsi="Arial"/>
          <w:sz w:val="13"/>
          <w:szCs w:val="13"/>
          <w:color w:val="auto"/>
        </w:rPr>
      </w:pPr>
      <w:r>
        <w:rPr>
          <w:rFonts w:ascii="Arial" w:cs="Arial" w:eastAsia="Arial" w:hAnsi="Arial"/>
          <w:sz w:val="13"/>
          <w:szCs w:val="13"/>
          <w:color w:val="auto"/>
        </w:rPr>
        <w:t>concerted efforts to improve the operating efficiencies of our landfills and volume declines, both of which have allowed us to delay spending for final capping activities; (ii) landfill expansions that resulted in reduced or deferred final capping costs; or (iii) completed final capping construction that cost less than anticipated.</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Restructuring</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Management continuously reviews our organization to determine if we are operating under the most advantageous structure. As discussed in Note 24 to the Consolidated Financial Statements, in February 2009 we announced that we were taking steps to streamline our organization by consolidating many of our Market Areas and realigning our Corporate support organization. In 2008, we recognized $2 million of restructuring expenses for the reorganization of customer service functions in our Western Group and the realignment of certain operations in our Southern Group. In the first quarter of 2007, we restructured certain operations and functions, resulting in the recognition of a charge of approximately $9 million. We incurred an additional $1 million of costs for this restructuring during the second quarter of 2007, increasing total costs incurred to $10 million. Approximately $7 million of the 2007 restructuring costs was incurred by our Corporate organization, $2 million was incurred by our Midwest Group and $1 million was incurred by our Western Group. These charges included approximately $8 million for employee severance and benefit costs and approximately $2 million related to operating lease agreements.</w:t>
      </w:r>
    </w:p>
    <w:p>
      <w:pPr>
        <w:spacing w:after="0" w:line="58"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The most significant cost savings we have obtained through these restructurings have been attributable to the labor and related benefits component of our “Selling, general and administrative” expenses.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The following table summarizes the major components of “(Income) expense from divestitures, asset impairments and unusual items” for the year ended December 31 for the respective periods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82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r>
      <w:tr>
        <w:trPr>
          <w:trHeight w:val="29"/>
        </w:trPr>
        <w:tc>
          <w:tcPr>
            <w:tcW w:w="8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(Income) expense from divestitures (including held-for-sale impairments)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(33)</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4"/>
              </w:rPr>
              <w:t>$ (59)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Impairments of assets held-for-use</w:t>
            </w:r>
          </w:p>
        </w:tc>
        <w:tc>
          <w:tcPr>
            <w:tcW w:w="100" w:type="dxa"/>
            <w:vAlign w:val="bottom"/>
          </w:tcPr>
          <w:p>
            <w:pPr>
              <w:spacing w:after="0"/>
              <w:rPr>
                <w:sz w:val="13"/>
                <w:szCs w:val="13"/>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3"/>
                <w:szCs w:val="13"/>
                <w:color w:val="auto"/>
              </w:rPr>
              <w:t>4</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340"/>
              <w:spacing w:after="0"/>
              <w:rPr>
                <w:sz w:val="20"/>
                <w:szCs w:val="20"/>
                <w:color w:val="auto"/>
              </w:rPr>
            </w:pPr>
            <w:r>
              <w:rPr>
                <w:rFonts w:ascii="Arial" w:cs="Arial" w:eastAsia="Arial" w:hAnsi="Arial"/>
                <w:sz w:val="13"/>
                <w:szCs w:val="13"/>
                <w:color w:val="auto"/>
              </w:rPr>
              <w:t>(29)</w:t>
            </w: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 (47)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r>
      <w:tr>
        <w:trPr>
          <w:trHeight w:val="30"/>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i w:val="1"/>
          <w:iCs w:val="1"/>
          <w:color w:val="auto"/>
        </w:rPr>
        <w:t xml:space="preserve">(Income) expense from divestitures (including held-for-sale impairments) </w:t>
      </w:r>
      <w:r>
        <w:rPr>
          <w:rFonts w:ascii="Arial" w:cs="Arial" w:eastAsia="Arial" w:hAnsi="Arial"/>
          <w:sz w:val="12"/>
          <w:szCs w:val="12"/>
          <w:color w:val="auto"/>
        </w:rPr>
        <w:t>— The net gains from divestitures in all three years were a result of our fix-or-seek-exit initiative. In 2008,</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these gains were primarily related to the divestiture of underperforming collection operations in our Southern Group; in 2007, the gains were related to the divestiture of underperforming collection, transfer and recycling operations in our Eastern, Western, Southern and WMRA Groups; and in 2006, the gains were primarily related to the divestiture of underperforming collection operations in our Western Group. Gains recognized from divestitures in 2006 were partially offset by the recognition of aggregate impairment charges of $18 million, which were principally recognized by our Eastern Group, for business operations held for sale as required by SFAS No. 144, </w:t>
      </w:r>
      <w:r>
        <w:rPr>
          <w:rFonts w:ascii="Arial" w:cs="Arial" w:eastAsia="Arial" w:hAnsi="Arial"/>
          <w:sz w:val="12"/>
          <w:szCs w:val="12"/>
          <w:i w:val="1"/>
          <w:iCs w:val="1"/>
          <w:color w:val="auto"/>
        </w:rPr>
        <w:t>Accounting for the Impairment or Disposal of Long-Lived Assets</w:t>
      </w:r>
      <w:r>
        <w:rPr>
          <w:rFonts w:ascii="Arial" w:cs="Arial" w:eastAsia="Arial" w:hAnsi="Arial"/>
          <w:sz w:val="12"/>
          <w:szCs w:val="12"/>
          <w:color w:val="auto"/>
        </w:rPr>
        <w:t>.</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Impairments of assets held-for-use </w:t>
      </w:r>
      <w:r>
        <w:rPr>
          <w:rFonts w:ascii="Arial" w:cs="Arial" w:eastAsia="Arial" w:hAnsi="Arial"/>
          <w:sz w:val="13"/>
          <w:szCs w:val="13"/>
          <w:color w:val="auto"/>
        </w:rPr>
        <w:t>— During 2008, we recognized a $4 million impairment charge primarily as a result of a decision to close a landfill in our Southern Group. During</w:t>
      </w:r>
      <w:r>
        <w:rPr>
          <w:rFonts w:ascii="Arial" w:cs="Arial" w:eastAsia="Arial" w:hAnsi="Arial"/>
          <w:sz w:val="13"/>
          <w:szCs w:val="13"/>
          <w:i w:val="1"/>
          <w:iCs w:val="1"/>
          <w:color w:val="auto"/>
        </w:rPr>
        <w:t xml:space="preserve"> </w:t>
      </w:r>
      <w:r>
        <w:rPr>
          <w:rFonts w:ascii="Arial" w:cs="Arial" w:eastAsia="Arial" w:hAnsi="Arial"/>
          <w:sz w:val="13"/>
          <w:szCs w:val="13"/>
          <w:color w:val="auto"/>
        </w:rPr>
        <w:t>2007, we recognized $12 million in impairment charges due to impairments recognized for two landfills in our Southern Group. The impairments were necessary as a result of the re-evaluation of our business alternatives for one landfill and the expiration of a contract that we had expected would be renewed that had significantly contributed to the volumes for the second landfill. The $24 million of impairment charges recognized during 2006 was primarily related to the impairment of a landfill in our Eastern Group as a result of a change in our expectations for future expansions and the impairment of under-performing operations in our WMRA Group.</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In 2006, we recognized a $26 million charge for the impact of an arbitration ruling against us related to the termination of a joint venture relationship in 2000.</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income from operations by reportable segment for the years ended December 31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w w:val="89"/>
              </w:rPr>
              <w:t>2008</w:t>
            </w: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w w:val="97"/>
              </w:rPr>
              <w:t>Period-to-</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w w:val="89"/>
              </w:rPr>
              <w:t>2007</w:t>
            </w:r>
          </w:p>
        </w:tc>
        <w:tc>
          <w:tcPr>
            <w:tcW w:w="760" w:type="dxa"/>
            <w:vAlign w:val="bottom"/>
          </w:tcPr>
          <w:p>
            <w:pPr>
              <w:spacing w:after="0"/>
              <w:rPr>
                <w:sz w:val="10"/>
                <w:szCs w:val="1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rPr>
              <w:t>Period-to-</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60" w:type="dxa"/>
            <w:vAlign w:val="bottom"/>
            <w:gridSpan w:val="4"/>
          </w:tcPr>
          <w:p>
            <w:pPr>
              <w:jc w:val="right"/>
              <w:ind w:right="90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820" w:type="dxa"/>
            <w:vAlign w:val="bottom"/>
            <w:gridSpan w:val="4"/>
          </w:tcPr>
          <w:p>
            <w:pPr>
              <w:jc w:val="right"/>
              <w:ind w:right="980"/>
              <w:spacing w:after="0"/>
              <w:rPr>
                <w:sz w:val="20"/>
                <w:szCs w:val="20"/>
                <w:color w:val="auto"/>
              </w:rPr>
            </w:pPr>
            <w:r>
              <w:rPr>
                <w:rFonts w:ascii="Arial" w:cs="Arial" w:eastAsia="Arial" w:hAnsi="Arial"/>
                <w:sz w:val="10"/>
                <w:szCs w:val="10"/>
                <w:b w:val="1"/>
                <w:bCs w:val="1"/>
                <w:color w:val="auto"/>
              </w:rPr>
              <w:t>Period Change</w:t>
            </w:r>
          </w:p>
        </w:tc>
        <w:tc>
          <w:tcPr>
            <w:tcW w:w="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segments:</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3"/>
          </w:tcPr>
          <w:p>
            <w:pPr>
              <w:jc w:val="right"/>
              <w:ind w:right="840"/>
              <w:spacing w:after="0"/>
              <w:rPr>
                <w:sz w:val="20"/>
                <w:szCs w:val="20"/>
                <w:color w:val="auto"/>
              </w:rPr>
            </w:pPr>
            <w:r>
              <w:rPr>
                <w:rFonts w:ascii="Arial" w:cs="Arial" w:eastAsia="Arial" w:hAnsi="Arial"/>
                <w:sz w:val="13"/>
                <w:szCs w:val="13"/>
                <w:color w:val="auto"/>
              </w:rPr>
              <w:t>501</w:t>
            </w:r>
          </w:p>
        </w:tc>
        <w:tc>
          <w:tcPr>
            <w:tcW w:w="760" w:type="dxa"/>
            <w:vAlign w:val="bottom"/>
            <w:gridSpan w:val="2"/>
          </w:tcPr>
          <w:p>
            <w:pPr>
              <w:jc w:val="right"/>
              <w:ind w:right="388"/>
              <w:spacing w:after="0"/>
              <w:rPr>
                <w:sz w:val="20"/>
                <w:szCs w:val="20"/>
                <w:color w:val="auto"/>
              </w:rPr>
            </w:pPr>
            <w:r>
              <w:rPr>
                <w:rFonts w:ascii="Arial" w:cs="Arial" w:eastAsia="Arial" w:hAnsi="Arial"/>
                <w:sz w:val="13"/>
                <w:szCs w:val="13"/>
                <w:color w:val="auto"/>
                <w:w w:val="88"/>
              </w:rPr>
              <w:t>$ (19)</w:t>
            </w:r>
          </w:p>
        </w:tc>
        <w:tc>
          <w:tcPr>
            <w:tcW w:w="1000" w:type="dxa"/>
            <w:vAlign w:val="bottom"/>
            <w:gridSpan w:val="2"/>
          </w:tcPr>
          <w:p>
            <w:pPr>
              <w:jc w:val="right"/>
              <w:ind w:right="560"/>
              <w:spacing w:after="0"/>
              <w:rPr>
                <w:sz w:val="20"/>
                <w:szCs w:val="20"/>
                <w:color w:val="auto"/>
              </w:rPr>
            </w:pPr>
            <w:r>
              <w:rPr>
                <w:rFonts w:ascii="Arial" w:cs="Arial" w:eastAsia="Arial" w:hAnsi="Arial"/>
                <w:sz w:val="13"/>
                <w:szCs w:val="13"/>
                <w:color w:val="auto"/>
              </w:rPr>
              <w:t>(3.7)%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760"/>
              <w:spacing w:after="0"/>
              <w:rPr>
                <w:sz w:val="20"/>
                <w:szCs w:val="20"/>
                <w:color w:val="auto"/>
              </w:rPr>
            </w:pPr>
            <w:r>
              <w:rPr>
                <w:rFonts w:ascii="Arial" w:cs="Arial" w:eastAsia="Arial" w:hAnsi="Arial"/>
                <w:sz w:val="13"/>
                <w:szCs w:val="13"/>
                <w:color w:val="auto"/>
              </w:rPr>
              <w:t>520</w:t>
            </w:r>
          </w:p>
        </w:tc>
        <w:tc>
          <w:tcPr>
            <w:tcW w:w="780" w:type="dxa"/>
            <w:vAlign w:val="bottom"/>
            <w:gridSpan w:val="2"/>
          </w:tcPr>
          <w:p>
            <w:pPr>
              <w:jc w:val="right"/>
              <w:ind w:right="480"/>
              <w:spacing w:after="0"/>
              <w:rPr>
                <w:sz w:val="20"/>
                <w:szCs w:val="20"/>
                <w:color w:val="auto"/>
              </w:rPr>
            </w:pPr>
            <w:r>
              <w:rPr>
                <w:rFonts w:ascii="Arial" w:cs="Arial" w:eastAsia="Arial" w:hAnsi="Arial"/>
                <w:sz w:val="13"/>
                <w:szCs w:val="13"/>
                <w:color w:val="auto"/>
                <w:w w:val="85"/>
              </w:rPr>
              <w:t>$ 131</w:t>
            </w:r>
          </w:p>
        </w:tc>
        <w:tc>
          <w:tcPr>
            <w:tcW w:w="1040" w:type="dxa"/>
            <w:vAlign w:val="bottom"/>
            <w:gridSpan w:val="2"/>
          </w:tcPr>
          <w:p>
            <w:pPr>
              <w:jc w:val="right"/>
              <w:ind w:right="680"/>
              <w:spacing w:after="0"/>
              <w:rPr>
                <w:sz w:val="20"/>
                <w:szCs w:val="20"/>
                <w:color w:val="auto"/>
              </w:rPr>
            </w:pPr>
            <w:r>
              <w:rPr>
                <w:rFonts w:ascii="Arial" w:cs="Arial" w:eastAsia="Arial" w:hAnsi="Arial"/>
                <w:sz w:val="13"/>
                <w:szCs w:val="13"/>
                <w:color w:val="auto"/>
                <w:w w:val="92"/>
              </w:rPr>
              <w:t>33.7%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157"/>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840"/>
              <w:spacing w:after="0"/>
              <w:rPr>
                <w:sz w:val="20"/>
                <w:szCs w:val="20"/>
                <w:color w:val="auto"/>
              </w:rPr>
            </w:pPr>
            <w:r>
              <w:rPr>
                <w:rFonts w:ascii="Arial" w:cs="Arial" w:eastAsia="Arial" w:hAnsi="Arial"/>
                <w:sz w:val="13"/>
                <w:szCs w:val="13"/>
                <w:color w:val="auto"/>
              </w:rPr>
              <w:t>463</w:t>
            </w:r>
          </w:p>
        </w:tc>
        <w:tc>
          <w:tcPr>
            <w:tcW w:w="76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(39)</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502</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47</w:t>
            </w:r>
          </w:p>
        </w:tc>
        <w:tc>
          <w:tcPr>
            <w:tcW w:w="104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w w:val="86"/>
              </w:rPr>
              <w:t>10.3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57"/>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1160" w:type="dxa"/>
            <w:vAlign w:val="bottom"/>
            <w:gridSpan w:val="3"/>
          </w:tcPr>
          <w:p>
            <w:pPr>
              <w:jc w:val="right"/>
              <w:ind w:right="840"/>
              <w:spacing w:after="0"/>
              <w:rPr>
                <w:sz w:val="20"/>
                <w:szCs w:val="20"/>
                <w:color w:val="auto"/>
              </w:rPr>
            </w:pPr>
            <w:r>
              <w:rPr>
                <w:rFonts w:ascii="Arial" w:cs="Arial" w:eastAsia="Arial" w:hAnsi="Arial"/>
                <w:sz w:val="13"/>
                <w:szCs w:val="13"/>
                <w:color w:val="auto"/>
              </w:rPr>
              <w:t>863</w:t>
            </w:r>
          </w:p>
        </w:tc>
        <w:tc>
          <w:tcPr>
            <w:tcW w:w="760" w:type="dxa"/>
            <w:vAlign w:val="bottom"/>
            <w:gridSpan w:val="2"/>
          </w:tcPr>
          <w:p>
            <w:pPr>
              <w:jc w:val="right"/>
              <w:ind w:right="428"/>
              <w:spacing w:after="0"/>
              <w:rPr>
                <w:sz w:val="20"/>
                <w:szCs w:val="20"/>
                <w:color w:val="auto"/>
              </w:rPr>
            </w:pPr>
            <w:r>
              <w:rPr>
                <w:rFonts w:ascii="Arial" w:cs="Arial" w:eastAsia="Arial" w:hAnsi="Arial"/>
                <w:sz w:val="13"/>
                <w:szCs w:val="13"/>
                <w:color w:val="auto"/>
              </w:rPr>
              <w:t>47</w:t>
            </w:r>
          </w:p>
        </w:tc>
        <w:tc>
          <w:tcPr>
            <w:tcW w:w="1000" w:type="dxa"/>
            <w:vAlign w:val="bottom"/>
            <w:gridSpan w:val="2"/>
          </w:tcPr>
          <w:p>
            <w:pPr>
              <w:jc w:val="right"/>
              <w:ind w:right="720"/>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3"/>
                <w:szCs w:val="13"/>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3"/>
                <w:szCs w:val="13"/>
                <w:color w:val="auto"/>
              </w:rPr>
              <w:t>816</w:t>
            </w:r>
          </w:p>
        </w:tc>
        <w:tc>
          <w:tcPr>
            <w:tcW w:w="780" w:type="dxa"/>
            <w:vAlign w:val="bottom"/>
            <w:gridSpan w:val="2"/>
          </w:tcPr>
          <w:p>
            <w:pPr>
              <w:jc w:val="right"/>
              <w:ind w:right="480"/>
              <w:spacing w:after="0"/>
              <w:rPr>
                <w:sz w:val="20"/>
                <w:szCs w:val="20"/>
                <w:color w:val="auto"/>
              </w:rPr>
            </w:pPr>
            <w:r>
              <w:rPr>
                <w:rFonts w:ascii="Arial" w:cs="Arial" w:eastAsia="Arial" w:hAnsi="Arial"/>
                <w:sz w:val="13"/>
                <w:szCs w:val="13"/>
                <w:color w:val="auto"/>
              </w:rPr>
              <w:t>12</w:t>
            </w:r>
          </w:p>
        </w:tc>
        <w:tc>
          <w:tcPr>
            <w:tcW w:w="1040" w:type="dxa"/>
            <w:vAlign w:val="bottom"/>
            <w:gridSpan w:val="2"/>
          </w:tcPr>
          <w:p>
            <w:pPr>
              <w:jc w:val="right"/>
              <w:ind w:right="80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804</w:t>
            </w:r>
          </w:p>
        </w:tc>
        <w:tc>
          <w:tcPr>
            <w:tcW w:w="0" w:type="dxa"/>
            <w:vAlign w:val="bottom"/>
          </w:tcPr>
          <w:p>
            <w:pPr>
              <w:spacing w:after="0"/>
              <w:rPr>
                <w:sz w:val="1"/>
                <w:szCs w:val="1"/>
                <w:color w:val="auto"/>
              </w:rPr>
            </w:pPr>
          </w:p>
        </w:tc>
      </w:tr>
      <w:tr>
        <w:trPr>
          <w:trHeight w:val="157"/>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840"/>
              <w:spacing w:after="0"/>
              <w:rPr>
                <w:sz w:val="20"/>
                <w:szCs w:val="20"/>
                <w:color w:val="auto"/>
              </w:rPr>
            </w:pPr>
            <w:r>
              <w:rPr>
                <w:rFonts w:ascii="Arial" w:cs="Arial" w:eastAsia="Arial" w:hAnsi="Arial"/>
                <w:sz w:val="13"/>
                <w:szCs w:val="13"/>
                <w:color w:val="auto"/>
              </w:rPr>
              <w:t>601</w:t>
            </w:r>
          </w:p>
        </w:tc>
        <w:tc>
          <w:tcPr>
            <w:tcW w:w="76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(3)</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(0.5)</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604</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(16)</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57"/>
        </w:trPr>
        <w:tc>
          <w:tcPr>
            <w:tcW w:w="3520" w:type="dxa"/>
            <w:vAlign w:val="bottom"/>
            <w:gridSpan w:val="2"/>
          </w:tcPr>
          <w:p>
            <w:pPr>
              <w:ind w:left="14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1160" w:type="dxa"/>
            <w:vAlign w:val="bottom"/>
            <w:gridSpan w:val="3"/>
          </w:tcPr>
          <w:p>
            <w:pPr>
              <w:jc w:val="right"/>
              <w:ind w:right="840"/>
              <w:spacing w:after="0"/>
              <w:rPr>
                <w:sz w:val="20"/>
                <w:szCs w:val="20"/>
                <w:color w:val="auto"/>
              </w:rPr>
            </w:pPr>
            <w:r>
              <w:rPr>
                <w:rFonts w:ascii="Arial" w:cs="Arial" w:eastAsia="Arial" w:hAnsi="Arial"/>
                <w:sz w:val="13"/>
                <w:szCs w:val="13"/>
                <w:color w:val="auto"/>
              </w:rPr>
              <w:t>323</w:t>
            </w:r>
          </w:p>
        </w:tc>
        <w:tc>
          <w:tcPr>
            <w:tcW w:w="760" w:type="dxa"/>
            <w:vAlign w:val="bottom"/>
            <w:gridSpan w:val="2"/>
          </w:tcPr>
          <w:p>
            <w:pPr>
              <w:jc w:val="right"/>
              <w:ind w:right="428"/>
              <w:spacing w:after="0"/>
              <w:rPr>
                <w:sz w:val="20"/>
                <w:szCs w:val="20"/>
                <w:color w:val="auto"/>
              </w:rPr>
            </w:pPr>
            <w:r>
              <w:rPr>
                <w:rFonts w:ascii="Arial" w:cs="Arial" w:eastAsia="Arial" w:hAnsi="Arial"/>
                <w:sz w:val="13"/>
                <w:szCs w:val="13"/>
                <w:color w:val="auto"/>
              </w:rPr>
              <w:t>31</w:t>
            </w:r>
          </w:p>
        </w:tc>
        <w:tc>
          <w:tcPr>
            <w:tcW w:w="1000" w:type="dxa"/>
            <w:vAlign w:val="bottom"/>
            <w:gridSpan w:val="2"/>
          </w:tcPr>
          <w:p>
            <w:pPr>
              <w:jc w:val="right"/>
              <w:ind w:right="720"/>
              <w:spacing w:after="0"/>
              <w:rPr>
                <w:sz w:val="20"/>
                <w:szCs w:val="20"/>
                <w:color w:val="auto"/>
              </w:rPr>
            </w:pPr>
            <w:r>
              <w:rPr>
                <w:rFonts w:ascii="Arial" w:cs="Arial" w:eastAsia="Arial" w:hAnsi="Arial"/>
                <w:sz w:val="13"/>
                <w:szCs w:val="13"/>
                <w:color w:val="auto"/>
              </w:rPr>
              <w:t>10.6</w:t>
            </w:r>
          </w:p>
        </w:tc>
        <w:tc>
          <w:tcPr>
            <w:tcW w:w="80" w:type="dxa"/>
            <w:vAlign w:val="bottom"/>
          </w:tcPr>
          <w:p>
            <w:pPr>
              <w:spacing w:after="0"/>
              <w:rPr>
                <w:sz w:val="13"/>
                <w:szCs w:val="13"/>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3"/>
                <w:szCs w:val="13"/>
                <w:color w:val="auto"/>
              </w:rPr>
              <w:t>292</w:t>
            </w:r>
          </w:p>
        </w:tc>
        <w:tc>
          <w:tcPr>
            <w:tcW w:w="780" w:type="dxa"/>
            <w:vAlign w:val="bottom"/>
            <w:gridSpan w:val="2"/>
          </w:tcPr>
          <w:p>
            <w:pPr>
              <w:jc w:val="right"/>
              <w:ind w:right="440"/>
              <w:spacing w:after="0"/>
              <w:rPr>
                <w:sz w:val="20"/>
                <w:szCs w:val="20"/>
                <w:color w:val="auto"/>
              </w:rPr>
            </w:pPr>
            <w:r>
              <w:rPr>
                <w:rFonts w:ascii="Arial" w:cs="Arial" w:eastAsia="Arial" w:hAnsi="Arial"/>
                <w:sz w:val="13"/>
                <w:szCs w:val="13"/>
                <w:color w:val="auto"/>
              </w:rPr>
              <w:t>(23)</w:t>
            </w:r>
          </w:p>
        </w:tc>
        <w:tc>
          <w:tcPr>
            <w:tcW w:w="1040" w:type="dxa"/>
            <w:vAlign w:val="bottom"/>
            <w:gridSpan w:val="2"/>
          </w:tcPr>
          <w:p>
            <w:pPr>
              <w:jc w:val="right"/>
              <w:ind w:right="740"/>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57"/>
        </w:trPr>
        <w:tc>
          <w:tcPr>
            <w:tcW w:w="35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WMRA</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(26)</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w w:val="94"/>
              </w:rPr>
              <w:t>(33.3)</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60"/>
              <w:spacing w:after="0"/>
              <w:rPr>
                <w:sz w:val="20"/>
                <w:szCs w:val="20"/>
                <w:color w:val="auto"/>
              </w:rPr>
            </w:pPr>
            <w:r>
              <w:rPr>
                <w:rFonts w:ascii="Arial" w:cs="Arial" w:eastAsia="Arial" w:hAnsi="Arial"/>
                <w:sz w:val="13"/>
                <w:szCs w:val="13"/>
                <w:color w:val="auto"/>
              </w:rPr>
              <w:t>78</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64</w:t>
            </w:r>
          </w:p>
        </w:tc>
        <w:tc>
          <w:tcPr>
            <w:tcW w:w="104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3520" w:type="dxa"/>
            <w:vAlign w:val="bottom"/>
            <w:gridSpan w:val="2"/>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1160" w:type="dxa"/>
            <w:vAlign w:val="bottom"/>
            <w:gridSpan w:val="3"/>
          </w:tcPr>
          <w:p>
            <w:pPr>
              <w:jc w:val="right"/>
              <w:ind w:right="800"/>
              <w:spacing w:after="0"/>
              <w:rPr>
                <w:sz w:val="20"/>
                <w:szCs w:val="20"/>
                <w:color w:val="auto"/>
              </w:rPr>
            </w:pPr>
            <w:r>
              <w:rPr>
                <w:rFonts w:ascii="Arial" w:cs="Arial" w:eastAsia="Arial" w:hAnsi="Arial"/>
                <w:sz w:val="13"/>
                <w:szCs w:val="13"/>
                <w:color w:val="auto"/>
              </w:rPr>
              <w:t>(58)</w:t>
            </w:r>
          </w:p>
        </w:tc>
        <w:tc>
          <w:tcPr>
            <w:tcW w:w="760" w:type="dxa"/>
            <w:vAlign w:val="bottom"/>
            <w:gridSpan w:val="2"/>
          </w:tcPr>
          <w:p>
            <w:pPr>
              <w:jc w:val="right"/>
              <w:ind w:right="388"/>
              <w:spacing w:after="0"/>
              <w:rPr>
                <w:sz w:val="20"/>
                <w:szCs w:val="20"/>
                <w:color w:val="auto"/>
              </w:rPr>
            </w:pPr>
            <w:r>
              <w:rPr>
                <w:rFonts w:ascii="Arial" w:cs="Arial" w:eastAsia="Arial" w:hAnsi="Arial"/>
                <w:sz w:val="13"/>
                <w:szCs w:val="13"/>
                <w:color w:val="auto"/>
              </w:rPr>
              <w:t>(18)</w:t>
            </w:r>
          </w:p>
        </w:tc>
        <w:tc>
          <w:tcPr>
            <w:tcW w:w="1000" w:type="dxa"/>
            <w:vAlign w:val="bottom"/>
            <w:gridSpan w:val="2"/>
          </w:tcPr>
          <w:p>
            <w:pPr>
              <w:jc w:val="right"/>
              <w:ind w:right="720"/>
              <w:spacing w:after="0"/>
              <w:rPr>
                <w:sz w:val="20"/>
                <w:szCs w:val="20"/>
                <w:color w:val="auto"/>
              </w:rPr>
            </w:pPr>
            <w:r>
              <w:rPr>
                <w:rFonts w:ascii="Arial" w:cs="Arial" w:eastAsia="Arial" w:hAnsi="Arial"/>
                <w:sz w:val="13"/>
                <w:szCs w:val="13"/>
                <w:color w:val="auto"/>
              </w:rPr>
              <w:t>45.0</w:t>
            </w:r>
          </w:p>
        </w:tc>
        <w:tc>
          <w:tcPr>
            <w:tcW w:w="80" w:type="dxa"/>
            <w:vAlign w:val="bottom"/>
          </w:tcPr>
          <w:p>
            <w:pPr>
              <w:spacing w:after="0"/>
              <w:rPr>
                <w:sz w:val="13"/>
                <w:szCs w:val="13"/>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3"/>
                <w:szCs w:val="13"/>
                <w:color w:val="auto"/>
              </w:rPr>
              <w:t>(40)</w:t>
            </w:r>
          </w:p>
        </w:tc>
        <w:tc>
          <w:tcPr>
            <w:tcW w:w="780" w:type="dxa"/>
            <w:vAlign w:val="bottom"/>
            <w:gridSpan w:val="2"/>
          </w:tcPr>
          <w:p>
            <w:pPr>
              <w:jc w:val="right"/>
              <w:ind w:right="440"/>
              <w:spacing w:after="0"/>
              <w:rPr>
                <w:sz w:val="20"/>
                <w:szCs w:val="20"/>
                <w:color w:val="auto"/>
              </w:rPr>
            </w:pPr>
            <w:r>
              <w:rPr>
                <w:rFonts w:ascii="Arial" w:cs="Arial" w:eastAsia="Arial" w:hAnsi="Arial"/>
                <w:sz w:val="13"/>
                <w:szCs w:val="13"/>
                <w:color w:val="auto"/>
              </w:rPr>
              <w:t>(17)</w:t>
            </w:r>
          </w:p>
        </w:tc>
        <w:tc>
          <w:tcPr>
            <w:tcW w:w="1040" w:type="dxa"/>
            <w:vAlign w:val="bottom"/>
            <w:gridSpan w:val="2"/>
          </w:tcPr>
          <w:p>
            <w:pPr>
              <w:jc w:val="right"/>
              <w:ind w:right="8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3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800"/>
              <w:spacing w:after="0"/>
              <w:rPr>
                <w:sz w:val="20"/>
                <w:szCs w:val="20"/>
                <w:color w:val="auto"/>
              </w:rPr>
            </w:pPr>
            <w:r>
              <w:rPr>
                <w:rFonts w:ascii="Arial" w:cs="Arial" w:eastAsia="Arial" w:hAnsi="Arial"/>
                <w:sz w:val="13"/>
                <w:szCs w:val="13"/>
                <w:color w:val="auto"/>
              </w:rPr>
              <w:t>(511)</w:t>
            </w:r>
          </w:p>
        </w:tc>
        <w:tc>
          <w:tcPr>
            <w:tcW w:w="76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7</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720"/>
              <w:spacing w:after="0"/>
              <w:rPr>
                <w:sz w:val="20"/>
                <w:szCs w:val="20"/>
                <w:color w:val="auto"/>
              </w:rPr>
            </w:pPr>
            <w:r>
              <w:rPr>
                <w:rFonts w:ascii="Arial" w:cs="Arial" w:eastAsia="Arial" w:hAnsi="Arial"/>
                <w:sz w:val="13"/>
                <w:szCs w:val="13"/>
                <w:color w:val="auto"/>
              </w:rPr>
              <w:t>(518)</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27</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(545)</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gridSpan w:val="2"/>
            <w:vMerge w:val="restart"/>
          </w:tcPr>
          <w:p>
            <w:pPr>
              <w:jc w:val="right"/>
              <w:ind w:right="560"/>
              <w:spacing w:after="0"/>
              <w:rPr>
                <w:sz w:val="20"/>
                <w:szCs w:val="20"/>
                <w:color w:val="auto"/>
              </w:rPr>
            </w:pPr>
            <w:r>
              <w:rPr>
                <w:rFonts w:ascii="Arial" w:cs="Arial" w:eastAsia="Arial" w:hAnsi="Arial"/>
                <w:sz w:val="13"/>
                <w:szCs w:val="13"/>
                <w:color w:val="auto"/>
              </w:rPr>
              <w:t>(0.9)%</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vMerge w:val="restart"/>
          </w:tcPr>
          <w:p>
            <w:pPr>
              <w:jc w:val="right"/>
              <w:ind w:right="680"/>
              <w:spacing w:after="0"/>
              <w:rPr>
                <w:sz w:val="20"/>
                <w:szCs w:val="20"/>
                <w:color w:val="auto"/>
              </w:rPr>
            </w:pPr>
            <w:r>
              <w:rPr>
                <w:rFonts w:ascii="Arial" w:cs="Arial" w:eastAsia="Arial" w:hAnsi="Arial"/>
                <w:sz w:val="13"/>
                <w:szCs w:val="13"/>
                <w:color w:val="auto"/>
                <w:w w:val="92"/>
              </w:rPr>
              <w:t>11.1%</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2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92"/>
              </w:rPr>
              <w:t>2,234</w:t>
            </w:r>
          </w:p>
        </w:tc>
        <w:tc>
          <w:tcPr>
            <w:tcW w:w="840" w:type="dxa"/>
            <w:vAlign w:val="bottom"/>
          </w:tcPr>
          <w:p>
            <w:pPr>
              <w:spacing w:after="0"/>
              <w:rPr>
                <w:sz w:val="14"/>
                <w:szCs w:val="14"/>
                <w:color w:val="auto"/>
              </w:rPr>
            </w:pPr>
          </w:p>
        </w:tc>
        <w:tc>
          <w:tcPr>
            <w:tcW w:w="760" w:type="dxa"/>
            <w:vAlign w:val="bottom"/>
            <w:gridSpan w:val="2"/>
          </w:tcPr>
          <w:p>
            <w:pPr>
              <w:jc w:val="right"/>
              <w:ind w:right="388"/>
              <w:spacing w:after="0"/>
              <w:rPr>
                <w:sz w:val="20"/>
                <w:szCs w:val="20"/>
                <w:color w:val="auto"/>
              </w:rPr>
            </w:pPr>
            <w:r>
              <w:rPr>
                <w:rFonts w:ascii="Arial" w:cs="Arial" w:eastAsia="Arial" w:hAnsi="Arial"/>
                <w:sz w:val="13"/>
                <w:szCs w:val="13"/>
                <w:color w:val="auto"/>
                <w:w w:val="88"/>
              </w:rPr>
              <w:t>$ (20)</w:t>
            </w:r>
          </w:p>
        </w:tc>
        <w:tc>
          <w:tcPr>
            <w:tcW w:w="100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760"/>
              <w:spacing w:after="0"/>
              <w:rPr>
                <w:sz w:val="20"/>
                <w:szCs w:val="20"/>
                <w:color w:val="auto"/>
              </w:rPr>
            </w:pPr>
            <w:r>
              <w:rPr>
                <w:rFonts w:ascii="Arial" w:cs="Arial" w:eastAsia="Arial" w:hAnsi="Arial"/>
                <w:sz w:val="13"/>
                <w:szCs w:val="13"/>
                <w:color w:val="auto"/>
                <w:w w:val="92"/>
              </w:rPr>
              <w:t>2,254</w:t>
            </w:r>
          </w:p>
        </w:tc>
        <w:tc>
          <w:tcPr>
            <w:tcW w:w="780" w:type="dxa"/>
            <w:vAlign w:val="bottom"/>
            <w:gridSpan w:val="2"/>
          </w:tcPr>
          <w:p>
            <w:pPr>
              <w:jc w:val="right"/>
              <w:ind w:right="480"/>
              <w:spacing w:after="0"/>
              <w:rPr>
                <w:sz w:val="20"/>
                <w:szCs w:val="20"/>
                <w:color w:val="auto"/>
              </w:rPr>
            </w:pPr>
            <w:r>
              <w:rPr>
                <w:rFonts w:ascii="Arial" w:cs="Arial" w:eastAsia="Arial" w:hAnsi="Arial"/>
                <w:sz w:val="13"/>
                <w:szCs w:val="13"/>
                <w:color w:val="auto"/>
                <w:w w:val="85"/>
              </w:rPr>
              <w:t>$ 225</w:t>
            </w:r>
          </w:p>
        </w:tc>
        <w:tc>
          <w:tcPr>
            <w:tcW w:w="104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2,029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i w:val="1"/>
          <w:iCs w:val="1"/>
          <w:color w:val="auto"/>
        </w:rPr>
        <w:t xml:space="preserve">Operating segments </w:t>
      </w:r>
      <w:r>
        <w:rPr>
          <w:rFonts w:ascii="Arial" w:cs="Arial" w:eastAsia="Arial" w:hAnsi="Arial"/>
          <w:sz w:val="11"/>
          <w:szCs w:val="11"/>
          <w:color w:val="auto"/>
        </w:rPr>
        <w:t>— The most significant items affecting the results of operations of our geographic operating segments during the three-year period ended December 31, 2008, are</w:t>
      </w:r>
    </w:p>
    <w:p>
      <w:pPr>
        <w:spacing w:after="0" w:line="38" w:lineRule="exact"/>
        <w:rPr>
          <w:sz w:val="20"/>
          <w:szCs w:val="20"/>
          <w:color w:val="auto"/>
        </w:rPr>
      </w:pPr>
    </w:p>
    <w:p>
      <w:pPr>
        <w:ind w:left="680" w:right="80" w:firstLine="7"/>
        <w:spacing w:after="0" w:line="317" w:lineRule="auto"/>
        <w:tabs>
          <w:tab w:leader="none" w:pos="836" w:val="left"/>
        </w:tabs>
        <w:numPr>
          <w:ilvl w:val="0"/>
          <w:numId w:val="33"/>
        </w:numPr>
        <w:rPr>
          <w:rFonts w:ascii="Arial" w:cs="Arial" w:eastAsia="Arial" w:hAnsi="Arial"/>
          <w:sz w:val="11"/>
          <w:szCs w:val="11"/>
          <w:color w:val="auto"/>
        </w:rPr>
      </w:pPr>
      <w:r>
        <w:rPr>
          <w:rFonts w:ascii="Arial" w:cs="Arial" w:eastAsia="Arial" w:hAnsi="Arial"/>
          <w:sz w:val="11"/>
          <w:szCs w:val="11"/>
          <w:color w:val="auto"/>
        </w:rPr>
        <w:t xml:space="preserve">increased revenue from yield on base business as a result of our pricing strategies, particularly in our collection operations; (ii) declines in revenues due to lower volumes, which can be attributed to pricing competition, the significant downturn in construction and the slowdown of the general economy; and (iii) our continued focus on controlling costs through operating efficiencies. For the first nine months of 2008, our Groups also experienced an unfavorable effect on operating income of significantly higher fuel costs. However, during the fourth quarter of 2008, fuel costs decreased significantly enough to reverse this trend, resulting in an immaterial impact to the full year. See additional discussion in the </w:t>
      </w:r>
      <w:r>
        <w:rPr>
          <w:rFonts w:ascii="Arial" w:cs="Arial" w:eastAsia="Arial" w:hAnsi="Arial"/>
          <w:sz w:val="11"/>
          <w:szCs w:val="11"/>
          <w:i w:val="1"/>
          <w:iCs w:val="1"/>
          <w:color w:val="auto"/>
        </w:rPr>
        <w:t>Operating Revenues</w:t>
      </w:r>
      <w:r>
        <w:rPr>
          <w:rFonts w:ascii="Arial" w:cs="Arial" w:eastAsia="Arial" w:hAnsi="Arial"/>
          <w:sz w:val="11"/>
          <w:szCs w:val="11"/>
          <w:color w:val="auto"/>
        </w:rPr>
        <w:t xml:space="preserve"> section above.</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below are the other significant items specific to each operating segment’s results of operations for the years ended December 31, 2008, 2007 and 2006:</w:t>
      </w:r>
    </w:p>
    <w:p>
      <w:pPr>
        <w:spacing w:after="0" w:line="96" w:lineRule="exact"/>
        <w:rPr>
          <w:sz w:val="20"/>
          <w:szCs w:val="20"/>
          <w:color w:val="auto"/>
        </w:rPr>
      </w:pPr>
    </w:p>
    <w:p>
      <w:pPr>
        <w:jc w:val="center"/>
        <w:ind w:left="1140" w:right="160"/>
        <w:spacing w:after="0" w:line="277" w:lineRule="auto"/>
        <w:rPr>
          <w:sz w:val="20"/>
          <w:szCs w:val="20"/>
          <w:color w:val="auto"/>
        </w:rPr>
      </w:pPr>
      <w:r>
        <w:rPr>
          <w:rFonts w:ascii="Arial" w:cs="Arial" w:eastAsia="Arial" w:hAnsi="Arial"/>
          <w:sz w:val="12"/>
          <w:szCs w:val="12"/>
          <w:i w:val="1"/>
          <w:iCs w:val="1"/>
          <w:color w:val="auto"/>
        </w:rPr>
        <w:t xml:space="preserve">Eastern </w:t>
      </w:r>
      <w:r>
        <w:rPr>
          <w:rFonts w:ascii="Arial" w:cs="Arial" w:eastAsia="Arial" w:hAnsi="Arial"/>
          <w:sz w:val="12"/>
          <w:szCs w:val="12"/>
          <w:color w:val="auto"/>
        </w:rPr>
        <w:t>— The Group’s operating income for the year ended December 31, 2008 was negatively affected by a $14 million charge related to the withdrawal of certain</w:t>
      </w:r>
      <w:r>
        <w:rPr>
          <w:rFonts w:ascii="Arial" w:cs="Arial" w:eastAsia="Arial" w:hAnsi="Arial"/>
          <w:sz w:val="12"/>
          <w:szCs w:val="12"/>
          <w:i w:val="1"/>
          <w:iCs w:val="1"/>
          <w:color w:val="auto"/>
        </w:rPr>
        <w:t xml:space="preserve"> </w:t>
      </w:r>
      <w:r>
        <w:rPr>
          <w:rFonts w:ascii="Arial" w:cs="Arial" w:eastAsia="Arial" w:hAnsi="Arial"/>
          <w:sz w:val="12"/>
          <w:szCs w:val="12"/>
          <w:color w:val="auto"/>
        </w:rPr>
        <w:t>collective bargaining units from underfunded multi-employer pension plans. This charge was offset, in part, by a reduction in landfill amortization expense as a result of changes in certain estimates related to our final capping, closure and post-closure obligations. The Group’s operating income for the year ended December 31, 2007 was favorably affected by</w:t>
      </w:r>
    </w:p>
    <w:p>
      <w:pPr>
        <w:spacing w:after="0" w:line="1" w:lineRule="exact"/>
        <w:rPr>
          <w:sz w:val="20"/>
          <w:szCs w:val="20"/>
          <w:color w:val="auto"/>
        </w:rPr>
      </w:pPr>
    </w:p>
    <w:p>
      <w:pPr>
        <w:jc w:val="both"/>
        <w:ind w:left="1080" w:right="40" w:firstLine="6"/>
        <w:spacing w:after="0" w:line="284" w:lineRule="auto"/>
        <w:tabs>
          <w:tab w:leader="none" w:pos="1236" w:val="left"/>
        </w:tabs>
        <w:numPr>
          <w:ilvl w:val="0"/>
          <w:numId w:val="34"/>
        </w:numPr>
        <w:rPr>
          <w:rFonts w:ascii="Arial" w:cs="Arial" w:eastAsia="Arial" w:hAnsi="Arial"/>
          <w:sz w:val="12"/>
          <w:szCs w:val="12"/>
          <w:color w:val="auto"/>
        </w:rPr>
      </w:pPr>
      <w:r>
        <w:rPr>
          <w:rFonts w:ascii="Arial" w:cs="Arial" w:eastAsia="Arial" w:hAnsi="Arial"/>
          <w:sz w:val="12"/>
          <w:szCs w:val="12"/>
          <w:color w:val="auto"/>
        </w:rPr>
        <w:t>net divestiture gains of $33 million; (ii) an $18 million decrease in disposal fees and taxes due to the favorable resolution of a disposal tax matter; and (iii) a reduction in landfill amortization expense as a result of changes in certain estimates related to our final capping, closure and post-closure obligations. The Group’s operating income for the year ended December 31, 2006 was negatively affected by $26 million in impairment charges associated with (i) businesses being sold as part of our divestiture program; and (ii) a change in our expectations for future operations of a landfill. In 2006, the Group also incurred $14 million of strike-related costs incurred primarily in the New York City area.</w:t>
      </w:r>
    </w:p>
    <w:p>
      <w:pPr>
        <w:spacing w:after="0" w:line="57" w:lineRule="exact"/>
        <w:rPr>
          <w:sz w:val="20"/>
          <w:szCs w:val="20"/>
          <w:color w:val="auto"/>
        </w:rPr>
      </w:pPr>
    </w:p>
    <w:p>
      <w:pPr>
        <w:ind w:left="1080" w:firstLine="383"/>
        <w:spacing w:after="0" w:line="334" w:lineRule="auto"/>
        <w:rPr>
          <w:sz w:val="20"/>
          <w:szCs w:val="20"/>
          <w:color w:val="auto"/>
        </w:rPr>
      </w:pPr>
      <w:r>
        <w:rPr>
          <w:rFonts w:ascii="Arial" w:cs="Arial" w:eastAsia="Arial" w:hAnsi="Arial"/>
          <w:sz w:val="11"/>
          <w:szCs w:val="11"/>
          <w:i w:val="1"/>
          <w:iCs w:val="1"/>
          <w:color w:val="auto"/>
        </w:rPr>
        <w:t xml:space="preserve">Midwest </w:t>
      </w:r>
      <w:r>
        <w:rPr>
          <w:rFonts w:ascii="Arial" w:cs="Arial" w:eastAsia="Arial" w:hAnsi="Arial"/>
          <w:sz w:val="11"/>
          <w:szCs w:val="11"/>
          <w:color w:val="auto"/>
        </w:rPr>
        <w:t>— The Group’s 2008 operating results were negatively affected by $44 million of additional operating expenses primarily incurred as a result of a labor dispute in</w:t>
      </w:r>
      <w:r>
        <w:rPr>
          <w:rFonts w:ascii="Arial" w:cs="Arial" w:eastAsia="Arial" w:hAnsi="Arial"/>
          <w:sz w:val="11"/>
          <w:szCs w:val="11"/>
          <w:i w:val="1"/>
          <w:iCs w:val="1"/>
          <w:color w:val="auto"/>
        </w:rPr>
        <w:t xml:space="preserve"> </w:t>
      </w:r>
      <w:r>
        <w:rPr>
          <w:rFonts w:ascii="Arial" w:cs="Arial" w:eastAsia="Arial" w:hAnsi="Arial"/>
          <w:sz w:val="11"/>
          <w:szCs w:val="11"/>
          <w:color w:val="auto"/>
        </w:rPr>
        <w:t>Milwaukee, Wisconsin. Included in the labor dispute expenses is a $32 million charge related to the withdrawal of certain of the Group’s bargaining units from underfunded multi-employer pension plans. In addition, the Group experienced unfavorable weather conditions in the first quarter of 2008. Positively affecting operating results both in 2008 and in 2007</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280"/>
        <w:spacing w:after="0" w:line="276" w:lineRule="auto"/>
        <w:rPr>
          <w:sz w:val="20"/>
          <w:szCs w:val="20"/>
          <w:color w:val="auto"/>
        </w:rPr>
      </w:pPr>
      <w:r>
        <w:rPr>
          <w:rFonts w:ascii="Arial" w:cs="Arial" w:eastAsia="Arial" w:hAnsi="Arial"/>
          <w:sz w:val="13"/>
          <w:szCs w:val="13"/>
          <w:color w:val="auto"/>
        </w:rPr>
        <w:t>were divestiture gains of $4 million in 2008 and $1 million in 2007 and reductions in landfill amortization expense resulting from changes in certain estimates related to our final capping, closure and post-closure obligations.</w:t>
      </w:r>
    </w:p>
    <w:p>
      <w:pPr>
        <w:spacing w:after="0" w:line="59" w:lineRule="exact"/>
        <w:rPr>
          <w:sz w:val="20"/>
          <w:szCs w:val="20"/>
          <w:color w:val="auto"/>
        </w:rPr>
      </w:pPr>
    </w:p>
    <w:p>
      <w:pPr>
        <w:ind w:left="1080" w:right="220" w:firstLine="383"/>
        <w:spacing w:after="0" w:line="264" w:lineRule="auto"/>
        <w:rPr>
          <w:sz w:val="20"/>
          <w:szCs w:val="20"/>
          <w:color w:val="auto"/>
        </w:rPr>
      </w:pPr>
      <w:r>
        <w:rPr>
          <w:rFonts w:ascii="Arial" w:cs="Arial" w:eastAsia="Arial" w:hAnsi="Arial"/>
          <w:sz w:val="13"/>
          <w:szCs w:val="13"/>
          <w:i w:val="1"/>
          <w:iCs w:val="1"/>
          <w:color w:val="auto"/>
        </w:rPr>
        <w:t xml:space="preserve">Southern </w:t>
      </w:r>
      <w:r>
        <w:rPr>
          <w:rFonts w:ascii="Arial" w:cs="Arial" w:eastAsia="Arial" w:hAnsi="Arial"/>
          <w:sz w:val="13"/>
          <w:szCs w:val="13"/>
          <w:color w:val="auto"/>
        </w:rPr>
        <w:t>— During 2008, the increase in the Group’s operating income is largely due to $29 million of divestiture gains, offset, in part, by a $3 million landfill impairment</w:t>
      </w:r>
      <w:r>
        <w:rPr>
          <w:rFonts w:ascii="Arial" w:cs="Arial" w:eastAsia="Arial" w:hAnsi="Arial"/>
          <w:sz w:val="13"/>
          <w:szCs w:val="13"/>
          <w:i w:val="1"/>
          <w:iCs w:val="1"/>
          <w:color w:val="auto"/>
        </w:rPr>
        <w:t xml:space="preserve"> </w:t>
      </w:r>
      <w:r>
        <w:rPr>
          <w:rFonts w:ascii="Arial" w:cs="Arial" w:eastAsia="Arial" w:hAnsi="Arial"/>
          <w:sz w:val="13"/>
          <w:szCs w:val="13"/>
          <w:color w:val="auto"/>
        </w:rPr>
        <w:t>charge. During 2007, the Group recorded $12 million of impairment charges attributable to two of its landfills. These charges were largely offset by gains on divestitures of $11 million.</w:t>
      </w:r>
    </w:p>
    <w:p>
      <w:pPr>
        <w:spacing w:after="0" w:line="67" w:lineRule="exact"/>
        <w:rPr>
          <w:sz w:val="20"/>
          <w:szCs w:val="20"/>
          <w:color w:val="auto"/>
        </w:rPr>
      </w:pPr>
    </w:p>
    <w:p>
      <w:pPr>
        <w:ind w:left="1080" w:firstLine="383"/>
        <w:spacing w:after="0" w:line="260" w:lineRule="auto"/>
        <w:rPr>
          <w:sz w:val="20"/>
          <w:szCs w:val="20"/>
          <w:color w:val="auto"/>
        </w:rPr>
      </w:pPr>
      <w:r>
        <w:rPr>
          <w:rFonts w:ascii="Arial" w:cs="Arial" w:eastAsia="Arial" w:hAnsi="Arial"/>
          <w:sz w:val="13"/>
          <w:szCs w:val="13"/>
          <w:i w:val="1"/>
          <w:iCs w:val="1"/>
          <w:color w:val="auto"/>
        </w:rPr>
        <w:t xml:space="preserve">Western </w:t>
      </w:r>
      <w:r>
        <w:rPr>
          <w:rFonts w:ascii="Arial" w:cs="Arial" w:eastAsia="Arial" w:hAnsi="Arial"/>
          <w:sz w:val="13"/>
          <w:szCs w:val="13"/>
          <w:color w:val="auto"/>
        </w:rPr>
        <w:t>— The Group’s 2008 operating results were negatively affected by an increase in landfill amortization expense as a result of changes in certain estimates related to our</w:t>
      </w:r>
      <w:r>
        <w:rPr>
          <w:rFonts w:ascii="Arial" w:cs="Arial" w:eastAsia="Arial" w:hAnsi="Arial"/>
          <w:sz w:val="13"/>
          <w:szCs w:val="13"/>
          <w:i w:val="1"/>
          <w:iCs w:val="1"/>
          <w:color w:val="auto"/>
        </w:rPr>
        <w:t xml:space="preserve"> </w:t>
      </w:r>
      <w:r>
        <w:rPr>
          <w:rFonts w:ascii="Arial" w:cs="Arial" w:eastAsia="Arial" w:hAnsi="Arial"/>
          <w:sz w:val="13"/>
          <w:szCs w:val="13"/>
          <w:color w:val="auto"/>
        </w:rPr>
        <w:t>final capping, closure and post-closure obligations. In 2007, labor disputes negatively affected the Group’s operating results by $37 million, principally as a result of “Operating” expenses incurred for security, deployment and lodging costs for replacement workers. Gains on divestitures of operations were $16 million for the year ended December 31, 2007 as compared with $48 million for 2006.</w:t>
      </w:r>
    </w:p>
    <w:p>
      <w:pPr>
        <w:spacing w:after="0" w:line="70" w:lineRule="exact"/>
        <w:rPr>
          <w:sz w:val="20"/>
          <w:szCs w:val="20"/>
          <w:color w:val="auto"/>
        </w:rPr>
      </w:pPr>
    </w:p>
    <w:p>
      <w:pPr>
        <w:ind w:left="1080" w:right="100" w:firstLine="383"/>
        <w:spacing w:after="0" w:line="289" w:lineRule="auto"/>
        <w:rPr>
          <w:sz w:val="20"/>
          <w:szCs w:val="20"/>
          <w:color w:val="auto"/>
        </w:rPr>
      </w:pPr>
      <w:r>
        <w:rPr>
          <w:rFonts w:ascii="Arial" w:cs="Arial" w:eastAsia="Arial" w:hAnsi="Arial"/>
          <w:sz w:val="12"/>
          <w:szCs w:val="12"/>
          <w:i w:val="1"/>
          <w:iCs w:val="1"/>
          <w:color w:val="auto"/>
        </w:rPr>
        <w:t xml:space="preserve">Wheelabrator </w:t>
      </w:r>
      <w:r>
        <w:rPr>
          <w:rFonts w:ascii="Arial" w:cs="Arial" w:eastAsia="Arial" w:hAnsi="Arial"/>
          <w:sz w:val="12"/>
          <w:szCs w:val="12"/>
          <w:color w:val="auto"/>
        </w:rPr>
        <w:t>— The Group’s 2008 operating results were favorably affected by increases in market rates for energy during the second half of 2008. The decline in operating</w:t>
      </w:r>
      <w:r>
        <w:rPr>
          <w:rFonts w:ascii="Arial" w:cs="Arial" w:eastAsia="Arial" w:hAnsi="Arial"/>
          <w:sz w:val="12"/>
          <w:szCs w:val="12"/>
          <w:i w:val="1"/>
          <w:iCs w:val="1"/>
          <w:color w:val="auto"/>
        </w:rPr>
        <w:t xml:space="preserve"> </w:t>
      </w:r>
      <w:r>
        <w:rPr>
          <w:rFonts w:ascii="Arial" w:cs="Arial" w:eastAsia="Arial" w:hAnsi="Arial"/>
          <w:sz w:val="12"/>
          <w:szCs w:val="12"/>
          <w:color w:val="auto"/>
        </w:rPr>
        <w:t>income for the year ended December 31, 2007 was driven by a $21 million charge recorded in the first quarter of 2007 for the early termination of a lease agreement. The early termination was due to the Group’s purchase of an independent power production plant that it had previously operated through a lease agreement. Additionally, the termination of an operating and maintenance agreement in May 2007 resulted in a decline in revenue and operating income compared with the prior year.</w:t>
      </w:r>
    </w:p>
    <w:p>
      <w:pPr>
        <w:spacing w:after="0" w:line="53" w:lineRule="exact"/>
        <w:rPr>
          <w:sz w:val="20"/>
          <w:szCs w:val="20"/>
          <w:color w:val="auto"/>
        </w:rPr>
      </w:pPr>
    </w:p>
    <w:p>
      <w:pPr>
        <w:ind w:left="1080" w:firstLine="383"/>
        <w:spacing w:after="0" w:line="255" w:lineRule="auto"/>
        <w:rPr>
          <w:sz w:val="20"/>
          <w:szCs w:val="20"/>
          <w:color w:val="auto"/>
        </w:rPr>
      </w:pPr>
      <w:r>
        <w:rPr>
          <w:rFonts w:ascii="Arial" w:cs="Arial" w:eastAsia="Arial" w:hAnsi="Arial"/>
          <w:sz w:val="13"/>
          <w:szCs w:val="13"/>
          <w:i w:val="1"/>
          <w:iCs w:val="1"/>
          <w:color w:val="auto"/>
        </w:rPr>
        <w:t xml:space="preserve">WMRA </w:t>
      </w:r>
      <w:r>
        <w:rPr>
          <w:rFonts w:ascii="Arial" w:cs="Arial" w:eastAsia="Arial" w:hAnsi="Arial"/>
          <w:sz w:val="13"/>
          <w:szCs w:val="13"/>
          <w:color w:val="auto"/>
        </w:rPr>
        <w:t>— During the first nine months of 2008 and throughout all of 2007, the Group’s operating income benefited from substantial increases in market prices for</w:t>
      </w:r>
      <w:r>
        <w:rPr>
          <w:rFonts w:ascii="Arial" w:cs="Arial" w:eastAsia="Arial" w:hAnsi="Arial"/>
          <w:sz w:val="13"/>
          <w:szCs w:val="13"/>
          <w:i w:val="1"/>
          <w:iCs w:val="1"/>
          <w:color w:val="auto"/>
        </w:rPr>
        <w:t xml:space="preserve"> </w:t>
      </w:r>
      <w:r>
        <w:rPr>
          <w:rFonts w:ascii="Arial" w:cs="Arial" w:eastAsia="Arial" w:hAnsi="Arial"/>
          <w:sz w:val="13"/>
          <w:szCs w:val="13"/>
          <w:color w:val="auto"/>
        </w:rPr>
        <w:t>commodities. Also during these periods, the Group experienced income growth due to an increased focus on maintaining or reducing rebates made to suppliers. During the fourth quarter of 2008, however, commodity prices dropped sharply as a result of a significant decrease in the demand for commodities both domestically and internationally. This significant decline in commodity prices resulted in operating losses that more than offset the income generated during the first nine months of the year. Higher than normal operating expenses, including higher subcontractor, repair and maintenance, and facility start-up costs, also negatively affected the Group’s operating income throughout 2008. The comparison of the Group’s operating income for the periods presented has also been affected by (i) $7 million of net gains on divestitures in 2007 and (ii) the recognition in 2006 of $10 million of charges for a loss from a divestiture and an impairment of certain under-performing operations, which were slightly more than offset by savings associated with the Group’s cost control efforts.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Significant items affecting the comparability of the remaining components of our results of operations for the years ended December 31, 2008, 2007 and 2006 are summarized below:</w:t>
      </w:r>
    </w:p>
    <w:p>
      <w:pPr>
        <w:spacing w:after="0" w:line="119" w:lineRule="exact"/>
        <w:rPr>
          <w:sz w:val="20"/>
          <w:szCs w:val="20"/>
          <w:color w:val="auto"/>
        </w:rPr>
      </w:pPr>
    </w:p>
    <w:p>
      <w:pPr>
        <w:ind w:left="1080" w:right="220" w:firstLine="383"/>
        <w:spacing w:after="0" w:line="289" w:lineRule="auto"/>
        <w:rPr>
          <w:sz w:val="20"/>
          <w:szCs w:val="20"/>
          <w:color w:val="auto"/>
        </w:rPr>
      </w:pPr>
      <w:r>
        <w:rPr>
          <w:rFonts w:ascii="Arial" w:cs="Arial" w:eastAsia="Arial" w:hAnsi="Arial"/>
          <w:sz w:val="12"/>
          <w:szCs w:val="12"/>
          <w:i w:val="1"/>
          <w:iCs w:val="1"/>
          <w:color w:val="auto"/>
        </w:rPr>
        <w:t xml:space="preserve">Other </w:t>
      </w:r>
      <w:r>
        <w:rPr>
          <w:rFonts w:ascii="Arial" w:cs="Arial" w:eastAsia="Arial" w:hAnsi="Arial"/>
          <w:sz w:val="12"/>
          <w:szCs w:val="12"/>
          <w:color w:val="auto"/>
        </w:rPr>
        <w:t>— The unfavorable change in operating results in 2008 when compared with 2007 is the result of costs being incurred to support our increased focus on the</w:t>
      </w:r>
      <w:r>
        <w:rPr>
          <w:rFonts w:ascii="Arial" w:cs="Arial" w:eastAsia="Arial" w:hAnsi="Arial"/>
          <w:sz w:val="12"/>
          <w:szCs w:val="12"/>
          <w:i w:val="1"/>
          <w:iCs w:val="1"/>
          <w:color w:val="auto"/>
        </w:rPr>
        <w:t xml:space="preserve"> </w:t>
      </w:r>
      <w:r>
        <w:rPr>
          <w:rFonts w:ascii="Arial" w:cs="Arial" w:eastAsia="Arial" w:hAnsi="Arial"/>
          <w:sz w:val="12"/>
          <w:szCs w:val="12"/>
          <w:color w:val="auto"/>
        </w:rPr>
        <w:t>identification and development of new lines of business that will complement our core business. The unfavorable change in operating results in 2007 when compared with 2006 is largely related to (i) certain year-end adjustments recorded in consolidation related to our reportable segments that were not included in the measure of segment income from operations used to assess their performance for the periods disclosed; and (ii) the deconsolidation of a variable interest entity in April 2006.</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Corporate and Other </w:t>
      </w:r>
      <w:r>
        <w:rPr>
          <w:rFonts w:ascii="Arial" w:cs="Arial" w:eastAsia="Arial" w:hAnsi="Arial"/>
          <w:sz w:val="13"/>
          <w:szCs w:val="13"/>
          <w:color w:val="auto"/>
        </w:rPr>
        <w:t>— The decline in expenses in 2008 as compared with 2007 was primarily due to:</w:t>
      </w:r>
    </w:p>
    <w:p>
      <w:pPr>
        <w:spacing w:after="0" w:line="96" w:lineRule="exact"/>
        <w:rPr>
          <w:sz w:val="20"/>
          <w:szCs w:val="20"/>
          <w:color w:val="auto"/>
        </w:rPr>
      </w:pPr>
    </w:p>
    <w:p>
      <w:pPr>
        <w:ind w:left="1680" w:hanging="187"/>
        <w:spacing w:after="0"/>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lower bonus expense in 2008;</w:t>
      </w:r>
    </w:p>
    <w:p>
      <w:pPr>
        <w:spacing w:after="0" w:line="15" w:lineRule="exact"/>
        <w:rPr>
          <w:rFonts w:ascii="Arial" w:cs="Arial" w:eastAsia="Arial" w:hAnsi="Arial"/>
          <w:sz w:val="13"/>
          <w:szCs w:val="13"/>
          <w:color w:val="auto"/>
        </w:rPr>
      </w:pPr>
    </w:p>
    <w:p>
      <w:pPr>
        <w:ind w:left="1680" w:hanging="187"/>
        <w:spacing w:after="0"/>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recognition of approximately $6 million of restructuring charges during the first quarter of 2007 for employee severance and benefit costs;</w:t>
      </w:r>
    </w:p>
    <w:p>
      <w:pPr>
        <w:spacing w:after="0" w:line="7" w:lineRule="exact"/>
        <w:rPr>
          <w:rFonts w:ascii="Arial" w:cs="Arial" w:eastAsia="Arial" w:hAnsi="Arial"/>
          <w:sz w:val="13"/>
          <w:szCs w:val="13"/>
          <w:color w:val="auto"/>
        </w:rPr>
      </w:pPr>
    </w:p>
    <w:p>
      <w:pPr>
        <w:ind w:left="1680" w:right="280" w:hanging="187"/>
        <w:spacing w:after="0" w:line="252" w:lineRule="auto"/>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reduced risk management costs in 2008, which is attributable to reduced actuarial projections of claim losses for workers’ compensation and auto and general liability claims; and</w:t>
      </w:r>
    </w:p>
    <w:p>
      <w:pPr>
        <w:ind w:left="1680" w:hanging="187"/>
        <w:spacing w:after="0"/>
        <w:tabs>
          <w:tab w:leader="none" w:pos="1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higher employee healthcare coverage expenses in the third quarter of 2007 due to unusually high claims activity.</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expense declines noted above were largely offset by the impacts of the following:</w:t>
      </w:r>
    </w:p>
    <w:p>
      <w:pPr>
        <w:spacing w:after="0" w:line="96" w:lineRule="exact"/>
        <w:rPr>
          <w:sz w:val="20"/>
          <w:szCs w:val="20"/>
          <w:color w:val="auto"/>
        </w:rPr>
      </w:pPr>
    </w:p>
    <w:p>
      <w:pPr>
        <w:ind w:left="1680" w:right="60" w:hanging="187"/>
        <w:spacing w:after="0" w:line="280" w:lineRule="auto"/>
        <w:tabs>
          <w:tab w:leader="none" w:pos="16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 $32 million charge to landfill operating costs for the closed landfills that are managed by our closed sites management group through our Corporate organization, due to a sharp decline in United States Treasury rates in late 2008, which caused an increase in the present value of our environmental remediation obligations; and</w:t>
      </w:r>
    </w:p>
    <w:p>
      <w:pPr>
        <w:ind w:left="1560" w:hanging="75"/>
        <w:spacing w:after="0"/>
        <w:tabs>
          <w:tab w:leader="none" w:pos="15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costs incurred for the potential acquisition of Republic during the third quarter of 2008.</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decline in expenses when comparing 2007 with 2006 was primarily due to:</w:t>
      </w:r>
    </w:p>
    <w:p>
      <w:pPr>
        <w:spacing w:after="0" w:line="96" w:lineRule="exact"/>
        <w:rPr>
          <w:sz w:val="20"/>
          <w:szCs w:val="20"/>
          <w:color w:val="auto"/>
        </w:rPr>
      </w:pPr>
    </w:p>
    <w:p>
      <w:pPr>
        <w:ind w:left="1560" w:hanging="75"/>
        <w:spacing w:after="0"/>
        <w:tabs>
          <w:tab w:leader="none" w:pos="15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significantly lower risk management costs largely due to our focus on safety and controlling costs;</w:t>
      </w:r>
    </w:p>
    <w:p>
      <w:pPr>
        <w:spacing w:after="0" w:line="15" w:lineRule="exact"/>
        <w:rPr>
          <w:rFonts w:ascii="Arial" w:cs="Arial" w:eastAsia="Arial" w:hAnsi="Arial"/>
          <w:sz w:val="13"/>
          <w:szCs w:val="13"/>
          <w:color w:val="auto"/>
        </w:rPr>
      </w:pPr>
    </w:p>
    <w:p>
      <w:pPr>
        <w:ind w:left="1680" w:hanging="187"/>
        <w:spacing w:after="0"/>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reduction in expenses from the discontinuation of depreciation for certain enterprise-wide software; and</w:t>
      </w:r>
    </w:p>
    <w:p>
      <w:pPr>
        <w:spacing w:after="0" w:line="7" w:lineRule="exact"/>
        <w:rPr>
          <w:rFonts w:ascii="Arial" w:cs="Arial" w:eastAsia="Arial" w:hAnsi="Arial"/>
          <w:sz w:val="13"/>
          <w:szCs w:val="13"/>
          <w:color w:val="auto"/>
        </w:rPr>
      </w:pPr>
    </w:p>
    <w:p>
      <w:pPr>
        <w:ind w:left="1680" w:hanging="187"/>
        <w:spacing w:after="0"/>
        <w:tabs>
          <w:tab w:leader="none" w:pos="1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 $20 million charge recorded in 2006 to recognize unrecorded obligations associated with unclaimed property.</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expense declines noted above were offset, in part, by the impacts of the following:</w:t>
      </w:r>
    </w:p>
    <w:p>
      <w:pPr>
        <w:spacing w:after="0" w:line="96" w:lineRule="exact"/>
        <w:rPr>
          <w:sz w:val="20"/>
          <w:szCs w:val="20"/>
          <w:color w:val="auto"/>
        </w:rPr>
      </w:pPr>
    </w:p>
    <w:p>
      <w:pPr>
        <w:ind w:left="1680" w:hanging="187"/>
        <w:spacing w:after="0"/>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increased spending on the support and development of our information technology, people and pricing strategic initiatives;</w:t>
      </w:r>
    </w:p>
    <w:p>
      <w:pPr>
        <w:spacing w:after="0" w:line="15" w:lineRule="exact"/>
        <w:rPr>
          <w:rFonts w:ascii="Arial" w:cs="Arial" w:eastAsia="Arial" w:hAnsi="Arial"/>
          <w:sz w:val="13"/>
          <w:szCs w:val="13"/>
          <w:color w:val="auto"/>
        </w:rPr>
      </w:pPr>
    </w:p>
    <w:p>
      <w:pPr>
        <w:ind w:left="1680" w:hanging="187"/>
        <w:spacing w:after="0"/>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increased labor and related benefits costs; and</w:t>
      </w:r>
    </w:p>
    <w:p>
      <w:pPr>
        <w:spacing w:after="0" w:line="7" w:lineRule="exact"/>
        <w:rPr>
          <w:rFonts w:ascii="Arial" w:cs="Arial" w:eastAsia="Arial" w:hAnsi="Arial"/>
          <w:sz w:val="13"/>
          <w:szCs w:val="13"/>
          <w:color w:val="auto"/>
        </w:rPr>
      </w:pPr>
    </w:p>
    <w:p>
      <w:pPr>
        <w:ind w:left="1680" w:hanging="187"/>
        <w:spacing w:after="0"/>
        <w:tabs>
          <w:tab w:leader="none" w:pos="1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restructuring charges recognized during the first quarter of 2007.</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Components of Net Income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other major components of our income for the year ended December 31 for each respective period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92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Period-to-</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b w:val="1"/>
                <w:bCs w:val="1"/>
                <w:color w:val="auto"/>
              </w:rPr>
              <w:t>Period-to-</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vMerge w:val="restart"/>
          </w:tcPr>
          <w:p>
            <w:pPr>
              <w:jc w:val="right"/>
              <w:ind w:right="1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0"/>
                <w:szCs w:val="10"/>
                <w:b w:val="1"/>
                <w:bCs w:val="1"/>
                <w:color w:val="auto"/>
              </w:rPr>
              <w:t>Period Change</w:t>
            </w:r>
          </w:p>
        </w:tc>
        <w:tc>
          <w:tcPr>
            <w:tcW w:w="38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0"/>
                <w:szCs w:val="10"/>
                <w:b w:val="1"/>
                <w:bCs w:val="1"/>
                <w:color w:val="auto"/>
              </w:rPr>
              <w:t>Period Change</w:t>
            </w:r>
          </w:p>
        </w:tc>
        <w:tc>
          <w:tcPr>
            <w:tcW w:w="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89"/>
              </w:rPr>
              <w:t>$  (455)</w:t>
            </w:r>
          </w:p>
        </w:tc>
        <w:tc>
          <w:tcPr>
            <w:tcW w:w="780" w:type="dxa"/>
            <w:vAlign w:val="bottom"/>
            <w:shd w:val="clear" w:color="auto" w:fill="CCEEFF"/>
          </w:tcPr>
          <w:p>
            <w:pPr>
              <w:jc w:val="right"/>
              <w:ind w:right="418"/>
              <w:spacing w:after="0"/>
              <w:rPr>
                <w:sz w:val="20"/>
                <w:szCs w:val="20"/>
                <w:color w:val="auto"/>
              </w:rPr>
            </w:pPr>
            <w:r>
              <w:rPr>
                <w:rFonts w:ascii="Arial" w:cs="Arial" w:eastAsia="Arial" w:hAnsi="Arial"/>
                <w:sz w:val="13"/>
                <w:szCs w:val="13"/>
                <w:color w:val="auto"/>
                <w:w w:val="96"/>
              </w:rPr>
              <w:t>$  66</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2"/>
              </w:rPr>
              <w:t>(12.7)%</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w w:val="93"/>
              </w:rPr>
              <w:t>$  (521)</w:t>
            </w:r>
          </w:p>
        </w:tc>
        <w:tc>
          <w:tcPr>
            <w:tcW w:w="780" w:type="dxa"/>
            <w:vAlign w:val="bottom"/>
            <w:shd w:val="clear" w:color="auto" w:fill="CCEEFF"/>
          </w:tcPr>
          <w:p>
            <w:pPr>
              <w:jc w:val="right"/>
              <w:ind w:right="418"/>
              <w:spacing w:after="0"/>
              <w:rPr>
                <w:sz w:val="20"/>
                <w:szCs w:val="20"/>
                <w:color w:val="auto"/>
              </w:rPr>
            </w:pPr>
            <w:r>
              <w:rPr>
                <w:rFonts w:ascii="Arial" w:cs="Arial" w:eastAsia="Arial" w:hAnsi="Arial"/>
                <w:sz w:val="13"/>
                <w:szCs w:val="13"/>
                <w:color w:val="auto"/>
                <w:w w:val="96"/>
              </w:rPr>
              <w:t>$  24</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3"/>
              </w:rPr>
              <w:t>$  (545)</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Interest income</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19</w:t>
            </w:r>
          </w:p>
        </w:tc>
        <w:tc>
          <w:tcPr>
            <w:tcW w:w="780" w:type="dxa"/>
            <w:vAlign w:val="bottom"/>
          </w:tcPr>
          <w:p>
            <w:pPr>
              <w:jc w:val="right"/>
              <w:ind w:right="378"/>
              <w:spacing w:after="0"/>
              <w:rPr>
                <w:sz w:val="20"/>
                <w:szCs w:val="20"/>
                <w:color w:val="auto"/>
              </w:rPr>
            </w:pPr>
            <w:r>
              <w:rPr>
                <w:rFonts w:ascii="Arial" w:cs="Arial" w:eastAsia="Arial" w:hAnsi="Arial"/>
                <w:sz w:val="13"/>
                <w:szCs w:val="13"/>
                <w:color w:val="auto"/>
              </w:rPr>
              <w:t>(28)</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w w:val="88"/>
              </w:rPr>
              <w:t>(59.6)</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780" w:type="dxa"/>
            <w:vAlign w:val="bottom"/>
          </w:tcPr>
          <w:p>
            <w:pPr>
              <w:jc w:val="right"/>
              <w:ind w:right="378"/>
              <w:spacing w:after="0"/>
              <w:rPr>
                <w:sz w:val="20"/>
                <w:szCs w:val="20"/>
                <w:color w:val="auto"/>
              </w:rPr>
            </w:pPr>
            <w:r>
              <w:rPr>
                <w:rFonts w:ascii="Arial" w:cs="Arial" w:eastAsia="Arial" w:hAnsi="Arial"/>
                <w:sz w:val="13"/>
                <w:szCs w:val="13"/>
                <w:color w:val="auto"/>
              </w:rPr>
              <w:t>(22)</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w w:val="88"/>
              </w:rPr>
              <w:t>(31.9)</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Equity in net losses of unconsolidated entities</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w:t>
            </w:r>
          </w:p>
        </w:tc>
        <w:tc>
          <w:tcPr>
            <w:tcW w:w="780" w:type="dxa"/>
            <w:vAlign w:val="bottom"/>
            <w:shd w:val="clear" w:color="auto" w:fill="CCEEFF"/>
          </w:tcPr>
          <w:p>
            <w:pPr>
              <w:jc w:val="right"/>
              <w:ind w:right="418"/>
              <w:spacing w:after="0"/>
              <w:rPr>
                <w:sz w:val="20"/>
                <w:szCs w:val="20"/>
                <w:color w:val="auto"/>
              </w:rPr>
            </w:pPr>
            <w:r>
              <w:rPr>
                <w:rFonts w:ascii="Arial" w:cs="Arial" w:eastAsia="Arial" w:hAnsi="Arial"/>
                <w:sz w:val="13"/>
                <w:szCs w:val="13"/>
                <w:color w:val="auto"/>
              </w:rPr>
              <w:t>31</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w:t>
            </w:r>
          </w:p>
        </w:tc>
        <w:tc>
          <w:tcPr>
            <w:tcW w:w="780" w:type="dxa"/>
            <w:vAlign w:val="bottom"/>
            <w:shd w:val="clear" w:color="auto" w:fill="CCEEFF"/>
          </w:tcPr>
          <w:p>
            <w:pPr>
              <w:jc w:val="right"/>
              <w:ind w:right="418"/>
              <w:spacing w:after="0"/>
              <w:rPr>
                <w:sz w:val="20"/>
                <w:szCs w:val="20"/>
                <w:color w:val="auto"/>
              </w:rPr>
            </w:pPr>
            <w:r>
              <w:rPr>
                <w:rFonts w:ascii="Arial" w:cs="Arial" w:eastAsia="Arial" w:hAnsi="Arial"/>
                <w:sz w:val="13"/>
                <w:szCs w:val="13"/>
                <w:color w:val="auto"/>
              </w:rPr>
              <w:t>1</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4920" w:type="dxa"/>
            <w:vAlign w:val="bottom"/>
          </w:tcPr>
          <w:p>
            <w:pPr>
              <w:spacing w:after="0"/>
              <w:rPr>
                <w:sz w:val="20"/>
                <w:szCs w:val="20"/>
                <w:color w:val="auto"/>
              </w:rPr>
            </w:pPr>
            <w:r>
              <w:rPr>
                <w:rFonts w:ascii="Arial" w:cs="Arial" w:eastAsia="Arial" w:hAnsi="Arial"/>
                <w:sz w:val="13"/>
                <w:szCs w:val="13"/>
                <w:color w:val="auto"/>
              </w:rPr>
              <w:t>Minority interest</w:t>
            </w:r>
          </w:p>
        </w:tc>
        <w:tc>
          <w:tcPr>
            <w:tcW w:w="760" w:type="dxa"/>
            <w:vAlign w:val="bottom"/>
            <w:gridSpan w:val="2"/>
          </w:tcPr>
          <w:p>
            <w:pPr>
              <w:jc w:val="right"/>
              <w:ind w:right="340"/>
              <w:spacing w:after="0"/>
              <w:rPr>
                <w:sz w:val="20"/>
                <w:szCs w:val="20"/>
                <w:color w:val="auto"/>
              </w:rPr>
            </w:pPr>
            <w:r>
              <w:rPr>
                <w:rFonts w:ascii="Arial" w:cs="Arial" w:eastAsia="Arial" w:hAnsi="Arial"/>
                <w:sz w:val="13"/>
                <w:szCs w:val="13"/>
                <w:color w:val="auto"/>
              </w:rPr>
              <w:t>(41)</w:t>
            </w:r>
          </w:p>
        </w:tc>
        <w:tc>
          <w:tcPr>
            <w:tcW w:w="780" w:type="dxa"/>
            <w:vAlign w:val="bottom"/>
          </w:tcPr>
          <w:p>
            <w:pPr>
              <w:jc w:val="right"/>
              <w:ind w:right="418"/>
              <w:spacing w:after="0"/>
              <w:rPr>
                <w:sz w:val="20"/>
                <w:szCs w:val="20"/>
                <w:color w:val="auto"/>
              </w:rPr>
            </w:pPr>
            <w:r>
              <w:rPr>
                <w:rFonts w:ascii="Arial" w:cs="Arial" w:eastAsia="Arial" w:hAnsi="Arial"/>
                <w:sz w:val="13"/>
                <w:szCs w:val="13"/>
                <w:color w:val="auto"/>
              </w:rPr>
              <w:t>5</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w w:val="88"/>
              </w:rPr>
              <w:t>(10.9)</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(46)</w:t>
            </w:r>
          </w:p>
        </w:tc>
        <w:tc>
          <w:tcPr>
            <w:tcW w:w="780" w:type="dxa"/>
            <w:vAlign w:val="bottom"/>
          </w:tcPr>
          <w:p>
            <w:pPr>
              <w:jc w:val="right"/>
              <w:ind w:right="378"/>
              <w:spacing w:after="0"/>
              <w:rPr>
                <w:sz w:val="20"/>
                <w:szCs w:val="20"/>
                <w:color w:val="auto"/>
              </w:rPr>
            </w:pPr>
            <w:r>
              <w:rPr>
                <w:rFonts w:ascii="Arial" w:cs="Arial" w:eastAsia="Arial" w:hAnsi="Arial"/>
                <w:sz w:val="13"/>
                <w:szCs w:val="13"/>
                <w:color w:val="auto"/>
              </w:rPr>
              <w:t>(2)</w:t>
            </w:r>
          </w:p>
        </w:tc>
        <w:tc>
          <w:tcPr>
            <w:tcW w:w="740" w:type="dxa"/>
            <w:vAlign w:val="bottom"/>
            <w:gridSpan w:val="2"/>
          </w:tcPr>
          <w:p>
            <w:pPr>
              <w:jc w:val="right"/>
              <w:ind w:right="460"/>
              <w:spacing w:after="0"/>
              <w:rPr>
                <w:sz w:val="20"/>
                <w:szCs w:val="20"/>
                <w:color w:val="auto"/>
              </w:rPr>
            </w:pPr>
            <w:r>
              <w:rPr>
                <w:rFonts w:ascii="Arial" w:cs="Arial" w:eastAsia="Arial" w:hAnsi="Arial"/>
                <w:sz w:val="13"/>
                <w:szCs w:val="13"/>
                <w:color w:val="auto"/>
              </w:rPr>
              <w:t>4.5</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w:t>
            </w:r>
          </w:p>
        </w:tc>
        <w:tc>
          <w:tcPr>
            <w:tcW w:w="780" w:type="dxa"/>
            <w:vAlign w:val="bottom"/>
            <w:shd w:val="clear" w:color="auto" w:fill="CCEEFF"/>
          </w:tcPr>
          <w:p>
            <w:pPr>
              <w:jc w:val="right"/>
              <w:ind w:right="378"/>
              <w:spacing w:after="0"/>
              <w:rPr>
                <w:sz w:val="20"/>
                <w:szCs w:val="20"/>
                <w:color w:val="auto"/>
              </w:rPr>
            </w:pPr>
            <w:r>
              <w:rPr>
                <w:rFonts w:ascii="Arial" w:cs="Arial" w:eastAsia="Arial" w:hAnsi="Arial"/>
                <w:sz w:val="13"/>
                <w:szCs w:val="13"/>
                <w:color w:val="auto"/>
              </w:rPr>
              <w:t>(1)</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88"/>
              </w:rPr>
              <w:t>(25.0)</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w:t>
            </w:r>
          </w:p>
        </w:tc>
        <w:tc>
          <w:tcPr>
            <w:tcW w:w="780" w:type="dxa"/>
            <w:vAlign w:val="bottom"/>
            <w:shd w:val="clear" w:color="auto" w:fill="CCEEFF"/>
          </w:tcPr>
          <w:p>
            <w:pPr>
              <w:jc w:val="right"/>
              <w:ind w:right="418"/>
              <w:spacing w:after="0"/>
              <w:rPr>
                <w:sz w:val="20"/>
                <w:szCs w:val="20"/>
                <w:color w:val="auto"/>
              </w:rPr>
            </w:pPr>
            <w:r>
              <w:rPr>
                <w:rFonts w:ascii="Arial" w:cs="Arial" w:eastAsia="Arial" w:hAnsi="Arial"/>
                <w:sz w:val="13"/>
                <w:szCs w:val="13"/>
                <w:color w:val="auto"/>
              </w:rPr>
              <w:t>3</w:t>
            </w: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5"/>
        </w:trPr>
        <w:tc>
          <w:tcPr>
            <w:tcW w:w="492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669</w:t>
            </w:r>
          </w:p>
        </w:tc>
        <w:tc>
          <w:tcPr>
            <w:tcW w:w="780" w:type="dxa"/>
            <w:vAlign w:val="bottom"/>
          </w:tcPr>
          <w:p>
            <w:pPr>
              <w:jc w:val="right"/>
              <w:ind w:right="418"/>
              <w:spacing w:after="0"/>
              <w:rPr>
                <w:sz w:val="20"/>
                <w:szCs w:val="20"/>
                <w:color w:val="auto"/>
              </w:rPr>
            </w:pPr>
            <w:r>
              <w:rPr>
                <w:rFonts w:ascii="Arial" w:cs="Arial" w:eastAsia="Arial" w:hAnsi="Arial"/>
                <w:sz w:val="13"/>
                <w:szCs w:val="13"/>
                <w:color w:val="auto"/>
              </w:rPr>
              <w:t>129</w:t>
            </w:r>
          </w:p>
        </w:tc>
        <w:tc>
          <w:tcPr>
            <w:tcW w:w="74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540</w:t>
            </w:r>
          </w:p>
        </w:tc>
        <w:tc>
          <w:tcPr>
            <w:tcW w:w="780" w:type="dxa"/>
            <w:vAlign w:val="bottom"/>
          </w:tcPr>
          <w:p>
            <w:pPr>
              <w:jc w:val="right"/>
              <w:ind w:right="418"/>
              <w:spacing w:after="0"/>
              <w:rPr>
                <w:sz w:val="20"/>
                <w:szCs w:val="20"/>
                <w:color w:val="auto"/>
              </w:rPr>
            </w:pPr>
            <w:r>
              <w:rPr>
                <w:rFonts w:ascii="Arial" w:cs="Arial" w:eastAsia="Arial" w:hAnsi="Arial"/>
                <w:sz w:val="13"/>
                <w:szCs w:val="13"/>
                <w:color w:val="auto"/>
              </w:rPr>
              <w:t>215</w:t>
            </w:r>
          </w:p>
        </w:tc>
        <w:tc>
          <w:tcPr>
            <w:tcW w:w="74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900" w:right="280" w:hanging="213"/>
        <w:spacing w:after="0" w:line="276" w:lineRule="auto"/>
        <w:tabs>
          <w:tab w:leader="none" w:pos="9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Percentage change does not provide a meaningful comparison. Refer to the explanations of these items below for a discussion of the relationship between current year and prior year activity.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Although our outstanding debt balances are relatively consistent year-over-year, the decline in interest costs when comparing 2008 with 2007 is generally related to (i) the maturity of higher rate debt that we have refinanced at lower interest rates; (ii) significant declines in market interest rates, which impact the interest expense associated with our interest rate swaps and our variable rate debt; and (iii) the early redemption of $244 million of 8.75% senior notes during the second quarter of 2008, which resulted in the recognition of a reduction in interest expense of approximately $10 million for the immediate recognition of fair value adjustments associated with terminated interest rate swaps that had been deferred and were being amortized over the life of the debt. The decrease in interest expense when comparing 2007 with 2006 is largely related to a decrease in our average debt balances.</w:t>
      </w:r>
    </w:p>
    <w:p>
      <w:pPr>
        <w:spacing w:after="0" w:line="5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use interest rate derivative contracts to manage our exposure to changes in market interest rates. The combined impact of active and terminated interest rate swap agreements resulted in a net interest expense decrease of $50 million for 2008 and net interest expense increases of $11 million for 2007 and $4 million for 2006. Our active interest rate swaps decreased our interest expense in 2008 by $8 million compared with an increase in interest expense in 2007 from active hedges of $48 million. The significant change in the impact of our active interest rate swaps when comparing 2008 with 2007 has been driven by the decrease in short-term market interest rates, which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drive our periodic interest obligations under our active swap agreements. Our periodic interest obligations under these agreements are based on a spread from the three-month LIBOR, which was as low as 1.43% in late 2008 and as high as 5.62% in the second half of 2007. In 2008, the year-over-year change in the impact of interest rate swaps is also due to our terminated swaps, which caused a $42 million reduction in interest expense in 2008 compared with a $37 million reduction in interest expense in 2007. Our terminated interest rate swaps are expected to reduce interest expense by $18 million in 2009, $11 million in 2010, and $5 million in 2011.</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Income</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When comparing 2008 with 2007, the decrease in interest income is primarily due to (i) significant declines in market interest rates; (ii) the recognition of $7 million in interest income during the first quarter of 2007 for the favorable resolution of a disposal tax matter in our Eastern Group; and (iii) a decrease in our average cash and investment balances. When comparing 2007 with 2006, the decrease in interest income is primarily due to (i) a decrease in our average cash and investment balances; and (ii) $14 million of interest income realized in 2006 on tax refunds received from the IRS for the settlement of several federal audits.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in Net Losses of Unconsolidated Entities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the reported periods, our “Equity in net losses of unconsolidated entities” was primarily related to our equity interests in two coal-based synthetic fuel production facilities.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 xml:space="preserve">The equity losses generated by the facilities were offset by the tax benefit realized as a result of these investments as discussed below within </w:t>
      </w:r>
      <w:r>
        <w:rPr>
          <w:rFonts w:ascii="Arial" w:cs="Arial" w:eastAsia="Arial" w:hAnsi="Arial"/>
          <w:sz w:val="13"/>
          <w:szCs w:val="13"/>
          <w:i w:val="1"/>
          <w:iCs w:val="1"/>
          <w:color w:val="auto"/>
        </w:rPr>
        <w:t>Provision for income taxes.</w:t>
      </w:r>
    </w:p>
    <w:p>
      <w:pPr>
        <w:spacing w:after="0" w:line="89" w:lineRule="exact"/>
        <w:rPr>
          <w:sz w:val="20"/>
          <w:szCs w:val="20"/>
          <w:color w:val="auto"/>
        </w:rPr>
      </w:pPr>
    </w:p>
    <w:p>
      <w:pPr>
        <w:ind w:left="680" w:right="200" w:firstLine="399"/>
        <w:spacing w:after="0" w:line="257" w:lineRule="auto"/>
        <w:rPr>
          <w:sz w:val="20"/>
          <w:szCs w:val="20"/>
          <w:color w:val="auto"/>
        </w:rPr>
      </w:pPr>
      <w:r>
        <w:rPr>
          <w:rFonts w:ascii="Arial" w:cs="Arial" w:eastAsia="Arial" w:hAnsi="Arial"/>
          <w:sz w:val="13"/>
          <w:szCs w:val="13"/>
          <w:color w:val="auto"/>
        </w:rPr>
        <w:t>Our equity in the losses of these facilities was $3 million for the year ended December 31, 2008, $42 million for the year ended December 31, 2007 and $41 million for the year ended December 31, 2006. The significant decline in these losses in 2008 as compared with the prior year periods is due to the expiration of our investments at the end of 2007. The comparability of the losses incurred in 2007 and 2006 is primarily affected by (i) the impact of the partial phase-out of Section 45K credits during each year on our contractual obligations associated with funding the facilities’ losses; (ii) the temporary suspension of operations at the facilities in 2006; and (iii) the recognition of a cumulative adjustment necessary to appropriately reflect our life-to-date obligations to fund the costs of operating the facilities and the value of our investment, which was recognized in 2006. Refer to Note 8 for additional information related to the impact of these investments.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Minority Interest</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On December 31, 2003, we consolidated two limited liability companies that own three waste-to-energy facilities operated by our Wheelabrator Group as a result of our implementation of FIN 46(R). Our minority interest expense for 2008, 2007 and 2006 is primarily related to the other members’ equity interest in the earnings of these entities. Additional information related to these investments is included in Note 19 to the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recorded a provision for income taxes of $669 million in 2008, $540 million in 2007 and $325 million in 2006. These tax provisions resulted in an effective income tax rate of approximately 38.1%, 31.7% and 22.1% for each of the three years, respectively. At current income levels, we expect that our 2009 recurring effective tax rate will be approximately 40%. The comparability of our reported income taxes for the years ended December 31, 2008, 2007 and 2006 is primarily affected by (i) increases in our income before taxes; (ii) differences in the impacts of tax audit settlements; and (iii) the impact of non-conventional fuel tax credits, which expired at the end of 2007. The impacts of tax audit settlements and non-conventional fuel tax credits, which are the items that had the most significant impacts on the comparability of our effective tax rate during the years ended December 31, 2008, 2007 and 2006, are summarized below:</w:t>
      </w:r>
    </w:p>
    <w:p>
      <w:pPr>
        <w:spacing w:after="0" w:line="72" w:lineRule="exact"/>
        <w:rPr>
          <w:sz w:val="20"/>
          <w:szCs w:val="20"/>
          <w:color w:val="auto"/>
        </w:rPr>
      </w:pPr>
    </w:p>
    <w:p>
      <w:pPr>
        <w:ind w:left="1280" w:hanging="190"/>
        <w:spacing w:after="0" w:line="276"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i w:val="1"/>
          <w:iCs w:val="1"/>
          <w:color w:val="auto"/>
        </w:rPr>
        <w:t xml:space="preserve">Tax audit settlements </w:t>
      </w:r>
      <w:r>
        <w:rPr>
          <w:rFonts w:ascii="Arial" w:cs="Arial" w:eastAsia="Arial" w:hAnsi="Arial"/>
          <w:sz w:val="13"/>
          <w:szCs w:val="13"/>
          <w:color w:val="auto"/>
        </w:rPr>
        <w:t>— When excluding the effect of interest income, the settlement of various tax audits resulted in a reduction in income tax expense of $26 million for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2008 (representing a 1.5 percentage point reduction in our effective tax rate), $40 million for the year ended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500" w:right="620"/>
        <w:spacing w:after="0" w:line="276" w:lineRule="auto"/>
        <w:rPr>
          <w:sz w:val="20"/>
          <w:szCs w:val="20"/>
          <w:color w:val="auto"/>
        </w:rPr>
      </w:pPr>
      <w:r>
        <w:rPr>
          <w:rFonts w:ascii="Arial" w:cs="Arial" w:eastAsia="Arial" w:hAnsi="Arial"/>
          <w:sz w:val="13"/>
          <w:szCs w:val="13"/>
          <w:color w:val="auto"/>
        </w:rPr>
        <w:t>December 31, 2007 (representing a 2.3 percentage point reduction in our effective tax rate) and $149 million for the year ended December 31, 2006 (representing a 10.1 percentage point reduction in our effective tax rate).</w:t>
      </w:r>
    </w:p>
    <w:p>
      <w:pPr>
        <w:spacing w:after="0" w:line="59" w:lineRule="exact"/>
        <w:rPr>
          <w:sz w:val="20"/>
          <w:szCs w:val="20"/>
          <w:color w:val="auto"/>
        </w:rPr>
      </w:pPr>
    </w:p>
    <w:p>
      <w:pPr>
        <w:ind w:left="1280" w:right="60" w:hanging="190"/>
        <w:spacing w:after="0" w:line="255" w:lineRule="auto"/>
        <w:tabs>
          <w:tab w:leader="none" w:pos="1280" w:val="left"/>
        </w:tabs>
        <w:numPr>
          <w:ilvl w:val="0"/>
          <w:numId w:val="41"/>
        </w:numPr>
        <w:rPr>
          <w:rFonts w:ascii="Arial" w:cs="Arial" w:eastAsia="Arial" w:hAnsi="Arial"/>
          <w:sz w:val="13"/>
          <w:szCs w:val="13"/>
          <w:color w:val="auto"/>
        </w:rPr>
      </w:pPr>
      <w:r>
        <w:rPr>
          <w:rFonts w:ascii="Arial" w:cs="Arial" w:eastAsia="Arial" w:hAnsi="Arial"/>
          <w:sz w:val="13"/>
          <w:szCs w:val="13"/>
          <w:i w:val="1"/>
          <w:iCs w:val="1"/>
          <w:color w:val="auto"/>
        </w:rPr>
        <w:t xml:space="preserve">Non-conventional fuel tax credits </w:t>
      </w:r>
      <w:r>
        <w:rPr>
          <w:rFonts w:ascii="Arial" w:cs="Arial" w:eastAsia="Arial" w:hAnsi="Arial"/>
          <w:sz w:val="13"/>
          <w:szCs w:val="13"/>
          <w:color w:val="auto"/>
        </w:rPr>
        <w:t>— Through December 31, 2007, non-conventional fuel tax credits were derived from our landfills and our investments in the two coal-based,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synthetic fuel production facilities discussed in the </w:t>
      </w:r>
      <w:r>
        <w:rPr>
          <w:rFonts w:ascii="Arial" w:cs="Arial" w:eastAsia="Arial" w:hAnsi="Arial"/>
          <w:sz w:val="13"/>
          <w:szCs w:val="13"/>
          <w:i w:val="1"/>
          <w:iCs w:val="1"/>
          <w:color w:val="auto"/>
        </w:rPr>
        <w:t>Equity in net losses of unconsolidated entities</w:t>
      </w:r>
      <w:r>
        <w:rPr>
          <w:rFonts w:ascii="Arial" w:cs="Arial" w:eastAsia="Arial" w:hAnsi="Arial"/>
          <w:sz w:val="13"/>
          <w:szCs w:val="13"/>
          <w:color w:val="auto"/>
        </w:rPr>
        <w:t xml:space="preserve"> section above. Pursuant to Section 45K of the Internal Revenue Code, these tax credits were phased-out if the price of oil exceeded an annual average as determined by the IRS. Based on an estimated phase-out of 69% of Section 45K tax credits generated during 2007, our income taxes for the year ended December 31, 2007 included $50 million of non-conventional fuel tax credits. These tax credits resulted in a 2.9 percentage point reduction in our effective tax rate for the year ended December 31, 2007. In April 2008, the IRS published the phase-out percentage that must be applied to Section 45K tax credits generated in 2007, which was 67.2%. Our provision for income taxes for the first quarter of 2008 included an adjustment of our 2007 year-end estimate to the final 2007 phase-out, which resulted in the recognition of a $3 million benefit. Our income taxes for the year ended December 31, 2006 included $71 million of non-conventional fuel tax credits, resulting in a 4.8 percentage point reduction in our effective tax rate. Non-conventional fuel tax credits expired at the end of 2007 pursuant to Section 45K of the Internal Revenue Code.</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items that have affected our reported income taxes during the reported periods include the following:</w:t>
      </w:r>
    </w:p>
    <w:p>
      <w:pPr>
        <w:spacing w:after="0" w:line="96" w:lineRule="exact"/>
        <w:rPr>
          <w:sz w:val="20"/>
          <w:szCs w:val="20"/>
          <w:color w:val="auto"/>
        </w:rPr>
      </w:pPr>
    </w:p>
    <w:p>
      <w:pPr>
        <w:ind w:left="1280" w:right="120" w:hanging="190"/>
        <w:spacing w:after="0" w:line="276"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Canadian tax rate changes and the related revaluation of deferred tax balances resulted in a $30 million tax benefit during 2007 compared with a $20 million tax benefit in 2006. We did not have any comparable adjustments during the year ended December 31, 2008.</w:t>
      </w:r>
    </w:p>
    <w:p>
      <w:pPr>
        <w:spacing w:after="0" w:line="49"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We recorded reductions to income tax expense of $8 million in 2008, $9 million in 2007 and $20 million in 2006 due to state-related tax items. These impacts were generally due to either (i) the revaluation of net accumulated deferred tax liabilities as a result of a decrease in our effective state tax rate or (ii) the expected utilization of state net operating loss and credit carryforwards.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Landfill and Environmental Remediation Discussion and Analysis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owned or operated 267 solid waste and six hazardous waste landfills at December 31, 2008 and we owned or operated 271 solid waste and six hazardous waste landfills at December 31, 2007. At December 31, 2008 and 2007, the expected remaining capacity in cubic yards and tonnage of waste that can be accepted at our owned or operated landfills is shown below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9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December 31, 2008</w:t>
            </w: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0"/>
                <w:szCs w:val="10"/>
                <w:b w:val="1"/>
                <w:bCs w:val="1"/>
                <w:color w:val="auto"/>
              </w:rPr>
              <w:t>December 31, 2007</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86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Remaining</w:t>
            </w:r>
          </w:p>
        </w:tc>
        <w:tc>
          <w:tcPr>
            <w:tcW w:w="260" w:type="dxa"/>
            <w:vAlign w:val="bottom"/>
          </w:tcPr>
          <w:p>
            <w:pPr>
              <w:spacing w:after="0"/>
              <w:rPr>
                <w:sz w:val="7"/>
                <w:szCs w:val="7"/>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4"/>
              </w:rPr>
              <w:t>Expansion</w:t>
            </w: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Total</w:t>
            </w:r>
          </w:p>
        </w:tc>
        <w:tc>
          <w:tcPr>
            <w:tcW w:w="82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rPr>
              <w:t>Remaining</w:t>
            </w:r>
          </w:p>
        </w:tc>
        <w:tc>
          <w:tcPr>
            <w:tcW w:w="260" w:type="dxa"/>
            <w:vAlign w:val="bottom"/>
          </w:tcPr>
          <w:p>
            <w:pPr>
              <w:spacing w:after="0"/>
              <w:rPr>
                <w:sz w:val="7"/>
                <w:szCs w:val="7"/>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Expansion</w:t>
            </w: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86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5"/>
              </w:rPr>
              <w:t>Permitted</w:t>
            </w:r>
          </w:p>
        </w:tc>
        <w:tc>
          <w:tcPr>
            <w:tcW w:w="2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20" w:type="dxa"/>
            <w:vAlign w:val="bottom"/>
            <w:gridSpan w:val="2"/>
          </w:tcPr>
          <w:p>
            <w:pPr>
              <w:jc w:val="center"/>
              <w:ind w:right="140"/>
              <w:spacing w:after="0" w:line="108" w:lineRule="exact"/>
              <w:rPr>
                <w:sz w:val="20"/>
                <w:szCs w:val="20"/>
                <w:color w:val="auto"/>
              </w:rPr>
            </w:pPr>
            <w:r>
              <w:rPr>
                <w:rFonts w:ascii="Arial" w:cs="Arial" w:eastAsia="Arial" w:hAnsi="Arial"/>
                <w:sz w:val="10"/>
                <w:szCs w:val="10"/>
                <w:b w:val="1"/>
                <w:bCs w:val="1"/>
                <w:color w:val="auto"/>
                <w:w w:val="95"/>
              </w:rPr>
              <w:t>Permitted</w:t>
            </w:r>
          </w:p>
        </w:tc>
        <w:tc>
          <w:tcPr>
            <w:tcW w:w="26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Capacity</w:t>
            </w:r>
          </w:p>
        </w:tc>
        <w:tc>
          <w:tcPr>
            <w:tcW w:w="260" w:type="dxa"/>
            <w:vAlign w:val="bottom"/>
          </w:tcPr>
          <w:p>
            <w:pPr>
              <w:spacing w:after="0"/>
              <w:rPr>
                <w:sz w:val="10"/>
                <w:szCs w:val="1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Capacity</w:t>
            </w: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Capacity</w:t>
            </w:r>
          </w:p>
        </w:tc>
        <w:tc>
          <w:tcPr>
            <w:tcW w:w="8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Capacity</w:t>
            </w:r>
          </w:p>
        </w:tc>
        <w:tc>
          <w:tcPr>
            <w:tcW w:w="260" w:type="dxa"/>
            <w:vAlign w:val="bottom"/>
          </w:tcPr>
          <w:p>
            <w:pPr>
              <w:spacing w:after="0"/>
              <w:rPr>
                <w:sz w:val="10"/>
                <w:szCs w:val="1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Capacity</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Capacity</w:t>
            </w: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Remaining cubic yards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4,456</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816</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5,272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4,265</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944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5,209</w:t>
            </w:r>
          </w:p>
        </w:tc>
        <w:tc>
          <w:tcPr>
            <w:tcW w:w="0" w:type="dxa"/>
            <w:vAlign w:val="bottom"/>
          </w:tcPr>
          <w:p>
            <w:pPr>
              <w:spacing w:after="0"/>
              <w:rPr>
                <w:sz w:val="1"/>
                <w:szCs w:val="1"/>
                <w:color w:val="auto"/>
              </w:rPr>
            </w:pPr>
          </w:p>
        </w:tc>
      </w:tr>
      <w:tr>
        <w:trPr>
          <w:trHeight w:val="165"/>
        </w:trPr>
        <w:tc>
          <w:tcPr>
            <w:tcW w:w="3900" w:type="dxa"/>
            <w:vAlign w:val="bottom"/>
          </w:tcPr>
          <w:p>
            <w:pPr>
              <w:spacing w:after="0"/>
              <w:rPr>
                <w:sz w:val="20"/>
                <w:szCs w:val="20"/>
                <w:color w:val="auto"/>
              </w:rPr>
            </w:pPr>
            <w:r>
              <w:rPr>
                <w:rFonts w:ascii="Arial" w:cs="Arial" w:eastAsia="Arial" w:hAnsi="Arial"/>
                <w:sz w:val="13"/>
                <w:szCs w:val="13"/>
                <w:color w:val="auto"/>
              </w:rPr>
              <w:t>Remaining tonnage</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3,979</w:t>
            </w:r>
          </w:p>
        </w:tc>
        <w:tc>
          <w:tcPr>
            <w:tcW w:w="1380" w:type="dxa"/>
            <w:vAlign w:val="bottom"/>
            <w:gridSpan w:val="3"/>
          </w:tcPr>
          <w:p>
            <w:pPr>
              <w:jc w:val="right"/>
              <w:ind w:right="400"/>
              <w:spacing w:after="0"/>
              <w:rPr>
                <w:sz w:val="20"/>
                <w:szCs w:val="20"/>
                <w:color w:val="auto"/>
              </w:rPr>
            </w:pPr>
            <w:r>
              <w:rPr>
                <w:rFonts w:ascii="Arial" w:cs="Arial" w:eastAsia="Arial" w:hAnsi="Arial"/>
                <w:sz w:val="13"/>
                <w:szCs w:val="13"/>
                <w:color w:val="auto"/>
              </w:rPr>
              <w:t>794</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4,773</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3,787</w:t>
            </w:r>
          </w:p>
        </w:tc>
        <w:tc>
          <w:tcPr>
            <w:tcW w:w="1340" w:type="dxa"/>
            <w:vAlign w:val="bottom"/>
            <w:gridSpan w:val="3"/>
          </w:tcPr>
          <w:p>
            <w:pPr>
              <w:jc w:val="right"/>
              <w:ind w:right="400"/>
              <w:spacing w:after="0"/>
              <w:rPr>
                <w:sz w:val="20"/>
                <w:szCs w:val="20"/>
                <w:color w:val="auto"/>
              </w:rPr>
            </w:pPr>
            <w:r>
              <w:rPr>
                <w:rFonts w:ascii="Arial" w:cs="Arial" w:eastAsia="Arial" w:hAnsi="Arial"/>
                <w:sz w:val="13"/>
                <w:szCs w:val="13"/>
                <w:color w:val="auto"/>
              </w:rPr>
              <w:t>893</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4,680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 xml:space="preserve">Based on remaining permitted airspace as of December 31, 2008 and projected annual disposal volumes, the weighted average remaining landfill life for all of our owned or operated landfills is approximately 32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permit. We are seeking expansion permits at 42 of our landfills that meet the expansion criteria outlined in the </w:t>
      </w:r>
      <w:r>
        <w:rPr>
          <w:rFonts w:ascii="Arial" w:cs="Arial" w:eastAsia="Arial" w:hAnsi="Arial"/>
          <w:sz w:val="12"/>
          <w:szCs w:val="12"/>
          <w:i w:val="1"/>
          <w:iCs w:val="1"/>
          <w:color w:val="auto"/>
        </w:rPr>
        <w:t>Critical Accounting Estimates and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Assumptions </w:t>
      </w:r>
      <w:r>
        <w:rPr>
          <w:rFonts w:ascii="Arial" w:cs="Arial" w:eastAsia="Arial" w:hAnsi="Arial"/>
          <w:sz w:val="12"/>
          <w:szCs w:val="12"/>
          <w:color w:val="auto"/>
        </w:rPr>
        <w:t>section above. Although no assurances can be made that all future expansions will be permitted or permitted as designed, the weighted average remaining landfill life for all</w:t>
      </w:r>
      <w:r>
        <w:rPr>
          <w:rFonts w:ascii="Arial" w:cs="Arial" w:eastAsia="Arial" w:hAnsi="Arial"/>
          <w:sz w:val="12"/>
          <w:szCs w:val="12"/>
          <w:i w:val="1"/>
          <w:iCs w:val="1"/>
          <w:color w:val="auto"/>
        </w:rPr>
        <w:t xml:space="preserve"> </w:t>
      </w:r>
      <w:r>
        <w:rPr>
          <w:rFonts w:ascii="Arial" w:cs="Arial" w:eastAsia="Arial" w:hAnsi="Arial"/>
          <w:sz w:val="12"/>
          <w:szCs w:val="12"/>
          <w:color w:val="auto"/>
        </w:rPr>
        <w:t>owned or operated landfills is approximately 39 years when considering remaining permitted airspace, expansion airspace and projected annual disposal volume.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number of landfills we own or operate as of December 31, 2008, segregated by their estimated operating lives (in years), based on remaining permitted and expansion airspace and projected annual disposal volume was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0 to 5</w:t>
            </w: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6 to 10</w:t>
            </w:r>
          </w:p>
        </w:tc>
        <w:tc>
          <w:tcPr>
            <w:tcW w:w="88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11 to 20</w:t>
            </w:r>
          </w:p>
        </w:tc>
        <w:tc>
          <w:tcPr>
            <w:tcW w:w="88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21 to 40</w:t>
            </w: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rPr>
              <w:t>41+</w:t>
            </w:r>
          </w:p>
        </w:tc>
        <w:tc>
          <w:tcPr>
            <w:tcW w:w="380" w:type="dxa"/>
            <w:vAlign w:val="bottom"/>
          </w:tcPr>
          <w:p>
            <w:pPr>
              <w:spacing w:after="0"/>
              <w:rPr>
                <w:sz w:val="10"/>
                <w:szCs w:val="10"/>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Owned</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57"/>
        </w:trPr>
        <w:tc>
          <w:tcPr>
            <w:tcW w:w="5780" w:type="dxa"/>
            <w:vAlign w:val="bottom"/>
            <w:gridSpan w:val="2"/>
          </w:tcPr>
          <w:p>
            <w:pPr>
              <w:spacing w:after="0"/>
              <w:rPr>
                <w:sz w:val="20"/>
                <w:szCs w:val="20"/>
                <w:color w:val="auto"/>
              </w:rPr>
            </w:pPr>
            <w:r>
              <w:rPr>
                <w:rFonts w:ascii="Arial" w:cs="Arial" w:eastAsia="Arial" w:hAnsi="Arial"/>
                <w:sz w:val="13"/>
                <w:szCs w:val="13"/>
                <w:color w:val="auto"/>
              </w:rPr>
              <w:t>Operated through lease(a)</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5</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6</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5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contracts(b)</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3"/>
                <w:szCs w:val="13"/>
                <w:color w:val="auto"/>
              </w:rPr>
              <w:t>Total landfills</w:t>
            </w: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80" w:type="dxa"/>
            <w:vAlign w:val="bottom"/>
            <w:gridSpan w:val="2"/>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27</w:t>
            </w:r>
          </w:p>
        </w:tc>
        <w:tc>
          <w:tcPr>
            <w:tcW w:w="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25</w:t>
            </w:r>
          </w:p>
        </w:tc>
        <w:tc>
          <w:tcPr>
            <w:tcW w:w="4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56</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77</w:t>
            </w: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88</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4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0" w:hanging="313"/>
        <w:spacing w:after="0" w:line="307" w:lineRule="auto"/>
        <w:tabs>
          <w:tab w:leader="none" w:pos="100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From an operating perspective, landfills we operate through lease agreements are similar to landfills we own because we own the landfill’s operating permit and will operate the landfill for the entire lease term, which in many cases is the life of the landfill. We are usually responsible for the closure and post-closure obligations of the landfills we lease.</w:t>
      </w:r>
    </w:p>
    <w:p>
      <w:pPr>
        <w:ind w:left="1000" w:right="260" w:hanging="313"/>
        <w:spacing w:after="0" w:line="276"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For operating contracts, the property owner owns the permit and we operate the landfill for a contracted term, which may be the life of the landfill. The property owner is generally responsible for closure and post-closure obligations under our operating contracts.</w:t>
      </w:r>
    </w:p>
    <w:p>
      <w:pPr>
        <w:spacing w:after="0" w:line="59"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The following table reflects landfill capacity and airspace changes, as measured in tons of waste, for landfills owned or operated by us during the years ended December 31, 2008 and 2007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0"/>
                <w:szCs w:val="10"/>
                <w:b w:val="1"/>
                <w:bCs w:val="1"/>
                <w:color w:val="auto"/>
                <w:w w:val="97"/>
              </w:rPr>
              <w:t>December 31, 2008</w:t>
            </w:r>
          </w:p>
        </w:tc>
        <w:tc>
          <w:tcPr>
            <w:tcW w:w="5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0"/>
                <w:szCs w:val="10"/>
                <w:b w:val="1"/>
                <w:bCs w:val="1"/>
                <w:color w:val="auto"/>
                <w:w w:val="99"/>
              </w:rPr>
              <w:t>December 31, 2007</w:t>
            </w: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020" w:type="dxa"/>
            <w:vAlign w:val="bottom"/>
          </w:tcPr>
          <w:p>
            <w:pPr>
              <w:spacing w:after="0"/>
              <w:rPr>
                <w:sz w:val="7"/>
                <w:szCs w:val="7"/>
                <w:color w:val="auto"/>
              </w:rPr>
            </w:pPr>
          </w:p>
        </w:tc>
        <w:tc>
          <w:tcPr>
            <w:tcW w:w="82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rPr>
              <w:t>Remaining</w:t>
            </w:r>
          </w:p>
        </w:tc>
        <w:tc>
          <w:tcPr>
            <w:tcW w:w="300" w:type="dxa"/>
            <w:vAlign w:val="bottom"/>
          </w:tcPr>
          <w:p>
            <w:pPr>
              <w:spacing w:after="0"/>
              <w:rPr>
                <w:sz w:val="7"/>
                <w:szCs w:val="7"/>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Expansion</w:t>
            </w: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Total</w:t>
            </w:r>
          </w:p>
        </w:tc>
        <w:tc>
          <w:tcPr>
            <w:tcW w:w="800" w:type="dxa"/>
            <w:vAlign w:val="bottom"/>
            <w:gridSpan w:val="2"/>
          </w:tcPr>
          <w:p>
            <w:pPr>
              <w:jc w:val="center"/>
              <w:ind w:right="80"/>
              <w:spacing w:after="0" w:line="81" w:lineRule="exact"/>
              <w:rPr>
                <w:sz w:val="20"/>
                <w:szCs w:val="20"/>
                <w:color w:val="auto"/>
              </w:rPr>
            </w:pPr>
            <w:r>
              <w:rPr>
                <w:rFonts w:ascii="Arial" w:cs="Arial" w:eastAsia="Arial" w:hAnsi="Arial"/>
                <w:sz w:val="9"/>
                <w:szCs w:val="9"/>
                <w:b w:val="1"/>
                <w:bCs w:val="1"/>
                <w:color w:val="auto"/>
              </w:rPr>
              <w:t>Remaining</w:t>
            </w:r>
          </w:p>
        </w:tc>
        <w:tc>
          <w:tcPr>
            <w:tcW w:w="300" w:type="dxa"/>
            <w:vAlign w:val="bottom"/>
          </w:tcPr>
          <w:p>
            <w:pPr>
              <w:spacing w:after="0"/>
              <w:rPr>
                <w:sz w:val="7"/>
                <w:szCs w:val="7"/>
                <w:color w:val="auto"/>
              </w:rPr>
            </w:pPr>
          </w:p>
        </w:tc>
        <w:tc>
          <w:tcPr>
            <w:tcW w:w="98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w w:val="98"/>
              </w:rPr>
              <w:t>Expansion</w:t>
            </w: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2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9"/>
              </w:rPr>
              <w:t>Permitted</w:t>
            </w:r>
          </w:p>
        </w:tc>
        <w:tc>
          <w:tcPr>
            <w:tcW w:w="3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5"/>
              </w:rPr>
              <w:t>Permitted</w:t>
            </w:r>
          </w:p>
        </w:tc>
        <w:tc>
          <w:tcPr>
            <w:tcW w:w="3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Capacity</w:t>
            </w:r>
          </w:p>
        </w:tc>
        <w:tc>
          <w:tcPr>
            <w:tcW w:w="30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Capacity</w:t>
            </w:r>
          </w:p>
        </w:tc>
        <w:tc>
          <w:tcPr>
            <w:tcW w:w="8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Capacity</w:t>
            </w:r>
          </w:p>
        </w:tc>
        <w:tc>
          <w:tcPr>
            <w:tcW w:w="8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Capacity</w:t>
            </w:r>
          </w:p>
        </w:tc>
        <w:tc>
          <w:tcPr>
            <w:tcW w:w="300" w:type="dxa"/>
            <w:vAlign w:val="bottom"/>
          </w:tcPr>
          <w:p>
            <w:pPr>
              <w:spacing w:after="0"/>
              <w:rPr>
                <w:sz w:val="10"/>
                <w:szCs w:val="10"/>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Capacity</w:t>
            </w:r>
          </w:p>
        </w:tc>
        <w:tc>
          <w:tcPr>
            <w:tcW w:w="58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Capacity</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beginning of year</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3,787</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893</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4,680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3,760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959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4,719</w:t>
            </w:r>
          </w:p>
        </w:tc>
        <w:tc>
          <w:tcPr>
            <w:tcW w:w="0" w:type="dxa"/>
            <w:vAlign w:val="bottom"/>
          </w:tcPr>
          <w:p>
            <w:pPr>
              <w:spacing w:after="0"/>
              <w:rPr>
                <w:sz w:val="1"/>
                <w:szCs w:val="1"/>
                <w:color w:val="auto"/>
              </w:rPr>
            </w:pPr>
          </w:p>
        </w:tc>
      </w:tr>
      <w:tr>
        <w:trPr>
          <w:trHeight w:val="157"/>
        </w:trPr>
        <w:tc>
          <w:tcPr>
            <w:tcW w:w="4320" w:type="dxa"/>
            <w:vAlign w:val="bottom"/>
            <w:gridSpan w:val="2"/>
          </w:tcPr>
          <w:p>
            <w:pPr>
              <w:spacing w:after="0"/>
              <w:rPr>
                <w:sz w:val="20"/>
                <w:szCs w:val="20"/>
                <w:color w:val="auto"/>
              </w:rPr>
            </w:pPr>
            <w:r>
              <w:rPr>
                <w:rFonts w:ascii="Arial" w:cs="Arial" w:eastAsia="Arial" w:hAnsi="Arial"/>
                <w:sz w:val="13"/>
                <w:szCs w:val="13"/>
                <w:color w:val="auto"/>
              </w:rPr>
              <w:t>Acquisitions, divestitures, newly permitted landfills and closures</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20</w:t>
            </w:r>
          </w:p>
        </w:tc>
        <w:tc>
          <w:tcPr>
            <w:tcW w:w="1300" w:type="dxa"/>
            <w:vAlign w:val="bottom"/>
            <w:gridSpan w:val="3"/>
          </w:tcPr>
          <w:p>
            <w:pPr>
              <w:jc w:val="right"/>
              <w:ind w:right="400"/>
              <w:spacing w:after="0"/>
              <w:rPr>
                <w:sz w:val="20"/>
                <w:szCs w:val="20"/>
                <w:color w:val="auto"/>
              </w:rPr>
            </w:pPr>
            <w:r>
              <w:rPr>
                <w:rFonts w:ascii="Arial" w:cs="Arial" w:eastAsia="Arial" w:hAnsi="Arial"/>
                <w:sz w:val="13"/>
                <w:szCs w:val="13"/>
                <w:color w:val="auto"/>
              </w:rPr>
              <w:t>15</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35</w:t>
            </w: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(5)</w:t>
            </w:r>
          </w:p>
        </w:tc>
        <w:tc>
          <w:tcPr>
            <w:tcW w:w="1280" w:type="dxa"/>
            <w:vAlign w:val="bottom"/>
            <w:gridSpan w:val="3"/>
          </w:tcPr>
          <w:p>
            <w:pPr>
              <w:jc w:val="right"/>
              <w:ind w:right="360"/>
              <w:spacing w:after="0"/>
              <w:rPr>
                <w:sz w:val="20"/>
                <w:szCs w:val="20"/>
                <w:color w:val="auto"/>
              </w:rPr>
            </w:pPr>
            <w:r>
              <w:rPr>
                <w:rFonts w:ascii="Arial" w:cs="Arial" w:eastAsia="Arial" w:hAnsi="Arial"/>
                <w:sz w:val="13"/>
                <w:szCs w:val="13"/>
                <w:color w:val="auto"/>
              </w:rPr>
              <w:t>(15)</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Changes in expansions pursued(a)</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94</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4320" w:type="dxa"/>
            <w:vAlign w:val="bottom"/>
            <w:gridSpan w:val="2"/>
          </w:tcPr>
          <w:p>
            <w:pPr>
              <w:spacing w:after="0"/>
              <w:rPr>
                <w:sz w:val="20"/>
                <w:szCs w:val="20"/>
                <w:color w:val="auto"/>
              </w:rPr>
            </w:pPr>
            <w:r>
              <w:rPr>
                <w:rFonts w:ascii="Arial" w:cs="Arial" w:eastAsia="Arial" w:hAnsi="Arial"/>
                <w:sz w:val="13"/>
                <w:szCs w:val="13"/>
                <w:color w:val="auto"/>
              </w:rPr>
              <w:t>Expansion permits granted(b)</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228</w:t>
            </w:r>
          </w:p>
        </w:tc>
        <w:tc>
          <w:tcPr>
            <w:tcW w:w="1300" w:type="dxa"/>
            <w:vAlign w:val="bottom"/>
            <w:gridSpan w:val="3"/>
          </w:tcPr>
          <w:p>
            <w:pPr>
              <w:jc w:val="right"/>
              <w:ind w:right="360"/>
              <w:spacing w:after="0"/>
              <w:rPr>
                <w:sz w:val="20"/>
                <w:szCs w:val="20"/>
                <w:color w:val="auto"/>
              </w:rPr>
            </w:pPr>
            <w:r>
              <w:rPr>
                <w:rFonts w:ascii="Arial" w:cs="Arial" w:eastAsia="Arial" w:hAnsi="Arial"/>
                <w:sz w:val="13"/>
                <w:szCs w:val="13"/>
                <w:color w:val="auto"/>
              </w:rPr>
              <w:t>(228)</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128</w:t>
            </w:r>
          </w:p>
        </w:tc>
        <w:tc>
          <w:tcPr>
            <w:tcW w:w="1280" w:type="dxa"/>
            <w:vAlign w:val="bottom"/>
            <w:gridSpan w:val="3"/>
          </w:tcPr>
          <w:p>
            <w:pPr>
              <w:jc w:val="right"/>
              <w:ind w:right="360"/>
              <w:spacing w:after="0"/>
              <w:rPr>
                <w:sz w:val="20"/>
                <w:szCs w:val="20"/>
                <w:color w:val="auto"/>
              </w:rPr>
            </w:pPr>
            <w:r>
              <w:rPr>
                <w:rFonts w:ascii="Arial" w:cs="Arial" w:eastAsia="Arial" w:hAnsi="Arial"/>
                <w:sz w:val="13"/>
                <w:szCs w:val="13"/>
                <w:color w:val="auto"/>
              </w:rPr>
              <w:t>(128)</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Airspace consumed</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(107)</w:t>
            </w:r>
          </w:p>
        </w:tc>
        <w:tc>
          <w:tcPr>
            <w:tcW w:w="3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(114)</w:t>
            </w:r>
          </w:p>
        </w:tc>
        <w:tc>
          <w:tcPr>
            <w:tcW w:w="3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57"/>
        </w:trPr>
        <w:tc>
          <w:tcPr>
            <w:tcW w:w="4320" w:type="dxa"/>
            <w:vAlign w:val="bottom"/>
            <w:gridSpan w:val="2"/>
          </w:tcPr>
          <w:p>
            <w:pPr>
              <w:spacing w:after="0"/>
              <w:rPr>
                <w:sz w:val="20"/>
                <w:szCs w:val="20"/>
                <w:color w:val="auto"/>
              </w:rPr>
            </w:pPr>
            <w:r>
              <w:rPr>
                <w:rFonts w:ascii="Arial" w:cs="Arial" w:eastAsia="Arial" w:hAnsi="Arial"/>
                <w:sz w:val="13"/>
                <w:szCs w:val="13"/>
                <w:color w:val="auto"/>
              </w:rPr>
              <w:t>Changes in engineering estimates and other(c)</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51</w:t>
            </w:r>
          </w:p>
        </w:tc>
        <w:tc>
          <w:tcPr>
            <w:tcW w:w="1300" w:type="dxa"/>
            <w:vAlign w:val="bottom"/>
            <w:gridSpan w:val="3"/>
          </w:tcPr>
          <w:p>
            <w:pPr>
              <w:jc w:val="right"/>
              <w:ind w:right="400"/>
              <w:spacing w:after="0"/>
              <w:rPr>
                <w:sz w:val="20"/>
                <w:szCs w:val="20"/>
                <w:color w:val="auto"/>
              </w:rPr>
            </w:pPr>
            <w:r>
              <w:rPr>
                <w:rFonts w:ascii="Arial" w:cs="Arial" w:eastAsia="Arial" w:hAnsi="Arial"/>
                <w:sz w:val="13"/>
                <w:szCs w:val="13"/>
                <w:color w:val="auto"/>
              </w:rPr>
              <w:t>20</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71</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1280" w:type="dxa"/>
            <w:vAlign w:val="bottom"/>
            <w:gridSpan w:val="3"/>
          </w:tcPr>
          <w:p>
            <w:pPr>
              <w:jc w:val="right"/>
              <w:ind w:right="400"/>
              <w:spacing w:after="0"/>
              <w:rPr>
                <w:sz w:val="20"/>
                <w:szCs w:val="20"/>
                <w:color w:val="auto"/>
              </w:rPr>
            </w:pPr>
            <w:r>
              <w:rPr>
                <w:rFonts w:ascii="Arial" w:cs="Arial" w:eastAsia="Arial" w:hAnsi="Arial"/>
                <w:sz w:val="13"/>
                <w:szCs w:val="13"/>
                <w:color w:val="auto"/>
              </w:rPr>
              <w:t>17</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Balance, end of year</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3,979</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794</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4,773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3,787</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893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4,680</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0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640" w:hanging="313"/>
        <w:spacing w:after="0" w:line="335" w:lineRule="auto"/>
        <w:tabs>
          <w:tab w:leader="none" w:pos="1000" w:val="left"/>
        </w:tabs>
        <w:numPr>
          <w:ilvl w:val="0"/>
          <w:numId w:val="44"/>
        </w:numPr>
        <w:rPr>
          <w:rFonts w:ascii="Arial" w:cs="Arial" w:eastAsia="Arial" w:hAnsi="Arial"/>
          <w:sz w:val="11"/>
          <w:szCs w:val="11"/>
          <w:color w:val="auto"/>
        </w:rPr>
      </w:pPr>
      <w:r>
        <w:rPr>
          <w:rFonts w:ascii="Arial" w:cs="Arial" w:eastAsia="Arial" w:hAnsi="Arial"/>
          <w:sz w:val="11"/>
          <w:szCs w:val="11"/>
          <w:color w:val="auto"/>
        </w:rPr>
        <w:t>Amounts reflected here relate to the combined impact of (i) new expansions pursued; (ii) increases or decreases in the airspace being pursued for ongoing expansion efforts; (iii) adjustments for differences between the airspace being pursued and airspace granted; and (iv) decreases due to our decision to no longer pursue an expansion permit.</w:t>
      </w:r>
    </w:p>
    <w:p>
      <w:pPr>
        <w:ind w:left="1000" w:right="520" w:hanging="313"/>
        <w:spacing w:after="0" w:line="276" w:lineRule="auto"/>
        <w:tabs>
          <w:tab w:leader="none" w:pos="10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We received expansion permits at 28 of our landfills during 2008 and 17 of our landfills during 2007, demonstrating our continued success in working with municipalities and regulatory agencies to expand the disposal capacity of our existing landfills.</w:t>
      </w:r>
    </w:p>
    <w:p>
      <w:pPr>
        <w:spacing w:after="0" w:line="10" w:lineRule="exact"/>
        <w:rPr>
          <w:rFonts w:ascii="Arial" w:cs="Arial" w:eastAsia="Arial" w:hAnsi="Arial"/>
          <w:sz w:val="13"/>
          <w:szCs w:val="13"/>
          <w:color w:val="auto"/>
        </w:rPr>
      </w:pPr>
    </w:p>
    <w:p>
      <w:pPr>
        <w:ind w:left="1000" w:right="100" w:hanging="313"/>
        <w:spacing w:after="0" w:line="257" w:lineRule="auto"/>
        <w:tabs>
          <w:tab w:leader="none" w:pos="10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Changes in engineering estimates can result in changes to the estimated available remaining capacity of a landfill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include recirculating landfill leachate where allowed by permit; optimizing the placement of daily cover materials; and increasing initial compaction through improved landfill equipment, operations and training.</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tons received at our landfills in 2008 and 2007 are shown below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0"/>
                <w:szCs w:val="10"/>
                <w:b w:val="1"/>
                <w:bCs w:val="1"/>
                <w:color w:val="auto"/>
              </w:rPr>
              <w:t>2008</w:t>
            </w:r>
          </w:p>
        </w:tc>
        <w:tc>
          <w:tcPr>
            <w:tcW w:w="4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13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740" w:type="dxa"/>
            <w:vAlign w:val="bottom"/>
            <w:gridSpan w:val="2"/>
          </w:tcPr>
          <w:p>
            <w:pPr>
              <w:jc w:val="right"/>
              <w:ind w:right="500"/>
              <w:spacing w:after="0" w:line="81" w:lineRule="exact"/>
              <w:rPr>
                <w:sz w:val="20"/>
                <w:szCs w:val="20"/>
                <w:color w:val="auto"/>
              </w:rPr>
            </w:pPr>
            <w:r>
              <w:rPr>
                <w:rFonts w:ascii="Arial" w:cs="Arial" w:eastAsia="Arial" w:hAnsi="Arial"/>
                <w:sz w:val="9"/>
                <w:szCs w:val="9"/>
                <w:b w:val="1"/>
                <w:bCs w:val="1"/>
                <w:color w:val="auto"/>
              </w:rPr>
              <w:t># of</w:t>
            </w:r>
          </w:p>
        </w:tc>
        <w:tc>
          <w:tcPr>
            <w:tcW w:w="1020" w:type="dxa"/>
            <w:vAlign w:val="bottom"/>
            <w:gridSpan w:val="2"/>
          </w:tcPr>
          <w:p>
            <w:pPr>
              <w:jc w:val="right"/>
              <w:ind w:right="620"/>
              <w:spacing w:after="0" w:line="81" w:lineRule="exact"/>
              <w:rPr>
                <w:sz w:val="20"/>
                <w:szCs w:val="20"/>
                <w:color w:val="auto"/>
              </w:rPr>
            </w:pPr>
            <w:r>
              <w:rPr>
                <w:rFonts w:ascii="Arial" w:cs="Arial" w:eastAsia="Arial" w:hAnsi="Arial"/>
                <w:sz w:val="9"/>
                <w:szCs w:val="9"/>
                <w:b w:val="1"/>
                <w:bCs w:val="1"/>
                <w:color w:val="auto"/>
              </w:rPr>
              <w:t>Total</w:t>
            </w:r>
          </w:p>
        </w:tc>
        <w:tc>
          <w:tcPr>
            <w:tcW w:w="500" w:type="dxa"/>
            <w:vAlign w:val="bottom"/>
          </w:tcPr>
          <w:p>
            <w:pPr>
              <w:jc w:val="right"/>
              <w:ind w:right="81"/>
              <w:spacing w:after="0" w:line="81" w:lineRule="exact"/>
              <w:rPr>
                <w:sz w:val="20"/>
                <w:szCs w:val="20"/>
                <w:color w:val="auto"/>
              </w:rPr>
            </w:pPr>
            <w:r>
              <w:rPr>
                <w:rFonts w:ascii="Arial" w:cs="Arial" w:eastAsia="Arial" w:hAnsi="Arial"/>
                <w:sz w:val="9"/>
                <w:szCs w:val="9"/>
                <w:b w:val="1"/>
                <w:bCs w:val="1"/>
                <w:color w:val="auto"/>
              </w:rPr>
              <w:t>Tons</w:t>
            </w:r>
          </w:p>
        </w:tc>
        <w:tc>
          <w:tcPr>
            <w:tcW w:w="380" w:type="dxa"/>
            <w:vAlign w:val="bottom"/>
          </w:tcPr>
          <w:p>
            <w:pPr>
              <w:spacing w:after="0"/>
              <w:rPr>
                <w:sz w:val="7"/>
                <w:szCs w:val="7"/>
                <w:color w:val="auto"/>
              </w:rPr>
            </w:pPr>
          </w:p>
        </w:tc>
        <w:tc>
          <w:tcPr>
            <w:tcW w:w="6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 of</w:t>
            </w:r>
          </w:p>
        </w:tc>
        <w:tc>
          <w:tcPr>
            <w:tcW w:w="1040" w:type="dxa"/>
            <w:vAlign w:val="bottom"/>
            <w:gridSpan w:val="2"/>
          </w:tcPr>
          <w:p>
            <w:pPr>
              <w:jc w:val="right"/>
              <w:ind w:right="620"/>
              <w:spacing w:after="0" w:line="81" w:lineRule="exact"/>
              <w:rPr>
                <w:sz w:val="20"/>
                <w:szCs w:val="20"/>
                <w:color w:val="auto"/>
              </w:rPr>
            </w:pPr>
            <w:r>
              <w:rPr>
                <w:rFonts w:ascii="Arial" w:cs="Arial" w:eastAsia="Arial" w:hAnsi="Arial"/>
                <w:sz w:val="9"/>
                <w:szCs w:val="9"/>
                <w:b w:val="1"/>
                <w:bCs w:val="1"/>
                <w:color w:val="auto"/>
              </w:rPr>
              <w:t>Total</w:t>
            </w:r>
          </w:p>
        </w:tc>
        <w:tc>
          <w:tcPr>
            <w:tcW w:w="480" w:type="dxa"/>
            <w:vAlign w:val="bottom"/>
          </w:tcPr>
          <w:p>
            <w:pPr>
              <w:jc w:val="right"/>
              <w:ind w:right="81"/>
              <w:spacing w:after="0" w:line="81" w:lineRule="exact"/>
              <w:rPr>
                <w:sz w:val="20"/>
                <w:szCs w:val="20"/>
                <w:color w:val="auto"/>
              </w:rPr>
            </w:pPr>
            <w:r>
              <w:rPr>
                <w:rFonts w:ascii="Arial" w:cs="Arial" w:eastAsia="Arial" w:hAnsi="Arial"/>
                <w:sz w:val="9"/>
                <w:szCs w:val="9"/>
                <w:b w:val="1"/>
                <w:bCs w:val="1"/>
                <w:color w:val="auto"/>
              </w:rPr>
              <w:t>Tons</w:t>
            </w:r>
          </w:p>
        </w:tc>
        <w:tc>
          <w:tcPr>
            <w:tcW w:w="100" w:type="dxa"/>
            <w:vAlign w:val="bottom"/>
          </w:tcPr>
          <w:p>
            <w:pPr>
              <w:spacing w:after="0"/>
              <w:rPr>
                <w:sz w:val="7"/>
                <w:szCs w:val="7"/>
                <w:color w:val="auto"/>
              </w:rPr>
            </w:pPr>
          </w:p>
        </w:tc>
      </w:tr>
      <w:tr>
        <w:trPr>
          <w:trHeight w:val="125"/>
        </w:trPr>
        <w:tc>
          <w:tcPr>
            <w:tcW w:w="13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74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Sites</w:t>
            </w:r>
          </w:p>
        </w:tc>
        <w:tc>
          <w:tcPr>
            <w:tcW w:w="102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Tons</w:t>
            </w:r>
          </w:p>
        </w:tc>
        <w:tc>
          <w:tcPr>
            <w:tcW w:w="88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per Day</w:t>
            </w:r>
          </w:p>
        </w:tc>
        <w:tc>
          <w:tcPr>
            <w:tcW w:w="6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Sites</w:t>
            </w:r>
          </w:p>
        </w:tc>
        <w:tc>
          <w:tcPr>
            <w:tcW w:w="10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Tons</w:t>
            </w:r>
          </w:p>
        </w:tc>
        <w:tc>
          <w:tcPr>
            <w:tcW w:w="5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per Day</w:t>
            </w:r>
          </w:p>
        </w:tc>
      </w:tr>
      <w:tr>
        <w:trPr>
          <w:trHeight w:val="29"/>
        </w:trPr>
        <w:tc>
          <w:tcPr>
            <w:tcW w:w="1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Solid waste landfills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267(a)</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106,731</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391</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271</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113,449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w:t>
            </w:r>
          </w:p>
        </w:tc>
      </w:tr>
      <w:tr>
        <w:trPr>
          <w:trHeight w:val="157"/>
        </w:trPr>
        <w:tc>
          <w:tcPr>
            <w:tcW w:w="5040" w:type="dxa"/>
            <w:vAlign w:val="bottom"/>
            <w:gridSpan w:val="2"/>
          </w:tcPr>
          <w:p>
            <w:pPr>
              <w:spacing w:after="0"/>
              <w:rPr>
                <w:sz w:val="20"/>
                <w:szCs w:val="20"/>
                <w:color w:val="auto"/>
              </w:rPr>
            </w:pPr>
            <w:r>
              <w:rPr>
                <w:rFonts w:ascii="Arial" w:cs="Arial" w:eastAsia="Arial" w:hAnsi="Arial"/>
                <w:sz w:val="13"/>
                <w:szCs w:val="13"/>
                <w:color w:val="auto"/>
              </w:rPr>
              <w:t>Hazardous waste landfills</w:t>
            </w:r>
          </w:p>
        </w:tc>
        <w:tc>
          <w:tcPr>
            <w:tcW w:w="740" w:type="dxa"/>
            <w:vAlign w:val="bottom"/>
            <w:gridSpan w:val="2"/>
          </w:tcPr>
          <w:p>
            <w:pPr>
              <w:jc w:val="right"/>
              <w:ind w:right="440"/>
              <w:spacing w:after="0"/>
              <w:rPr>
                <w:sz w:val="20"/>
                <w:szCs w:val="20"/>
                <w:color w:val="auto"/>
              </w:rPr>
            </w:pPr>
            <w:r>
              <w:rPr>
                <w:rFonts w:ascii="Arial" w:cs="Arial" w:eastAsia="Arial" w:hAnsi="Arial"/>
                <w:sz w:val="13"/>
                <w:szCs w:val="13"/>
                <w:color w:val="auto"/>
              </w:rPr>
              <w:t>6</w:t>
            </w:r>
          </w:p>
        </w:tc>
        <w:tc>
          <w:tcPr>
            <w:tcW w:w="1020" w:type="dxa"/>
            <w:vAlign w:val="bottom"/>
            <w:gridSpan w:val="2"/>
          </w:tcPr>
          <w:p>
            <w:pPr>
              <w:jc w:val="right"/>
              <w:ind w:right="440"/>
              <w:spacing w:after="0"/>
              <w:rPr>
                <w:sz w:val="20"/>
                <w:szCs w:val="20"/>
                <w:color w:val="auto"/>
              </w:rPr>
            </w:pPr>
            <w:r>
              <w:rPr>
                <w:rFonts w:ascii="Arial" w:cs="Arial" w:eastAsia="Arial" w:hAnsi="Arial"/>
                <w:sz w:val="13"/>
                <w:szCs w:val="13"/>
                <w:color w:val="auto"/>
              </w:rPr>
              <w:t>1,384</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5</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6</w:t>
            </w:r>
          </w:p>
        </w:tc>
        <w:tc>
          <w:tcPr>
            <w:tcW w:w="1040" w:type="dxa"/>
            <w:vAlign w:val="bottom"/>
            <w:gridSpan w:val="2"/>
          </w:tcPr>
          <w:p>
            <w:pPr>
              <w:jc w:val="right"/>
              <w:ind w:right="440"/>
              <w:spacing w:after="0"/>
              <w:rPr>
                <w:sz w:val="20"/>
                <w:szCs w:val="20"/>
                <w:color w:val="auto"/>
              </w:rPr>
            </w:pPr>
            <w:r>
              <w:rPr>
                <w:rFonts w:ascii="Arial" w:cs="Arial" w:eastAsia="Arial" w:hAnsi="Arial"/>
                <w:sz w:val="13"/>
                <w:szCs w:val="13"/>
                <w:color w:val="auto"/>
              </w:rPr>
              <w:t>1,473</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r>
      <w:tr>
        <w:trPr>
          <w:trHeight w:val="20"/>
        </w:trPr>
        <w:tc>
          <w:tcPr>
            <w:tcW w:w="1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273</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108,115</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396</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277</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114,922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422</w:t>
            </w:r>
          </w:p>
        </w:tc>
      </w:tr>
      <w:tr>
        <w:trPr>
          <w:trHeight w:val="166"/>
        </w:trPr>
        <w:tc>
          <w:tcPr>
            <w:tcW w:w="5040" w:type="dxa"/>
            <w:vAlign w:val="bottom"/>
            <w:gridSpan w:val="2"/>
          </w:tcPr>
          <w:p>
            <w:pPr>
              <w:spacing w:after="0"/>
              <w:rPr>
                <w:sz w:val="20"/>
                <w:szCs w:val="20"/>
                <w:color w:val="auto"/>
              </w:rPr>
            </w:pPr>
            <w:r>
              <w:rPr>
                <w:rFonts w:ascii="Arial" w:cs="Arial" w:eastAsia="Arial" w:hAnsi="Arial"/>
                <w:sz w:val="13"/>
                <w:szCs w:val="13"/>
                <w:color w:val="auto"/>
              </w:rPr>
              <w:t>Solid waste landfills closed or divested during related year</w:t>
            </w:r>
          </w:p>
        </w:tc>
        <w:tc>
          <w:tcPr>
            <w:tcW w:w="740" w:type="dxa"/>
            <w:vAlign w:val="bottom"/>
            <w:gridSpan w:val="2"/>
          </w:tcPr>
          <w:p>
            <w:pPr>
              <w:jc w:val="right"/>
              <w:ind w:right="440"/>
              <w:spacing w:after="0"/>
              <w:rPr>
                <w:sz w:val="20"/>
                <w:szCs w:val="20"/>
                <w:color w:val="auto"/>
              </w:rPr>
            </w:pPr>
            <w:r>
              <w:rPr>
                <w:rFonts w:ascii="Arial" w:cs="Arial" w:eastAsia="Arial" w:hAnsi="Arial"/>
                <w:sz w:val="13"/>
                <w:szCs w:val="13"/>
                <w:color w:val="auto"/>
              </w:rPr>
              <w:t>9</w:t>
            </w:r>
          </w:p>
        </w:tc>
        <w:tc>
          <w:tcPr>
            <w:tcW w:w="1020" w:type="dxa"/>
            <w:vAlign w:val="bottom"/>
            <w:gridSpan w:val="2"/>
          </w:tcPr>
          <w:p>
            <w:pPr>
              <w:jc w:val="right"/>
              <w:ind w:right="440"/>
              <w:spacing w:after="0"/>
              <w:rPr>
                <w:sz w:val="20"/>
                <w:szCs w:val="20"/>
                <w:color w:val="auto"/>
              </w:rPr>
            </w:pPr>
            <w:r>
              <w:rPr>
                <w:rFonts w:ascii="Arial" w:cs="Arial" w:eastAsia="Arial" w:hAnsi="Arial"/>
                <w:sz w:val="13"/>
                <w:szCs w:val="13"/>
                <w:color w:val="auto"/>
              </w:rPr>
              <w:t>882</w:t>
            </w:r>
          </w:p>
        </w:tc>
        <w:tc>
          <w:tcPr>
            <w:tcW w:w="5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8</w:t>
            </w:r>
          </w:p>
        </w:tc>
        <w:tc>
          <w:tcPr>
            <w:tcW w:w="1040" w:type="dxa"/>
            <w:vAlign w:val="bottom"/>
            <w:gridSpan w:val="2"/>
          </w:tcPr>
          <w:p>
            <w:pPr>
              <w:jc w:val="right"/>
              <w:ind w:right="440"/>
              <w:spacing w:after="0"/>
              <w:rPr>
                <w:sz w:val="20"/>
                <w:szCs w:val="20"/>
                <w:color w:val="auto"/>
              </w:rPr>
            </w:pPr>
            <w:r>
              <w:rPr>
                <w:rFonts w:ascii="Arial" w:cs="Arial" w:eastAsia="Arial" w:hAnsi="Arial"/>
                <w:sz w:val="13"/>
                <w:szCs w:val="13"/>
                <w:color w:val="auto"/>
              </w:rPr>
              <w:t>1,555</w:t>
            </w: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1300" w:type="dxa"/>
            <w:vAlign w:val="bottom"/>
            <w:shd w:val="clear" w:color="auto" w:fill="CCEEFF"/>
          </w:tcPr>
          <w:p>
            <w:pPr>
              <w:spacing w:after="0"/>
              <w:rPr>
                <w:sz w:val="14"/>
                <w:szCs w:val="14"/>
                <w:color w:val="auto"/>
              </w:rPr>
            </w:pPr>
          </w:p>
        </w:tc>
        <w:tc>
          <w:tcPr>
            <w:tcW w:w="3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108,997(b)</w:t>
            </w: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116,477(b)</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00" w:hanging="313"/>
        <w:spacing w:after="0"/>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 2008, we acquired five landfills, closed five landfills and discontinued operations at four landfills.</w:t>
      </w:r>
    </w:p>
    <w:p>
      <w:pPr>
        <w:spacing w:after="0" w:line="47" w:lineRule="exact"/>
        <w:rPr>
          <w:rFonts w:ascii="Arial" w:cs="Arial" w:eastAsia="Arial" w:hAnsi="Arial"/>
          <w:sz w:val="13"/>
          <w:szCs w:val="13"/>
          <w:color w:val="auto"/>
        </w:rPr>
      </w:pPr>
    </w:p>
    <w:p>
      <w:pPr>
        <w:ind w:left="1000" w:right="100" w:hanging="313"/>
        <w:spacing w:after="0" w:line="264" w:lineRule="auto"/>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These amounts include 2.0 million tons at December 31, 2008 and 2.4 million tons at December 31, 2007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When a landfill we own or operate (i) reaches its permitted waste capacity; (ii) is permanently capped; and (iii) receives certification of closure from the applicable regulatory agency, management of the site, including remediation activities, is generally transferred to our closed sites management group. In addition to the 273 active landfills we managed at December 31, 2008, we managed 195 closed landfills.</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i w:val="1"/>
          <w:iCs w:val="1"/>
          <w:color w:val="auto"/>
        </w:rPr>
        <w:t xml:space="preserve">Landfill Assets </w:t>
      </w:r>
      <w:r>
        <w:rPr>
          <w:rFonts w:ascii="Arial" w:cs="Arial" w:eastAsia="Arial" w:hAnsi="Arial"/>
          <w:sz w:val="12"/>
          <w:szCs w:val="12"/>
          <w:color w:val="auto"/>
        </w:rPr>
        <w:t>— We capitalize various costs that we incur to make a landfill ready to accept waste. These costs generally include expenditures for land (including the landfill</w:t>
      </w:r>
      <w:r>
        <w:rPr>
          <w:rFonts w:ascii="Arial" w:cs="Arial" w:eastAsia="Arial" w:hAnsi="Arial"/>
          <w:sz w:val="12"/>
          <w:szCs w:val="12"/>
          <w:i w:val="1"/>
          <w:iCs w:val="1"/>
          <w:color w:val="auto"/>
        </w:rPr>
        <w:t xml:space="preserve"> </w:t>
      </w:r>
      <w:r>
        <w:rPr>
          <w:rFonts w:ascii="Arial" w:cs="Arial" w:eastAsia="Arial" w:hAnsi="Arial"/>
          <w:sz w:val="12"/>
          <w:szCs w:val="12"/>
          <w:color w:val="auto"/>
        </w:rPr>
        <w:t>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53"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following table reflects the total cost basis of our landfill assets and accumulated landfill airspace amortization as of December 31, 2008 and 2007, and summarizes significant changes in these amounts during 2008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restart"/>
          </w:tcPr>
          <w:p>
            <w:pPr>
              <w:jc w:val="right"/>
              <w:ind w:right="660"/>
              <w:spacing w:after="0"/>
              <w:rPr>
                <w:sz w:val="20"/>
                <w:szCs w:val="20"/>
                <w:color w:val="auto"/>
              </w:rPr>
            </w:pPr>
            <w:r>
              <w:rPr>
                <w:rFonts w:ascii="Arial" w:cs="Arial" w:eastAsia="Arial" w:hAnsi="Arial"/>
                <w:sz w:val="10"/>
                <w:szCs w:val="10"/>
                <w:b w:val="1"/>
                <w:bCs w:val="1"/>
                <w:color w:val="auto"/>
              </w:rPr>
              <w:t>Cost Basis of</w:t>
            </w:r>
          </w:p>
        </w:tc>
        <w:tc>
          <w:tcPr>
            <w:tcW w:w="160" w:type="dxa"/>
            <w:vAlign w:val="bottom"/>
          </w:tcPr>
          <w:p>
            <w:pPr>
              <w:spacing w:after="0"/>
              <w:rPr>
                <w:sz w:val="10"/>
                <w:szCs w:val="1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Accumulated</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9"/>
              </w:rPr>
              <w:t>Landfill Airspace</w:t>
            </w:r>
          </w:p>
        </w:tc>
        <w:tc>
          <w:tcPr>
            <w:tcW w:w="140" w:type="dxa"/>
            <w:vAlign w:val="bottom"/>
          </w:tcPr>
          <w:p>
            <w:pPr>
              <w:spacing w:after="0"/>
              <w:rPr>
                <w:sz w:val="9"/>
                <w:szCs w:val="9"/>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Landfill Assets</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Landfill Assets</w:t>
            </w:r>
          </w:p>
        </w:tc>
        <w:tc>
          <w:tcPr>
            <w:tcW w:w="160" w:type="dxa"/>
            <w:vAlign w:val="bottom"/>
          </w:tcPr>
          <w:p>
            <w:pPr>
              <w:spacing w:after="0"/>
              <w:rPr>
                <w:sz w:val="10"/>
                <w:szCs w:val="10"/>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8"/>
              </w:rPr>
              <w:t>Amortization</w:t>
            </w: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(5,834)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5,715</w:t>
            </w: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Capital additions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473</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473</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SFAS No. 143 obligations incurred and capitalized</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Acquisitions</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Landfill airspace amortization expense</w:t>
            </w:r>
          </w:p>
        </w:tc>
        <w:tc>
          <w:tcPr>
            <w:tcW w:w="1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(429)</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(429)</w:t>
            </w: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Foreign currency translation</w:t>
            </w:r>
          </w:p>
        </w:tc>
        <w:tc>
          <w:tcPr>
            <w:tcW w:w="160" w:type="dxa"/>
            <w:vAlign w:val="bottom"/>
          </w:tcPr>
          <w:p>
            <w:pPr>
              <w:spacing w:after="0"/>
              <w:rPr>
                <w:sz w:val="13"/>
                <w:szCs w:val="13"/>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3"/>
                <w:szCs w:val="13"/>
                <w:color w:val="auto"/>
              </w:rPr>
              <w:t>(234)</w:t>
            </w:r>
          </w:p>
        </w:tc>
        <w:tc>
          <w:tcPr>
            <w:tcW w:w="16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61</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 retirements and other adjustments</w:t>
            </w:r>
          </w:p>
        </w:tc>
        <w:tc>
          <w:tcPr>
            <w:tcW w:w="16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(169)</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color w:val="auto"/>
              </w:rPr>
              <w:t>December 31, 2008</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11,716</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520" w:type="dxa"/>
            <w:vAlign w:val="bottom"/>
            <w:gridSpan w:val="2"/>
          </w:tcPr>
          <w:p>
            <w:pPr>
              <w:jc w:val="right"/>
              <w:ind w:right="360"/>
              <w:spacing w:after="0"/>
              <w:rPr>
                <w:sz w:val="20"/>
                <w:szCs w:val="20"/>
                <w:color w:val="auto"/>
              </w:rPr>
            </w:pPr>
            <w:r>
              <w:rPr>
                <w:rFonts w:ascii="Arial" w:cs="Arial" w:eastAsia="Arial" w:hAnsi="Arial"/>
                <w:sz w:val="13"/>
                <w:szCs w:val="13"/>
                <w:color w:val="auto"/>
              </w:rPr>
              <w:t>(6,053)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5,663</w:t>
            </w:r>
          </w:p>
        </w:tc>
        <w:tc>
          <w:tcPr>
            <w:tcW w:w="0" w:type="dxa"/>
            <w:vAlign w:val="bottom"/>
          </w:tcPr>
          <w:p>
            <w:pPr>
              <w:spacing w:after="0"/>
              <w:rPr>
                <w:sz w:val="1"/>
                <w:szCs w:val="1"/>
                <w:color w:val="auto"/>
              </w:rPr>
            </w:pPr>
          </w:p>
        </w:tc>
      </w:tr>
      <w:tr>
        <w:trPr>
          <w:trHeight w:val="30"/>
        </w:trPr>
        <w:tc>
          <w:tcPr>
            <w:tcW w:w="5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As of December 31, 2008, we estimate that we will spend approximately $500 million in 2009, and approximately $1 billion in 2010 and 2011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i w:val="1"/>
          <w:iCs w:val="1"/>
          <w:color w:val="auto"/>
        </w:rPr>
        <w:t xml:space="preserve">Landfill and Environmental Remediation Liabilities </w:t>
      </w:r>
      <w:r>
        <w:rPr>
          <w:rFonts w:ascii="Arial" w:cs="Arial" w:eastAsia="Arial" w:hAnsi="Arial"/>
          <w:sz w:val="12"/>
          <w:szCs w:val="12"/>
          <w:color w:val="auto"/>
        </w:rPr>
        <w:t>— As we accept waste at our landfills, we incur significant asset retirement obligations, which include liabilities associated with</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landfill final capping, closure and post-closure activities. These liabilities are accounted for in accordance with SFAS No. 143, </w:t>
      </w:r>
      <w:r>
        <w:rPr>
          <w:rFonts w:ascii="Arial" w:cs="Arial" w:eastAsia="Arial" w:hAnsi="Arial"/>
          <w:sz w:val="12"/>
          <w:szCs w:val="12"/>
          <w:i w:val="1"/>
          <w:iCs w:val="1"/>
          <w:color w:val="auto"/>
        </w:rPr>
        <w:t>Accounting for Asset Retirement Obligations</w:t>
      </w:r>
      <w:r>
        <w:rPr>
          <w:rFonts w:ascii="Arial" w:cs="Arial" w:eastAsia="Arial" w:hAnsi="Arial"/>
          <w:sz w:val="12"/>
          <w:szCs w:val="12"/>
          <w:color w:val="auto"/>
        </w:rPr>
        <w:t xml:space="preserve"> and its Interpretations, and are discussed in Note 3 of our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55"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reflects our landfill liabilities and our environmental remediation liabilities as of December 31, 2008 and 2007, and summarizes significant changes in these amounts during 2008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7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assumptions(a)</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900" w:type="dxa"/>
            <w:vAlign w:val="bottom"/>
            <w:gridSpan w:val="2"/>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 w:hanging="313"/>
        <w:spacing w:after="0" w:line="276" w:lineRule="auto"/>
        <w:tabs>
          <w:tab w:leader="none" w:pos="10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significant increase in our environmental remediation liabilities for revisions in cost estimates and interest rate assumptions is largely related to the decline in the risk-free discount rate used to estimate the present value of the obligations. The impact of this revision in estimate is discussed further below.</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Landfill Costs and Expenses </w:t>
      </w:r>
      <w:r>
        <w:rPr>
          <w:rFonts w:ascii="Arial" w:cs="Arial" w:eastAsia="Arial" w:hAnsi="Arial"/>
          <w:sz w:val="13"/>
          <w:szCs w:val="13"/>
          <w:color w:val="auto"/>
        </w:rPr>
        <w:t>— As disclosed in the</w:t>
      </w:r>
      <w:r>
        <w:rPr>
          <w:rFonts w:ascii="Arial" w:cs="Arial" w:eastAsia="Arial" w:hAnsi="Arial"/>
          <w:sz w:val="13"/>
          <w:szCs w:val="13"/>
          <w:i w:val="1"/>
          <w:iCs w:val="1"/>
          <w:color w:val="auto"/>
        </w:rPr>
        <w:t xml:space="preserve"> Operating Expenses </w:t>
      </w:r>
      <w:r>
        <w:rPr>
          <w:rFonts w:ascii="Arial" w:cs="Arial" w:eastAsia="Arial" w:hAnsi="Arial"/>
          <w:sz w:val="13"/>
          <w:szCs w:val="13"/>
          <w:color w:val="auto"/>
        </w:rPr>
        <w:t>section above, our landfill operating costs include interest accretion on asset retirement obligations, interest</w:t>
      </w:r>
      <w:r>
        <w:rPr>
          <w:rFonts w:ascii="Arial" w:cs="Arial" w:eastAsia="Arial" w:hAnsi="Arial"/>
          <w:sz w:val="13"/>
          <w:szCs w:val="13"/>
          <w:i w:val="1"/>
          <w:iCs w:val="1"/>
          <w:color w:val="auto"/>
        </w:rPr>
        <w:t xml:space="preserve"> </w:t>
      </w:r>
      <w:r>
        <w:rPr>
          <w:rFonts w:ascii="Arial" w:cs="Arial" w:eastAsia="Arial" w:hAnsi="Arial"/>
          <w:sz w:val="13"/>
          <w:szCs w:val="13"/>
          <w:color w:val="auto"/>
        </w:rPr>
        <w:t>accretion on and discount rate adjustments to environmental remediation liabilities and recovery assets, leachate and methane collection and treatment, landfill remediation costs, and other landfill site costs. The following table summarizes these costs for each of the three years indicated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Years Ended December 31,</w:t>
            </w: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2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Interest accretion on landfill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Interest accretion on and discount rate adjustments to environmental remediation liabilities and recovery assets</w:t>
            </w:r>
          </w:p>
        </w:tc>
        <w:tc>
          <w:tcPr>
            <w:tcW w:w="1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41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Leachate and methane collection and treatment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Landfill remediation costs</w:t>
            </w:r>
          </w:p>
        </w:tc>
        <w:tc>
          <w:tcPr>
            <w:tcW w:w="1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Other landfill site costs</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100</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3"/>
                <w:szCs w:val="13"/>
                <w:color w:val="auto"/>
              </w:rPr>
              <w:t>Total landfill operating costs</w:t>
            </w: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w w:val="92"/>
              </w:rPr>
              <w:t>291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2"/>
              </w:rPr>
              <w:t>261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238</w:t>
            </w:r>
          </w:p>
        </w:tc>
        <w:tc>
          <w:tcPr>
            <w:tcW w:w="0" w:type="dxa"/>
            <w:vAlign w:val="bottom"/>
          </w:tcPr>
          <w:p>
            <w:pPr>
              <w:spacing w:after="0"/>
              <w:rPr>
                <w:sz w:val="1"/>
                <w:szCs w:val="1"/>
                <w:color w:val="auto"/>
              </w:rPr>
            </w:pPr>
          </w:p>
        </w:tc>
      </w:tr>
      <w:tr>
        <w:trPr>
          <w:trHeight w:val="30"/>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The increase in these costs in 2008 can largely be attributed to a significant decline in the risk-free discount rate that we use to estimate the present value of our environmental remediation liabilities, which is based on the rate for United States Treasury bonds with a term approximating the weighted-average period until settlement of the underlying obligations. During the fourth quarter of 2008, we recorded a $33 million charge to “Operating” expenses, offset in part by a $6 million reduction in “Minority interest” expense, to reduce the discount rate from 4.00% to 2.25%. We recorded an $8 million charge to “Operating” expenses during the fourth quarter of 2007 to reduce the discount rate from 4.75% to 4.00% and a $6 million decrease in “Operating” expenses during the fourth quarter of 2006 to increase the discount rate from 4.25% to 4.75%. Additionally, in 2008, our leachate collection costs were higher in our Eastern Group and Midwest Group due to increased precipitation and operational changes in these regions.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Amortization of landfill airspace, which is included as a component of “Depreciation and amortization” expense, includes the following:</w:t>
      </w:r>
    </w:p>
    <w:p>
      <w:pPr>
        <w:spacing w:after="0" w:line="96" w:lineRule="exact"/>
        <w:rPr>
          <w:sz w:val="20"/>
          <w:szCs w:val="20"/>
          <w:color w:val="auto"/>
        </w:rPr>
      </w:pPr>
    </w:p>
    <w:p>
      <w:pPr>
        <w:ind w:left="1280" w:right="400" w:hanging="190"/>
        <w:spacing w:after="0" w:line="276"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amortization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49"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amortization of asset retirement costs arising from landfill final capping, closure and post-closure obligations, including (i) costs that have been incurred and capitalized and (ii) projected asset retirement costs.</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Amortization expense is recorded on a units-of-consumption basis, applying cost as a rate per ton. The rate per ton is calculated by dividing each component of the amortizable basis of a landfill by the number of tons needed to fill the corresponding asset’s airspace. Landfill capital costs and closure and post-closure asset retirement costs are generally incurred to support the operation of the landfill over its entire operating life, and are, therefore, amortized on a per ton basis using a landfill’s total airspace capacity. Final capping asset retirement costs are attributed to a specific final capping event, and are, therefore, amortized on a per ton basis using each discrete capping event’s estimated airspace capacity. Accordingly, each landfill has multiple per ton amortization rates.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calculates our landfill airspace amortization expense on a per ton basis: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5"/>
          </w:tcPr>
          <w:p>
            <w:pPr>
              <w:jc w:val="center"/>
              <w:ind w:left="260"/>
              <w:spacing w:after="0"/>
              <w:rPr>
                <w:sz w:val="20"/>
                <w:szCs w:val="20"/>
                <w:color w:val="auto"/>
              </w:rPr>
            </w:pPr>
            <w:r>
              <w:rPr>
                <w:rFonts w:ascii="Arial" w:cs="Arial" w:eastAsia="Arial" w:hAnsi="Arial"/>
                <w:sz w:val="10"/>
                <w:szCs w:val="10"/>
                <w:b w:val="1"/>
                <w:bCs w:val="1"/>
                <w:color w:val="auto"/>
                <w:w w:val="93"/>
              </w:rPr>
              <w:t>Years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40"/>
              <w:spacing w:after="0" w:line="98"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Landfill airspace amortization expense (in millions)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479</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Tons received, net of redirected waste (in millions)</w:t>
            </w:r>
          </w:p>
        </w:tc>
        <w:tc>
          <w:tcPr>
            <w:tcW w:w="8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107</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126</w:t>
            </w: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Average landfill airspace amortization expense per ton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3.80</w:t>
            </w:r>
          </w:p>
        </w:tc>
      </w:tr>
    </w:tbl>
    <w:p>
      <w:pPr>
        <w:spacing w:after="0" w:line="80" w:lineRule="exact"/>
        <w:rPr>
          <w:sz w:val="20"/>
          <w:szCs w:val="20"/>
          <w:color w:val="auto"/>
        </w:rPr>
      </w:pPr>
    </w:p>
    <w:p>
      <w:pPr>
        <w:jc w:val="both"/>
        <w:ind w:left="680" w:right="20" w:firstLine="399"/>
        <w:spacing w:after="0" w:line="280" w:lineRule="auto"/>
        <w:rPr>
          <w:sz w:val="20"/>
          <w:szCs w:val="20"/>
          <w:color w:val="auto"/>
        </w:rPr>
      </w:pPr>
      <w:r>
        <w:rPr>
          <w:rFonts w:ascii="Arial" w:cs="Arial" w:eastAsia="Arial" w:hAnsi="Arial"/>
          <w:sz w:val="12"/>
          <w:szCs w:val="12"/>
          <w:color w:val="auto"/>
        </w:rPr>
        <w:t>Different per ton amortization rates are applied at each of our 273 landfills, and per ton amortization rates vary significantly from one landfill to the next due to (i) inconsistencies that often exist in construction costs and provincial, state and local regulatory requirements for landfill development and landfill final capping, closure and post-closure activities; and</w:t>
      </w:r>
    </w:p>
    <w:p>
      <w:pPr>
        <w:ind w:left="680" w:right="200" w:firstLine="7"/>
        <w:spacing w:after="0" w:line="279" w:lineRule="auto"/>
        <w:tabs>
          <w:tab w:leader="none" w:pos="873" w:val="left"/>
        </w:tabs>
        <w:numPr>
          <w:ilvl w:val="0"/>
          <w:numId w:val="48"/>
        </w:numPr>
        <w:rPr>
          <w:rFonts w:ascii="Arial" w:cs="Arial" w:eastAsia="Arial" w:hAnsi="Arial"/>
          <w:sz w:val="12"/>
          <w:szCs w:val="12"/>
          <w:color w:val="auto"/>
        </w:rPr>
      </w:pPr>
      <w:r>
        <w:rPr>
          <w:rFonts w:ascii="Arial" w:cs="Arial" w:eastAsia="Arial" w:hAnsi="Arial"/>
          <w:sz w:val="12"/>
          <w:szCs w:val="12"/>
          <w:color w:val="auto"/>
        </w:rPr>
        <w:t>differences in the cost basis of landfills that we develop versus those that we acquire. Accordingly, our landfill airspace amortization expense measured on a per ton basis can fluctuate due to changes in the mix of volumes received across the Company year-over-year. The comparability of our total Company average landfill airspace amortization expense per ton for the years ended December 31, 2008, 2007 and 2006 has also been affected by the recognition of reductions to amortization expense for changes in our estimates related to our final capping, closure and post-closure obligations. Landfill amortization expense was reduced by $3 million in 2008, $17 million in 2007 and $1 million in 2006, for the effects of these changes in estimates. In each year, the majority of the reduced expense resulted from revisions in the estimated timing or cost of final capping events that were generally the result of (i) concerted efforts to improve the operating efficiencies of our landfills and volume declines, both of which have allowed us to delay spending for final capping activities; (ii) landfill expansions that resulted in reduced or deferred final capping costs; or (iii) completed final capping construction that cost less than anticipated.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construction, refurbishments and improvements at waste-to-energy and materials recovery facilities; (iv) the container and equipment needs of our operations; (v) capping, closure and post-closure activities at our landfills; and (vi) repaying debt and discharging other obligations. We also are committed to providing our shareholders with a return on their investment through our capital allocation program that provides for dividend payments, share repurchases and investments in acquisitions that we believe will be accretive and provide continued growth in our business.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Short-Term Investments, Restricted Trust and Escrow Accounts and Debt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is a summary of our cash, short-term investments available for use, restricted trust and escrow accounts and debt balances as of December 31, 2008 and December 31,</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2007 (in millions):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66"/>
        </w:trPr>
        <w:tc>
          <w:tcPr>
            <w:tcW w:w="850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Tax-exempt bond funds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Closure, post-closure and environmental remediation funds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service funds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66"/>
        </w:trPr>
        <w:tc>
          <w:tcPr>
            <w:tcW w:w="8500" w:type="dxa"/>
            <w:vAlign w:val="bottom"/>
          </w:tcPr>
          <w:p>
            <w:pPr>
              <w:spacing w:after="0"/>
              <w:rPr>
                <w:sz w:val="20"/>
                <w:szCs w:val="20"/>
                <w:color w:val="auto"/>
              </w:rPr>
            </w:pPr>
            <w:r>
              <w:rPr>
                <w:rFonts w:ascii="Arial" w:cs="Arial" w:eastAsia="Arial" w:hAnsi="Arial"/>
                <w:sz w:val="13"/>
                <w:szCs w:val="13"/>
                <w:color w:val="auto"/>
              </w:rPr>
              <w:t>Debt:</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Long-term portion</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7,491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8,008</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debt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8,337</w:t>
            </w:r>
          </w:p>
        </w:tc>
        <w:tc>
          <w:tcPr>
            <w:tcW w:w="0" w:type="dxa"/>
            <w:vAlign w:val="bottom"/>
          </w:tcPr>
          <w:p>
            <w:pPr>
              <w:spacing w:after="0"/>
              <w:rPr>
                <w:sz w:val="1"/>
                <w:szCs w:val="1"/>
                <w:color w:val="auto"/>
              </w:rPr>
            </w:pPr>
          </w:p>
        </w:tc>
      </w:tr>
      <w:tr>
        <w:trPr>
          <w:trHeight w:val="29"/>
        </w:trPr>
        <w:tc>
          <w:tcPr>
            <w:tcW w:w="8500" w:type="dxa"/>
            <w:vAlign w:val="bottom"/>
            <w:vMerge w:val="restart"/>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5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150</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i w:val="1"/>
          <w:iCs w:val="1"/>
          <w:color w:val="auto"/>
        </w:rPr>
        <w:t xml:space="preserve">Cash and cash equivalents </w:t>
      </w:r>
      <w:r>
        <w:rPr>
          <w:rFonts w:ascii="Arial" w:cs="Arial" w:eastAsia="Arial" w:hAnsi="Arial"/>
          <w:sz w:val="13"/>
          <w:szCs w:val="13"/>
          <w:color w:val="auto"/>
        </w:rPr>
        <w:t>— Cash and cash equivalents consist primarily of cash on deposit and money market funds that invest in United States government obligations, all of</w:t>
      </w:r>
      <w:r>
        <w:rPr>
          <w:rFonts w:ascii="Arial" w:cs="Arial" w:eastAsia="Arial" w:hAnsi="Arial"/>
          <w:sz w:val="13"/>
          <w:szCs w:val="13"/>
          <w:i w:val="1"/>
          <w:iCs w:val="1"/>
          <w:color w:val="auto"/>
        </w:rPr>
        <w:t xml:space="preserve"> </w:t>
      </w:r>
      <w:r>
        <w:rPr>
          <w:rFonts w:ascii="Arial" w:cs="Arial" w:eastAsia="Arial" w:hAnsi="Arial"/>
          <w:sz w:val="13"/>
          <w:szCs w:val="13"/>
          <w:color w:val="auto"/>
        </w:rPr>
        <w:t>which have original maturities of three months or less.</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i w:val="1"/>
          <w:iCs w:val="1"/>
          <w:color w:val="auto"/>
        </w:rPr>
        <w:t xml:space="preserve">Restricted trust and escrow accounts </w:t>
      </w:r>
      <w:r>
        <w:rPr>
          <w:rFonts w:ascii="Arial" w:cs="Arial" w:eastAsia="Arial" w:hAnsi="Arial"/>
          <w:sz w:val="12"/>
          <w:szCs w:val="12"/>
          <w:color w:val="auto"/>
        </w:rPr>
        <w:t>— Restricted trust and escrow accounts consist primarily of funds held in trust for the construction of various facilities or repayment of our debt</w:t>
      </w:r>
      <w:r>
        <w:rPr>
          <w:rFonts w:ascii="Arial" w:cs="Arial" w:eastAsia="Arial" w:hAnsi="Arial"/>
          <w:sz w:val="12"/>
          <w:szCs w:val="12"/>
          <w:i w:val="1"/>
          <w:iCs w:val="1"/>
          <w:color w:val="auto"/>
        </w:rPr>
        <w:t xml:space="preserve"> </w:t>
      </w:r>
      <w:r>
        <w:rPr>
          <w:rFonts w:ascii="Arial" w:cs="Arial" w:eastAsia="Arial" w:hAnsi="Arial"/>
          <w:sz w:val="12"/>
          <w:szCs w:val="12"/>
          <w:color w:val="auto"/>
        </w:rPr>
        <w:t>obligations, funds deposited for purposes of settling landfill closure, post-closure and environmental remediation obligations and insurance escrow deposits. These balances are primarily included within long-term “Other assets” in our Consolidated Balance Sheets. See Note 3 to the Consolidated Financial Statements for additional discussion.</w:t>
      </w:r>
    </w:p>
    <w:p>
      <w:pPr>
        <w:spacing w:after="0" w:line="5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Debt </w:t>
      </w:r>
      <w:r>
        <w:rPr>
          <w:rFonts w:ascii="Arial" w:cs="Arial" w:eastAsia="Arial" w:hAnsi="Arial"/>
          <w:sz w:val="13"/>
          <w:szCs w:val="13"/>
          <w:color w:val="auto"/>
        </w:rPr>
        <w:t>— We use long-term borrowings in addition to the cash we generate from operations as part of our overall financial strategy to support and grow our business. We primarily use</w:t>
      </w:r>
      <w:r>
        <w:rPr>
          <w:rFonts w:ascii="Arial" w:cs="Arial" w:eastAsia="Arial" w:hAnsi="Arial"/>
          <w:sz w:val="13"/>
          <w:szCs w:val="13"/>
          <w:i w:val="1"/>
          <w:iCs w:val="1"/>
          <w:color w:val="auto"/>
        </w:rPr>
        <w:t xml:space="preserve"> </w:t>
      </w:r>
      <w:r>
        <w:rPr>
          <w:rFonts w:ascii="Arial" w:cs="Arial" w:eastAsia="Arial" w:hAnsi="Arial"/>
          <w:sz w:val="13"/>
          <w:szCs w:val="13"/>
          <w:color w:val="auto"/>
        </w:rPr>
        <w:t>senior notes and tax-exempt bonds to borrow on a long-term basis, but also use other instruments and facilities when appropriate. The components of our long-term borrowings as of December 31, 2008 are described in Note 7 to the Consolidated Financial Statements.</w:t>
      </w:r>
    </w:p>
    <w:p>
      <w:pPr>
        <w:spacing w:after="0" w:line="67"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Changes in our outstanding debt balances from December 31, 2007 to December 31, 2008 can primarily be attributed to (i) net debt repayments of $260 million; (ii) non-cash proceeds from tax-exempt borrowings, net of principal payments made directly from trust funds of $169 million; (iii) a $78 million increase in the carrying value of our debt due to hedge accounting for interest rate swaps; and (iv) the impacts of accounting for other non-cash changes in our balances due to foreign currency translation, interest and capital leases.</w:t>
      </w:r>
    </w:p>
    <w:p>
      <w:pPr>
        <w:spacing w:after="0" w:line="5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have approximately $1.2 billion of scheduled debt maturities during the next twelve months. We have classified approximately $509 million of these borrowings as long-term as of December 31, 2008 based on our intent and ability to refinance these borrowings on a long-term basis.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have credit facilities in place to support our liquidity and financial assurance needs. The following table summarizes our outstanding letters of credit (in millions) at December 31 categorized by facility:</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r>
      <w:tr>
        <w:trPr>
          <w:trHeight w:val="29"/>
        </w:trPr>
        <w:tc>
          <w:tcPr>
            <w:tcW w:w="13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Revolving credit facility(a)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1,437</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Letter of credit facility(b)</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350</w:t>
            </w: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Letter of credit and term loan agreements(c)</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w:t>
            </w: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Other(d)</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90</w:t>
            </w:r>
          </w:p>
        </w:tc>
      </w:tr>
      <w:tr>
        <w:trPr>
          <w:trHeight w:val="20"/>
        </w:trPr>
        <w:tc>
          <w:tcPr>
            <w:tcW w:w="13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7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2,166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2,171</w:t>
            </w:r>
          </w:p>
        </w:tc>
      </w:tr>
      <w:tr>
        <w:trPr>
          <w:trHeight w:val="108"/>
        </w:trPr>
        <w:tc>
          <w:tcPr>
            <w:tcW w:w="1300" w:type="dxa"/>
            <w:vAlign w:val="bottom"/>
            <w:tcBorders>
              <w:bottom w:val="single" w:sz="8" w:color="auto"/>
            </w:tcBorders>
          </w:tcPr>
          <w:p>
            <w:pPr>
              <w:spacing w:after="0"/>
              <w:rPr>
                <w:sz w:val="9"/>
                <w:szCs w:val="9"/>
                <w:color w:val="auto"/>
              </w:rPr>
            </w:pPr>
          </w:p>
        </w:tc>
        <w:tc>
          <w:tcPr>
            <w:tcW w:w="7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jc w:val="both"/>
        <w:ind w:left="1000" w:right="60" w:hanging="313"/>
        <w:spacing w:after="0" w:line="264"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WMI’s $2.4 billion revolving credit facility matures in August 2011. At December 31, 2008, $1,803 million of letters of credit and $300 million of borrowings were outstanding under the facility, leaving an unused and available credit capacity of $297 million. The increase in our utilization of this facility during 2008 is due to the expiration of our $350 million letter of credit facility in December 2008.</w:t>
      </w:r>
    </w:p>
    <w:p>
      <w:pPr>
        <w:spacing w:after="0" w:line="17" w:lineRule="exact"/>
        <w:rPr>
          <w:rFonts w:ascii="Arial" w:cs="Arial" w:eastAsia="Arial" w:hAnsi="Arial"/>
          <w:sz w:val="13"/>
          <w:szCs w:val="13"/>
          <w:color w:val="auto"/>
        </w:rPr>
      </w:pPr>
    </w:p>
    <w:p>
      <w:pPr>
        <w:ind w:left="1000" w:right="160" w:hanging="313"/>
        <w:spacing w:after="0" w:line="276"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$350 million letter of credit facility expired in December 2008, and the letters of credit that had previously been supported by this facility were issued under the revolving credit facility.</w:t>
      </w:r>
    </w:p>
    <w:p>
      <w:pPr>
        <w:spacing w:after="0" w:line="10" w:lineRule="exact"/>
        <w:rPr>
          <w:rFonts w:ascii="Arial" w:cs="Arial" w:eastAsia="Arial" w:hAnsi="Arial"/>
          <w:sz w:val="13"/>
          <w:szCs w:val="13"/>
          <w:color w:val="auto"/>
        </w:rPr>
      </w:pPr>
    </w:p>
    <w:p>
      <w:pPr>
        <w:ind w:left="1000" w:right="40" w:hanging="313"/>
        <w:spacing w:after="0" w:line="264" w:lineRule="auto"/>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At December 31, 2008, we have a $175 million letter of credit and term loan agreement that expires in June 2010 and a $105 million letter of credit and term loan agreement that expires in June 2013. At December 31, 2008, no borrowings were outstanding under these agreements, and we had $8 million of unused and available capacity. At December 31, 2007, we also had a $15 million letter of credit and term loan agreement that expired in June 2008.</w:t>
      </w:r>
    </w:p>
    <w:p>
      <w:pPr>
        <w:spacing w:after="0" w:line="17" w:lineRule="exact"/>
        <w:rPr>
          <w:rFonts w:ascii="Arial" w:cs="Arial" w:eastAsia="Arial" w:hAnsi="Arial"/>
          <w:sz w:val="13"/>
          <w:szCs w:val="13"/>
          <w:color w:val="auto"/>
        </w:rPr>
      </w:pPr>
    </w:p>
    <w:p>
      <w:pPr>
        <w:ind w:left="1000" w:hanging="313"/>
        <w:spacing w:after="0"/>
        <w:tabs>
          <w:tab w:leader="none" w:pos="10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These letters of credit are outstanding under various arrangements that do not provide for a committed credit capacity.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year ended December 31 for each respective period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2,575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2,540</w:t>
            </w:r>
          </w:p>
        </w:tc>
        <w:tc>
          <w:tcPr>
            <w:tcW w:w="0" w:type="dxa"/>
            <w:vAlign w:val="bottom"/>
          </w:tcPr>
          <w:p>
            <w:pPr>
              <w:spacing w:after="0"/>
              <w:rPr>
                <w:sz w:val="1"/>
                <w:szCs w:val="1"/>
                <w:color w:val="auto"/>
              </w:rPr>
            </w:pPr>
          </w:p>
        </w:tc>
      </w:tr>
      <w:tr>
        <w:trPr>
          <w:trHeight w:val="29"/>
        </w:trPr>
        <w:tc>
          <w:tcPr>
            <w:tcW w:w="73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(1,183)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(761)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(788)</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(1,256)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(1,946)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(1,803)</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Provided by Operating Activities </w:t>
      </w:r>
      <w:r>
        <w:rPr>
          <w:rFonts w:ascii="Arial" w:cs="Arial" w:eastAsia="Arial" w:hAnsi="Arial"/>
          <w:sz w:val="12"/>
          <w:szCs w:val="12"/>
          <w:color w:val="auto"/>
        </w:rPr>
        <w:t>— The most significant items affecting the comparison of our operating cash flows for 2008 and 2007 are summarized below:</w:t>
      </w:r>
    </w:p>
    <w:p>
      <w:pPr>
        <w:spacing w:after="0" w:line="108" w:lineRule="exact"/>
        <w:rPr>
          <w:sz w:val="20"/>
          <w:szCs w:val="20"/>
          <w:color w:val="auto"/>
        </w:rPr>
      </w:pPr>
    </w:p>
    <w:p>
      <w:pPr>
        <w:ind w:left="1280" w:right="180" w:hanging="190"/>
        <w:spacing w:after="0" w:line="276" w:lineRule="auto"/>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 xml:space="preserve">Earnings decline </w:t>
      </w:r>
      <w:r>
        <w:rPr>
          <w:rFonts w:ascii="Arial" w:cs="Arial" w:eastAsia="Arial" w:hAnsi="Arial"/>
          <w:sz w:val="13"/>
          <w:szCs w:val="13"/>
          <w:color w:val="auto"/>
        </w:rPr>
        <w:t>— Our income from operations, net of depreciation and amortization, decreased by $41 million, on a year-over-year basis, which negatively affected our cash</w:t>
      </w:r>
      <w:r>
        <w:rPr>
          <w:rFonts w:ascii="Arial" w:cs="Arial" w:eastAsia="Arial" w:hAnsi="Arial"/>
          <w:sz w:val="13"/>
          <w:szCs w:val="13"/>
          <w:i w:val="1"/>
          <w:iCs w:val="1"/>
          <w:color w:val="auto"/>
        </w:rPr>
        <w:t xml:space="preserve"> </w:t>
      </w:r>
      <w:r>
        <w:rPr>
          <w:rFonts w:ascii="Arial" w:cs="Arial" w:eastAsia="Arial" w:hAnsi="Arial"/>
          <w:sz w:val="13"/>
          <w:szCs w:val="13"/>
          <w:color w:val="auto"/>
        </w:rPr>
        <w:t>flow from operations in 2008.</w:t>
      </w:r>
    </w:p>
    <w:p>
      <w:pPr>
        <w:spacing w:after="0" w:line="49" w:lineRule="exact"/>
        <w:rPr>
          <w:rFonts w:ascii="Arial" w:cs="Arial" w:eastAsia="Arial" w:hAnsi="Arial"/>
          <w:sz w:val="13"/>
          <w:szCs w:val="13"/>
          <w:color w:val="auto"/>
        </w:rPr>
      </w:pPr>
    </w:p>
    <w:p>
      <w:pPr>
        <w:ind w:left="1280" w:right="60" w:hanging="190"/>
        <w:spacing w:after="0" w:line="258" w:lineRule="auto"/>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 xml:space="preserve">Receivables </w:t>
      </w:r>
      <w:r>
        <w:rPr>
          <w:rFonts w:ascii="Arial" w:cs="Arial" w:eastAsia="Arial" w:hAnsi="Arial"/>
          <w:sz w:val="13"/>
          <w:szCs w:val="13"/>
          <w:color w:val="auto"/>
        </w:rPr>
        <w:t>— The change in our trade receivables balances, net of effects of acquisitions and divestitures, provided a source of cash of approximately $185 million in 2008. In</w:t>
      </w:r>
      <w:r>
        <w:rPr>
          <w:rFonts w:ascii="Arial" w:cs="Arial" w:eastAsia="Arial" w:hAnsi="Arial"/>
          <w:sz w:val="13"/>
          <w:szCs w:val="13"/>
          <w:i w:val="1"/>
          <w:iCs w:val="1"/>
          <w:color w:val="auto"/>
        </w:rPr>
        <w:t xml:space="preserve"> </w:t>
      </w:r>
      <w:r>
        <w:rPr>
          <w:rFonts w:ascii="Arial" w:cs="Arial" w:eastAsia="Arial" w:hAnsi="Arial"/>
          <w:sz w:val="13"/>
          <w:szCs w:val="13"/>
          <w:color w:val="auto"/>
        </w:rPr>
        <w:t>2008, our receivables balances declined primarily due to a decrease in fourth quarter revenues as compared with the prior year, but also due to improved efficiency of collections. Additionally, during the third quarter of 2008, we collected an outstanding receivable related to our investments in the synthetic fuel production facilities that provided us with Section 45K tax credits through 2007. Approximately $60 million of the cash we received represented amounts that we paid to the facilities during 2006 and 2007 for which we did not ultimately realize a tax benefit, and was reflected as an operating cash inflow.</w:t>
      </w:r>
    </w:p>
    <w:p>
      <w:pPr>
        <w:spacing w:after="0" w:line="61" w:lineRule="exact"/>
        <w:rPr>
          <w:rFonts w:ascii="Arial" w:cs="Arial" w:eastAsia="Arial" w:hAnsi="Arial"/>
          <w:sz w:val="13"/>
          <w:szCs w:val="13"/>
          <w:color w:val="auto"/>
        </w:rPr>
      </w:pPr>
    </w:p>
    <w:p>
      <w:pPr>
        <w:ind w:left="1280" w:right="140" w:hanging="190"/>
        <w:spacing w:after="0" w:line="276" w:lineRule="auto"/>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 xml:space="preserve">Increased income tax payments </w:t>
      </w:r>
      <w:r>
        <w:rPr>
          <w:rFonts w:ascii="Arial" w:cs="Arial" w:eastAsia="Arial" w:hAnsi="Arial"/>
          <w:sz w:val="13"/>
          <w:szCs w:val="13"/>
          <w:color w:val="auto"/>
        </w:rPr>
        <w:t>— Cash paid for income taxes, net of excess tax benefits associated with equity-based transactions, was approximately $170 million higher on a</w:t>
      </w:r>
      <w:r>
        <w:rPr>
          <w:rFonts w:ascii="Arial" w:cs="Arial" w:eastAsia="Arial" w:hAnsi="Arial"/>
          <w:sz w:val="13"/>
          <w:szCs w:val="13"/>
          <w:i w:val="1"/>
          <w:iCs w:val="1"/>
          <w:color w:val="auto"/>
        </w:rPr>
        <w:t xml:space="preserve"> </w:t>
      </w:r>
      <w:r>
        <w:rPr>
          <w:rFonts w:ascii="Arial" w:cs="Arial" w:eastAsia="Arial" w:hAnsi="Arial"/>
          <w:sz w:val="13"/>
          <w:szCs w:val="13"/>
          <w:color w:val="auto"/>
        </w:rPr>
        <w:t>year-over-year basis, due in large part to an increase in both our taxable income and our effective tax rate. The comparability of our 2008 and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2"/>
          <w:szCs w:val="12"/>
          <w:color w:val="auto"/>
        </w:rPr>
        <w:t xml:space="preserve">2007 effective tax rates is discussed in the </w:t>
      </w:r>
      <w:r>
        <w:rPr>
          <w:rFonts w:ascii="Arial" w:cs="Arial" w:eastAsia="Arial" w:hAnsi="Arial"/>
          <w:sz w:val="12"/>
          <w:szCs w:val="12"/>
          <w:i w:val="1"/>
          <w:iCs w:val="1"/>
          <w:color w:val="auto"/>
        </w:rPr>
        <w:t>Provision for income taxes</w:t>
      </w:r>
      <w:r>
        <w:rPr>
          <w:rFonts w:ascii="Arial" w:cs="Arial" w:eastAsia="Arial" w:hAnsi="Arial"/>
          <w:sz w:val="12"/>
          <w:szCs w:val="12"/>
          <w:color w:val="auto"/>
        </w:rPr>
        <w:t xml:space="preserve"> section above. In addition, the overpayment of income taxes in 2006 reduced our 2007 tax payments.</w:t>
      </w:r>
    </w:p>
    <w:p>
      <w:pPr>
        <w:spacing w:after="0" w:line="108" w:lineRule="exact"/>
        <w:rPr>
          <w:sz w:val="20"/>
          <w:szCs w:val="20"/>
          <w:color w:val="auto"/>
        </w:rPr>
      </w:pPr>
    </w:p>
    <w:p>
      <w:pPr>
        <w:ind w:left="1280" w:right="120" w:hanging="190"/>
        <w:spacing w:after="0" w:line="320" w:lineRule="auto"/>
        <w:tabs>
          <w:tab w:leader="none" w:pos="1280" w:val="left"/>
        </w:tabs>
        <w:numPr>
          <w:ilvl w:val="0"/>
          <w:numId w:val="51"/>
        </w:numPr>
        <w:rPr>
          <w:rFonts w:ascii="Arial" w:cs="Arial" w:eastAsia="Arial" w:hAnsi="Arial"/>
          <w:sz w:val="12"/>
          <w:szCs w:val="12"/>
          <w:color w:val="auto"/>
        </w:rPr>
      </w:pPr>
      <w:r>
        <w:rPr>
          <w:rFonts w:ascii="Arial" w:cs="Arial" w:eastAsia="Arial" w:hAnsi="Arial"/>
          <w:sz w:val="12"/>
          <w:szCs w:val="12"/>
          <w:i w:val="1"/>
          <w:iCs w:val="1"/>
          <w:color w:val="auto"/>
        </w:rPr>
        <w:t xml:space="preserve">Decreased interest payments </w:t>
      </w:r>
      <w:r>
        <w:rPr>
          <w:rFonts w:ascii="Arial" w:cs="Arial" w:eastAsia="Arial" w:hAnsi="Arial"/>
          <w:sz w:val="12"/>
          <w:szCs w:val="12"/>
          <w:color w:val="auto"/>
        </w:rPr>
        <w:t>— Cash paid for interest was approximately $65 million lower on a year-over-year basis. This decline is due primarily to a decline in our weighted</w:t>
      </w:r>
      <w:r>
        <w:rPr>
          <w:rFonts w:ascii="Arial" w:cs="Arial" w:eastAsia="Arial" w:hAnsi="Arial"/>
          <w:sz w:val="12"/>
          <w:szCs w:val="12"/>
          <w:i w:val="1"/>
          <w:iCs w:val="1"/>
          <w:color w:val="auto"/>
        </w:rPr>
        <w:t xml:space="preserve"> </w:t>
      </w:r>
      <w:r>
        <w:rPr>
          <w:rFonts w:ascii="Arial" w:cs="Arial" w:eastAsia="Arial" w:hAnsi="Arial"/>
          <w:sz w:val="12"/>
          <w:szCs w:val="12"/>
          <w:color w:val="auto"/>
        </w:rPr>
        <w:t>average borrowing rate, which can be attributed to the maturity of higher rate debt that we refinanced at lower rates and a decline in market rates.</w:t>
      </w:r>
    </w:p>
    <w:p>
      <w:pPr>
        <w:spacing w:after="0" w:line="25" w:lineRule="exact"/>
        <w:rPr>
          <w:rFonts w:ascii="Arial" w:cs="Arial" w:eastAsia="Arial" w:hAnsi="Arial"/>
          <w:sz w:val="12"/>
          <w:szCs w:val="12"/>
          <w:color w:val="auto"/>
        </w:rPr>
      </w:pPr>
    </w:p>
    <w:p>
      <w:pPr>
        <w:ind w:left="1280" w:right="140" w:hanging="190"/>
        <w:spacing w:after="0" w:line="264" w:lineRule="auto"/>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i w:val="1"/>
          <w:iCs w:val="1"/>
          <w:color w:val="auto"/>
        </w:rPr>
        <w:t xml:space="preserve">Accounts payable processes </w:t>
      </w:r>
      <w:r>
        <w:rPr>
          <w:rFonts w:ascii="Arial" w:cs="Arial" w:eastAsia="Arial" w:hAnsi="Arial"/>
          <w:sz w:val="13"/>
          <w:szCs w:val="13"/>
          <w:color w:val="auto"/>
        </w:rPr>
        <w:t>— In 2008, we began various initiatives to improve our working capital management, including reviewing our accounts payable process to ensure</w:t>
      </w:r>
      <w:r>
        <w:rPr>
          <w:rFonts w:ascii="Arial" w:cs="Arial" w:eastAsia="Arial" w:hAnsi="Arial"/>
          <w:sz w:val="13"/>
          <w:szCs w:val="13"/>
          <w:i w:val="1"/>
          <w:iCs w:val="1"/>
          <w:color w:val="auto"/>
        </w:rPr>
        <w:t xml:space="preserve"> </w:t>
      </w:r>
      <w:r>
        <w:rPr>
          <w:rFonts w:ascii="Arial" w:cs="Arial" w:eastAsia="Arial" w:hAnsi="Arial"/>
          <w:sz w:val="13"/>
          <w:szCs w:val="13"/>
          <w:color w:val="auto"/>
        </w:rPr>
        <w:t>vendor payments are made on a basis that results in more optimal cash management. The changes made to the timing of our vendor payments favorably impacted our cash flow from operations on a year-over-year basis by approximately $30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most significant items affecting the comparison of our operating cash flows for 2007 and 2006 are summarized below:</w:t>
      </w:r>
    </w:p>
    <w:p>
      <w:pPr>
        <w:spacing w:after="0" w:line="96" w:lineRule="exact"/>
        <w:rPr>
          <w:sz w:val="20"/>
          <w:szCs w:val="20"/>
          <w:color w:val="auto"/>
        </w:rPr>
      </w:pPr>
    </w:p>
    <w:p>
      <w:pPr>
        <w:ind w:left="1280" w:right="60" w:hanging="190"/>
        <w:spacing w:after="0" w:line="276"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Earnings improvements </w:t>
      </w:r>
      <w:r>
        <w:rPr>
          <w:rFonts w:ascii="Arial" w:cs="Arial" w:eastAsia="Arial" w:hAnsi="Arial"/>
          <w:sz w:val="13"/>
          <w:szCs w:val="13"/>
          <w:color w:val="auto"/>
        </w:rPr>
        <w:t>— Our income from operations, net of depreciation and amortization, increased by $150 million, on a year-over-year basis, which positively affected our</w:t>
      </w:r>
      <w:r>
        <w:rPr>
          <w:rFonts w:ascii="Arial" w:cs="Arial" w:eastAsia="Arial" w:hAnsi="Arial"/>
          <w:sz w:val="13"/>
          <w:szCs w:val="13"/>
          <w:i w:val="1"/>
          <w:iCs w:val="1"/>
          <w:color w:val="auto"/>
        </w:rPr>
        <w:t xml:space="preserve"> </w:t>
      </w:r>
      <w:r>
        <w:rPr>
          <w:rFonts w:ascii="Arial" w:cs="Arial" w:eastAsia="Arial" w:hAnsi="Arial"/>
          <w:sz w:val="13"/>
          <w:szCs w:val="13"/>
          <w:color w:val="auto"/>
        </w:rPr>
        <w:t>cash flows from operations in 2007.</w:t>
      </w:r>
    </w:p>
    <w:p>
      <w:pPr>
        <w:spacing w:after="0" w:line="49"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Decreased income tax payments and refunds — </w:t>
      </w:r>
      <w:r>
        <w:rPr>
          <w:rFonts w:ascii="Arial" w:cs="Arial" w:eastAsia="Arial" w:hAnsi="Arial"/>
          <w:sz w:val="13"/>
          <w:szCs w:val="13"/>
          <w:color w:val="auto"/>
        </w:rPr>
        <w:t>Cash paid for income taxes, net of excess tax benefits associated with equity-based transactions, was approximately $80 million</w:t>
      </w:r>
      <w:r>
        <w:rPr>
          <w:rFonts w:ascii="Arial" w:cs="Arial" w:eastAsia="Arial" w:hAnsi="Arial"/>
          <w:sz w:val="13"/>
          <w:szCs w:val="13"/>
          <w:i w:val="1"/>
          <w:iCs w:val="1"/>
          <w:color w:val="auto"/>
        </w:rPr>
        <w:t xml:space="preserve"> </w:t>
      </w:r>
      <w:r>
        <w:rPr>
          <w:rFonts w:ascii="Arial" w:cs="Arial" w:eastAsia="Arial" w:hAnsi="Arial"/>
          <w:sz w:val="13"/>
          <w:szCs w:val="13"/>
          <w:color w:val="auto"/>
        </w:rPr>
        <w:t>lower on a year-over-year basis, largely due to excess tax payments in 2006, which reduced our estimated tax payment made in the third quarter of 2007. Cash tax refunds attributable to audit settlements decreased by approximately $40 million on a year-over-year basis.</w:t>
      </w:r>
    </w:p>
    <w:p>
      <w:pPr>
        <w:spacing w:after="0" w:line="57" w:lineRule="exact"/>
        <w:rPr>
          <w:rFonts w:ascii="Arial" w:cs="Arial" w:eastAsia="Arial" w:hAnsi="Arial"/>
          <w:sz w:val="13"/>
          <w:szCs w:val="13"/>
          <w:color w:val="auto"/>
        </w:rPr>
      </w:pPr>
    </w:p>
    <w:p>
      <w:pPr>
        <w:ind w:left="1280" w:right="80" w:hanging="190"/>
        <w:spacing w:after="0" w:line="334" w:lineRule="auto"/>
        <w:tabs>
          <w:tab w:leader="none" w:pos="1280" w:val="left"/>
        </w:tabs>
        <w:numPr>
          <w:ilvl w:val="0"/>
          <w:numId w:val="52"/>
        </w:numPr>
        <w:rPr>
          <w:rFonts w:ascii="Arial" w:cs="Arial" w:eastAsia="Arial" w:hAnsi="Arial"/>
          <w:sz w:val="11"/>
          <w:szCs w:val="11"/>
          <w:color w:val="auto"/>
        </w:rPr>
      </w:pPr>
      <w:r>
        <w:rPr>
          <w:rFonts w:ascii="Arial" w:cs="Arial" w:eastAsia="Arial" w:hAnsi="Arial"/>
          <w:sz w:val="11"/>
          <w:szCs w:val="11"/>
          <w:i w:val="1"/>
          <w:iCs w:val="1"/>
          <w:color w:val="auto"/>
        </w:rPr>
        <w:t xml:space="preserve">Risk management assets and liabilities — </w:t>
      </w:r>
      <w:r>
        <w:rPr>
          <w:rFonts w:ascii="Arial" w:cs="Arial" w:eastAsia="Arial" w:hAnsi="Arial"/>
          <w:sz w:val="11"/>
          <w:szCs w:val="11"/>
          <w:color w:val="auto"/>
        </w:rPr>
        <w:t>During 2007, we were able to reduce risk management liabilities by approximately $80 million, primarily as a result of reduced</w:t>
      </w:r>
      <w:r>
        <w:rPr>
          <w:rFonts w:ascii="Arial" w:cs="Arial" w:eastAsia="Arial" w:hAnsi="Arial"/>
          <w:sz w:val="11"/>
          <w:szCs w:val="11"/>
          <w:i w:val="1"/>
          <w:iCs w:val="1"/>
          <w:color w:val="auto"/>
        </w:rPr>
        <w:t xml:space="preserve"> </w:t>
      </w:r>
      <w:r>
        <w:rPr>
          <w:rFonts w:ascii="Arial" w:cs="Arial" w:eastAsia="Arial" w:hAnsi="Arial"/>
          <w:sz w:val="11"/>
          <w:szCs w:val="11"/>
          <w:color w:val="auto"/>
        </w:rPr>
        <w:t>actuarial projections of claim losses for auto and general liability and worker’s compensation claims, which was attributed to our continued focus on safety and reduced accident and injury rates. While this non-cash reserve reduction had a positive impact on income from operations, it did not have a significant impact on our cash flow from operations.</w:t>
      </w:r>
    </w:p>
    <w:p>
      <w:pPr>
        <w:spacing w:after="0" w:line="22" w:lineRule="exact"/>
        <w:rPr>
          <w:rFonts w:ascii="Arial" w:cs="Arial" w:eastAsia="Arial" w:hAnsi="Arial"/>
          <w:sz w:val="11"/>
          <w:szCs w:val="11"/>
          <w:color w:val="auto"/>
        </w:rPr>
      </w:pPr>
    </w:p>
    <w:p>
      <w:pPr>
        <w:ind w:left="1280" w:right="80" w:hanging="190"/>
        <w:spacing w:after="0" w:line="264"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Trade receivables — </w:t>
      </w:r>
      <w:r>
        <w:rPr>
          <w:rFonts w:ascii="Arial" w:cs="Arial" w:eastAsia="Arial" w:hAnsi="Arial"/>
          <w:sz w:val="13"/>
          <w:szCs w:val="13"/>
          <w:color w:val="auto"/>
        </w:rPr>
        <w:t>The change in our receivables balances, net of effects of acquisitions and divestitures, negatively affected the comparison of our cash flows from operations</w:t>
      </w:r>
      <w:r>
        <w:rPr>
          <w:rFonts w:ascii="Arial" w:cs="Arial" w:eastAsia="Arial" w:hAnsi="Arial"/>
          <w:sz w:val="13"/>
          <w:szCs w:val="13"/>
          <w:i w:val="1"/>
          <w:iCs w:val="1"/>
          <w:color w:val="auto"/>
        </w:rPr>
        <w:t xml:space="preserve"> </w:t>
      </w:r>
      <w:r>
        <w:rPr>
          <w:rFonts w:ascii="Arial" w:cs="Arial" w:eastAsia="Arial" w:hAnsi="Arial"/>
          <w:sz w:val="13"/>
          <w:szCs w:val="13"/>
          <w:color w:val="auto"/>
        </w:rPr>
        <w:t>by approximately $70 million. This decline is primarily attributable to increased trade receivables when comparing 2007 and 2006 as compared to decreased trade receivables when comparing 2006 to 2005.</w:t>
      </w:r>
    </w:p>
    <w:p>
      <w:pPr>
        <w:spacing w:after="0" w:line="57" w:lineRule="exact"/>
        <w:rPr>
          <w:rFonts w:ascii="Arial" w:cs="Arial" w:eastAsia="Arial" w:hAnsi="Arial"/>
          <w:sz w:val="13"/>
          <w:szCs w:val="13"/>
          <w:color w:val="auto"/>
        </w:rPr>
      </w:pPr>
    </w:p>
    <w:p>
      <w:pPr>
        <w:ind w:left="1280" w:right="100" w:hanging="190"/>
        <w:spacing w:after="0" w:line="264"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Increased bonus payments — </w:t>
      </w:r>
      <w:r>
        <w:rPr>
          <w:rFonts w:ascii="Arial" w:cs="Arial" w:eastAsia="Arial" w:hAnsi="Arial"/>
          <w:sz w:val="13"/>
          <w:szCs w:val="13"/>
          <w:color w:val="auto"/>
        </w:rPr>
        <w:t>Our bonus payments for 2006, which were paid in the first quarter of 2007, were higher than bonus payments for 2005 paid in 2006 due to the</w:t>
      </w:r>
      <w:r>
        <w:rPr>
          <w:rFonts w:ascii="Arial" w:cs="Arial" w:eastAsia="Arial" w:hAnsi="Arial"/>
          <w:sz w:val="13"/>
          <w:szCs w:val="13"/>
          <w:i w:val="1"/>
          <w:iCs w:val="1"/>
          <w:color w:val="auto"/>
        </w:rPr>
        <w:t xml:space="preserve"> </w:t>
      </w:r>
      <w:r>
        <w:rPr>
          <w:rFonts w:ascii="Arial" w:cs="Arial" w:eastAsia="Arial" w:hAnsi="Arial"/>
          <w:sz w:val="13"/>
          <w:szCs w:val="13"/>
          <w:color w:val="auto"/>
        </w:rPr>
        <w:t>relative strength of our financial performance against incentive plan measures in 2006 as compared with 2005. The comparative changes in our liabilities for bonuses negatively affected the comparison of our cash flow from operations by approximately $60 million.</w:t>
      </w:r>
    </w:p>
    <w:p>
      <w:pPr>
        <w:spacing w:after="0" w:line="57"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 xml:space="preserve">Liabilities for unclaimed property </w:t>
      </w:r>
      <w:r>
        <w:rPr>
          <w:rFonts w:ascii="Arial" w:cs="Arial" w:eastAsia="Arial" w:hAnsi="Arial"/>
          <w:sz w:val="13"/>
          <w:szCs w:val="13"/>
          <w:color w:val="auto"/>
        </w:rPr>
        <w:t>— In 2007, we made significant cash payments for our obligations associated with unclaimed property, reducing our liabilities. In 2006, our</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liabilities for unclaimed property increased, primarily due to the charge to earnings required to fully record our obligations. The changes in our recorded obligations for unclaimed property negatively affected the comparison of our cash flow from operations by approximately $30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Used in Investing Activities </w:t>
      </w:r>
      <w:r>
        <w:rPr>
          <w:rFonts w:ascii="Arial" w:cs="Arial" w:eastAsia="Arial" w:hAnsi="Arial"/>
          <w:sz w:val="12"/>
          <w:szCs w:val="12"/>
          <w:color w:val="auto"/>
        </w:rPr>
        <w:t>— The most significant items affecting the comparison of our investing cash flows for the periods presented are summarized below:</w:t>
      </w:r>
    </w:p>
    <w:p>
      <w:pPr>
        <w:spacing w:after="0" w:line="108" w:lineRule="exact"/>
        <w:rPr>
          <w:sz w:val="20"/>
          <w:szCs w:val="20"/>
          <w:color w:val="auto"/>
        </w:rPr>
      </w:pPr>
    </w:p>
    <w:p>
      <w:pPr>
        <w:ind w:left="1280" w:right="280" w:hanging="190"/>
        <w:spacing w:after="0" w:line="320" w:lineRule="auto"/>
        <w:tabs>
          <w:tab w:leader="none" w:pos="1280"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 xml:space="preserve">Cash paid for acquisitions — </w:t>
      </w:r>
      <w:r>
        <w:rPr>
          <w:rFonts w:ascii="Arial" w:cs="Arial" w:eastAsia="Arial" w:hAnsi="Arial"/>
          <w:sz w:val="12"/>
          <w:szCs w:val="12"/>
          <w:color w:val="auto"/>
        </w:rPr>
        <w:t>Our spending on acquisitions increased from $32 million during 2006 to $90 million during 2007 and $280 million in 2008 due to an increased</w:t>
      </w:r>
      <w:r>
        <w:rPr>
          <w:rFonts w:ascii="Arial" w:cs="Arial" w:eastAsia="Arial" w:hAnsi="Arial"/>
          <w:sz w:val="12"/>
          <w:szCs w:val="12"/>
          <w:i w:val="1"/>
          <w:iCs w:val="1"/>
          <w:color w:val="auto"/>
        </w:rPr>
        <w:t xml:space="preserve"> </w:t>
      </w:r>
      <w:r>
        <w:rPr>
          <w:rFonts w:ascii="Arial" w:cs="Arial" w:eastAsia="Arial" w:hAnsi="Arial"/>
          <w:sz w:val="12"/>
          <w:szCs w:val="12"/>
          <w:color w:val="auto"/>
        </w:rPr>
        <w:t>focus on accretive acquisitions and other investments that will contribute to improved future results of operations and enhance and expand our existing service offerings.</w:t>
      </w:r>
    </w:p>
    <w:p>
      <w:pPr>
        <w:spacing w:after="0" w:line="25" w:lineRule="exact"/>
        <w:rPr>
          <w:rFonts w:ascii="Arial" w:cs="Arial" w:eastAsia="Arial" w:hAnsi="Arial"/>
          <w:sz w:val="12"/>
          <w:szCs w:val="12"/>
          <w:color w:val="auto"/>
        </w:rPr>
      </w:pPr>
    </w:p>
    <w:p>
      <w:pPr>
        <w:ind w:left="1280" w:right="280" w:hanging="190"/>
        <w:spacing w:after="0" w:line="320" w:lineRule="auto"/>
        <w:tabs>
          <w:tab w:leader="none" w:pos="1280" w:val="left"/>
        </w:tabs>
        <w:numPr>
          <w:ilvl w:val="0"/>
          <w:numId w:val="53"/>
        </w:numPr>
        <w:rPr>
          <w:rFonts w:ascii="Arial" w:cs="Arial" w:eastAsia="Arial" w:hAnsi="Arial"/>
          <w:sz w:val="12"/>
          <w:szCs w:val="12"/>
          <w:color w:val="auto"/>
        </w:rPr>
      </w:pPr>
      <w:r>
        <w:rPr>
          <w:rFonts w:ascii="Arial" w:cs="Arial" w:eastAsia="Arial" w:hAnsi="Arial"/>
          <w:sz w:val="12"/>
          <w:szCs w:val="12"/>
          <w:i w:val="1"/>
          <w:iCs w:val="1"/>
          <w:color w:val="auto"/>
        </w:rPr>
        <w:t xml:space="preserve">Proceeds from divestitures — </w:t>
      </w:r>
      <w:r>
        <w:rPr>
          <w:rFonts w:ascii="Arial" w:cs="Arial" w:eastAsia="Arial" w:hAnsi="Arial"/>
          <w:sz w:val="12"/>
          <w:szCs w:val="12"/>
          <w:color w:val="auto"/>
        </w:rPr>
        <w:t>Proceeds from divestitures (net of cash divested) and other sales of assets were $112 million in 2008, $278 million in 2007 and $240 million in</w:t>
      </w:r>
      <w:r>
        <w:rPr>
          <w:rFonts w:ascii="Arial" w:cs="Arial" w:eastAsia="Arial" w:hAnsi="Arial"/>
          <w:sz w:val="12"/>
          <w:szCs w:val="12"/>
          <w:i w:val="1"/>
          <w:iCs w:val="1"/>
          <w:color w:val="auto"/>
        </w:rPr>
        <w:t xml:space="preserve"> </w:t>
      </w:r>
      <w:r>
        <w:rPr>
          <w:rFonts w:ascii="Arial" w:cs="Arial" w:eastAsia="Arial" w:hAnsi="Arial"/>
          <w:sz w:val="12"/>
          <w:szCs w:val="12"/>
          <w:color w:val="auto"/>
        </w:rPr>
        <w:t>2006. Our proceeds from divestitures for all three years have been driven by the divestiture of under-performing and non-strategic operations. The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decrease in proceeds from divestitures in 2008 was largely a result of having fewer underperforming operations to sell as part of our fix-or-seek-exit initiative.</w:t>
      </w:r>
    </w:p>
    <w:p>
      <w:pPr>
        <w:spacing w:after="0" w:line="96" w:lineRule="exact"/>
        <w:rPr>
          <w:sz w:val="20"/>
          <w:szCs w:val="20"/>
          <w:color w:val="auto"/>
        </w:rPr>
      </w:pPr>
    </w:p>
    <w:p>
      <w:pPr>
        <w:ind w:left="1280" w:right="80" w:hanging="190"/>
        <w:spacing w:after="0" w:line="264"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Capital expenditures — </w:t>
      </w:r>
      <w:r>
        <w:rPr>
          <w:rFonts w:ascii="Arial" w:cs="Arial" w:eastAsia="Arial" w:hAnsi="Arial"/>
          <w:sz w:val="13"/>
          <w:szCs w:val="13"/>
          <w:color w:val="auto"/>
        </w:rPr>
        <w:t>We used $1,221 million during 2008 for capital expenditures, compared with $1,211 million in 2007 and $1,329 million in 2006. Capital expenditures in</w:t>
      </w:r>
      <w:r>
        <w:rPr>
          <w:rFonts w:ascii="Arial" w:cs="Arial" w:eastAsia="Arial" w:hAnsi="Arial"/>
          <w:sz w:val="13"/>
          <w:szCs w:val="13"/>
          <w:i w:val="1"/>
          <w:iCs w:val="1"/>
          <w:color w:val="auto"/>
        </w:rPr>
        <w:t xml:space="preserve"> </w:t>
      </w:r>
      <w:r>
        <w:rPr>
          <w:rFonts w:ascii="Arial" w:cs="Arial" w:eastAsia="Arial" w:hAnsi="Arial"/>
          <w:sz w:val="13"/>
          <w:szCs w:val="13"/>
          <w:color w:val="auto"/>
        </w:rPr>
        <w:t>2006 were higher than either 2007 or 2008 due to relatively high levels of fleet capital spending done in advance of significant mandated changes in heavy-duty truck engines beginning in January 2007.</w:t>
      </w:r>
    </w:p>
    <w:p>
      <w:pPr>
        <w:spacing w:after="0" w:line="57" w:lineRule="exact"/>
        <w:rPr>
          <w:rFonts w:ascii="Arial" w:cs="Arial" w:eastAsia="Arial" w:hAnsi="Arial"/>
          <w:sz w:val="13"/>
          <w:szCs w:val="13"/>
          <w:color w:val="auto"/>
        </w:rPr>
      </w:pPr>
    </w:p>
    <w:p>
      <w:pPr>
        <w:ind w:left="1280" w:right="120" w:hanging="190"/>
        <w:spacing w:after="0" w:line="264"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Purchases and sales of short-term investments — </w:t>
      </w:r>
      <w:r>
        <w:rPr>
          <w:rFonts w:ascii="Arial" w:cs="Arial" w:eastAsia="Arial" w:hAnsi="Arial"/>
          <w:sz w:val="13"/>
          <w:szCs w:val="13"/>
          <w:color w:val="auto"/>
        </w:rPr>
        <w:t>Net sales of short-term investments provided $184 million of cash in 2007, compared with $122 million during 2006. We used</w:t>
      </w:r>
      <w:r>
        <w:rPr>
          <w:rFonts w:ascii="Arial" w:cs="Arial" w:eastAsia="Arial" w:hAnsi="Arial"/>
          <w:sz w:val="13"/>
          <w:szCs w:val="13"/>
          <w:i w:val="1"/>
          <w:iCs w:val="1"/>
          <w:color w:val="auto"/>
        </w:rPr>
        <w:t xml:space="preserve"> </w:t>
      </w:r>
      <w:r>
        <w:rPr>
          <w:rFonts w:ascii="Arial" w:cs="Arial" w:eastAsia="Arial" w:hAnsi="Arial"/>
          <w:sz w:val="13"/>
          <w:szCs w:val="13"/>
          <w:color w:val="auto"/>
        </w:rPr>
        <w:t>proceeds from the sale of our short-term investments to provide cash that we used to fund our common stock repurchases, dividend payments and debt repayments, which are discussed below. We did not hold any short-term investments during 2008.</w:t>
      </w:r>
    </w:p>
    <w:p>
      <w:pPr>
        <w:spacing w:after="0" w:line="57"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i w:val="1"/>
          <w:iCs w:val="1"/>
          <w:color w:val="auto"/>
        </w:rPr>
        <w:t xml:space="preserve">Net receipts from restricted funds — </w:t>
      </w:r>
      <w:r>
        <w:rPr>
          <w:rFonts w:ascii="Arial" w:cs="Arial" w:eastAsia="Arial" w:hAnsi="Arial"/>
          <w:sz w:val="13"/>
          <w:szCs w:val="13"/>
          <w:color w:val="auto"/>
        </w:rPr>
        <w:t>Net funds received from our restricted trust and escrow accounts, which are largely generated from the issuance of tax-exempt bonds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needs, contributed $178 million to our investing activities in 2008 compared with $120 million in 2007 and $253 million in 2006.</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Used in Financing Activities </w:t>
      </w:r>
      <w:r>
        <w:rPr>
          <w:rFonts w:ascii="Arial" w:cs="Arial" w:eastAsia="Arial" w:hAnsi="Arial"/>
          <w:sz w:val="12"/>
          <w:szCs w:val="12"/>
          <w:color w:val="auto"/>
        </w:rPr>
        <w:t>— The most significant items affecting the comparison of our financing cash flows for the periods presented are summarized below:</w:t>
      </w:r>
    </w:p>
    <w:p>
      <w:pPr>
        <w:spacing w:after="0" w:line="108" w:lineRule="exact"/>
        <w:rPr>
          <w:sz w:val="20"/>
          <w:szCs w:val="20"/>
          <w:color w:val="auto"/>
        </w:rPr>
      </w:pPr>
    </w:p>
    <w:p>
      <w:pPr>
        <w:ind w:left="1280" w:right="60" w:hanging="190"/>
        <w:spacing w:after="0" w:line="276" w:lineRule="auto"/>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Share repurchases and dividend payments — </w:t>
      </w:r>
      <w:r>
        <w:rPr>
          <w:rFonts w:ascii="Arial" w:cs="Arial" w:eastAsia="Arial" w:hAnsi="Arial"/>
          <w:sz w:val="13"/>
          <w:szCs w:val="13"/>
          <w:color w:val="auto"/>
        </w:rPr>
        <w:t>Our 2008, 2007 and 2006 share repurchases and dividend payments have been made in accordance with capital allocation programs</w:t>
      </w:r>
      <w:r>
        <w:rPr>
          <w:rFonts w:ascii="Arial" w:cs="Arial" w:eastAsia="Arial" w:hAnsi="Arial"/>
          <w:sz w:val="13"/>
          <w:szCs w:val="13"/>
          <w:i w:val="1"/>
          <w:iCs w:val="1"/>
          <w:color w:val="auto"/>
        </w:rPr>
        <w:t xml:space="preserve"> </w:t>
      </w:r>
      <w:r>
        <w:rPr>
          <w:rFonts w:ascii="Arial" w:cs="Arial" w:eastAsia="Arial" w:hAnsi="Arial"/>
          <w:sz w:val="13"/>
          <w:szCs w:val="13"/>
          <w:color w:val="auto"/>
        </w:rPr>
        <w:t>approved by our Board of Directors.</w:t>
      </w:r>
    </w:p>
    <w:p>
      <w:pPr>
        <w:spacing w:after="0" w:line="59" w:lineRule="exact"/>
        <w:rPr>
          <w:rFonts w:ascii="Arial" w:cs="Arial" w:eastAsia="Arial" w:hAnsi="Arial"/>
          <w:sz w:val="13"/>
          <w:szCs w:val="13"/>
          <w:color w:val="auto"/>
        </w:rPr>
      </w:pPr>
    </w:p>
    <w:p>
      <w:pPr>
        <w:ind w:left="1280"/>
        <w:spacing w:after="0" w:line="289" w:lineRule="auto"/>
        <w:rPr>
          <w:rFonts w:ascii="Arial" w:cs="Arial" w:eastAsia="Arial" w:hAnsi="Arial"/>
          <w:sz w:val="13"/>
          <w:szCs w:val="13"/>
          <w:color w:val="auto"/>
        </w:rPr>
      </w:pPr>
      <w:r>
        <w:rPr>
          <w:rFonts w:ascii="Arial" w:cs="Arial" w:eastAsia="Arial" w:hAnsi="Arial"/>
          <w:sz w:val="12"/>
          <w:szCs w:val="12"/>
          <w:color w:val="auto"/>
        </w:rPr>
        <w:t>We paid $410 million for share repurchases in 2008 as compared with $1,421 million in 2007 and $1,072 million in 2006. We repurchased approximately 12 million, 40 million and 31 million shares of our common stock in 2008, 2007 and 2006, respectively. The significant decline in share repurchases during 2008 is largely attributable to the suspension of our share repurchases in connection with our proposal to acquire all of the outstanding stock of Republic Services, Inc. When the proposal was withdrawn in October 2008, we determined that, given the state of the financial markets, it would be prudent to suspend repurchases for the foreseeable future.</w:t>
      </w:r>
    </w:p>
    <w:p>
      <w:pPr>
        <w:spacing w:after="0" w:line="52" w:lineRule="exact"/>
        <w:rPr>
          <w:rFonts w:ascii="Arial" w:cs="Arial" w:eastAsia="Arial" w:hAnsi="Arial"/>
          <w:sz w:val="13"/>
          <w:szCs w:val="13"/>
          <w:color w:val="auto"/>
        </w:rPr>
      </w:pPr>
    </w:p>
    <w:p>
      <w:pPr>
        <w:ind w:left="1280" w:right="100"/>
        <w:spacing w:after="0" w:line="264" w:lineRule="auto"/>
        <w:rPr>
          <w:rFonts w:ascii="Arial" w:cs="Arial" w:eastAsia="Arial" w:hAnsi="Arial"/>
          <w:sz w:val="13"/>
          <w:szCs w:val="13"/>
          <w:color w:val="auto"/>
        </w:rPr>
      </w:pPr>
      <w:r>
        <w:rPr>
          <w:rFonts w:ascii="Arial" w:cs="Arial" w:eastAsia="Arial" w:hAnsi="Arial"/>
          <w:sz w:val="13"/>
          <w:szCs w:val="13"/>
          <w:color w:val="auto"/>
        </w:rPr>
        <w:t>We paid an aggregate of $531 million in cash dividends during 2008 compared with $495 million in 2007 and $476 million in 2006. The increase in dividend payments is due to our quarterly per share dividend increasing from $0.22 in 2006, to $0.24 in 2007 and to $0.27 in 2008. The impact of the year-over-year increases in the per share dividend has been partially offset by a reduction in the number of our outstanding shares as a result of our share repurchase program.</w:t>
      </w:r>
    </w:p>
    <w:p>
      <w:pPr>
        <w:spacing w:after="0" w:line="66" w:lineRule="exact"/>
        <w:rPr>
          <w:rFonts w:ascii="Arial" w:cs="Arial" w:eastAsia="Arial" w:hAnsi="Arial"/>
          <w:sz w:val="13"/>
          <w:szCs w:val="13"/>
          <w:color w:val="auto"/>
        </w:rPr>
      </w:pPr>
    </w:p>
    <w:p>
      <w:pPr>
        <w:ind w:left="1280" w:right="100"/>
        <w:spacing w:after="0" w:line="260" w:lineRule="auto"/>
        <w:rPr>
          <w:rFonts w:ascii="Arial" w:cs="Arial" w:eastAsia="Arial" w:hAnsi="Arial"/>
          <w:sz w:val="13"/>
          <w:szCs w:val="13"/>
          <w:color w:val="auto"/>
        </w:rPr>
      </w:pPr>
      <w:r>
        <w:rPr>
          <w:rFonts w:ascii="Arial" w:cs="Arial" w:eastAsia="Arial" w:hAnsi="Arial"/>
          <w:sz w:val="13"/>
          <w:szCs w:val="13"/>
          <w:color w:val="auto"/>
        </w:rPr>
        <w:t>In December 2008, our Board of Directors approved a new capital allocation program that includes the authorization for up to $1.3 billion in combined cash dividends, common stock repurchases, debt reduction and acquisitions in 2009. At this time, the Board of Directors also announced that it expects future quarterly dividend payments will be $0.29 per share. All future dividend declarations are at the discretion of the Board of Directors, and depend on various factors, including our net earnings, financial condition, cash required for future prospects and other factors the Board may deem relevant.</w:t>
      </w:r>
    </w:p>
    <w:p>
      <w:pPr>
        <w:spacing w:after="0" w:line="69" w:lineRule="exact"/>
        <w:rPr>
          <w:rFonts w:ascii="Arial" w:cs="Arial" w:eastAsia="Arial" w:hAnsi="Arial"/>
          <w:sz w:val="13"/>
          <w:szCs w:val="13"/>
          <w:color w:val="auto"/>
        </w:rPr>
      </w:pPr>
    </w:p>
    <w:p>
      <w:pPr>
        <w:ind w:left="1280" w:right="20" w:hanging="190"/>
        <w:spacing w:after="0" w:line="260" w:lineRule="auto"/>
        <w:tabs>
          <w:tab w:leader="none" w:pos="1280" w:val="left"/>
        </w:tabs>
        <w:numPr>
          <w:ilvl w:val="0"/>
          <w:numId w:val="55"/>
        </w:numPr>
        <w:rPr>
          <w:rFonts w:ascii="Arial" w:cs="Arial" w:eastAsia="Arial" w:hAnsi="Arial"/>
          <w:sz w:val="13"/>
          <w:szCs w:val="13"/>
          <w:color w:val="auto"/>
        </w:rPr>
      </w:pPr>
      <w:r>
        <w:rPr>
          <w:rFonts w:ascii="Arial" w:cs="Arial" w:eastAsia="Arial" w:hAnsi="Arial"/>
          <w:sz w:val="13"/>
          <w:szCs w:val="13"/>
          <w:i w:val="1"/>
          <w:iCs w:val="1"/>
          <w:color w:val="auto"/>
        </w:rPr>
        <w:t xml:space="preserve">Proceeds and tax benefits from the exercise of options and warrants — </w:t>
      </w:r>
      <w:r>
        <w:rPr>
          <w:rFonts w:ascii="Arial" w:cs="Arial" w:eastAsia="Arial" w:hAnsi="Arial"/>
          <w:sz w:val="13"/>
          <w:szCs w:val="13"/>
          <w:color w:val="auto"/>
        </w:rPr>
        <w:t>The exercise of common stock options and warrants and the related excess tax benefits generated a total of</w:t>
      </w:r>
      <w:r>
        <w:rPr>
          <w:rFonts w:ascii="Arial" w:cs="Arial" w:eastAsia="Arial" w:hAnsi="Arial"/>
          <w:sz w:val="13"/>
          <w:szCs w:val="13"/>
          <w:i w:val="1"/>
          <w:iCs w:val="1"/>
          <w:color w:val="auto"/>
        </w:rPr>
        <w:t xml:space="preserve"> </w:t>
      </w:r>
      <w:r>
        <w:rPr>
          <w:rFonts w:ascii="Arial" w:cs="Arial" w:eastAsia="Arial" w:hAnsi="Arial"/>
          <w:sz w:val="13"/>
          <w:szCs w:val="13"/>
          <w:color w:val="auto"/>
        </w:rPr>
        <w:t>$44 million of financing cash inflows during 2008 compared with $168 million during 2007 and $340 million in 2006. We believe the relatively large impact of stock option and warrant exercises in 2006 was due to the substantial increase in the market value of our common stock during 2006 and the accelerated vesting of all outstanding stock options in December 2005 because the acceleration made additional options available for exercise.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1080" w:hanging="190"/>
        <w:spacing w:after="0" w:line="276" w:lineRule="auto"/>
        <w:tabs>
          <w:tab w:leader="none" w:pos="1280" w:val="left"/>
        </w:tabs>
        <w:numPr>
          <w:ilvl w:val="0"/>
          <w:numId w:val="56"/>
        </w:numPr>
        <w:rPr>
          <w:rFonts w:ascii="Arial" w:cs="Arial" w:eastAsia="Arial" w:hAnsi="Arial"/>
          <w:sz w:val="13"/>
          <w:szCs w:val="13"/>
          <w:color w:val="auto"/>
        </w:rPr>
      </w:pPr>
      <w:r>
        <w:rPr>
          <w:rFonts w:ascii="Arial" w:cs="Arial" w:eastAsia="Arial" w:hAnsi="Arial"/>
          <w:sz w:val="13"/>
          <w:szCs w:val="13"/>
          <w:i w:val="1"/>
          <w:iCs w:val="1"/>
          <w:color w:val="auto"/>
        </w:rPr>
        <w:t xml:space="preserve">Net debt repayments — </w:t>
      </w:r>
      <w:r>
        <w:rPr>
          <w:rFonts w:ascii="Arial" w:cs="Arial" w:eastAsia="Arial" w:hAnsi="Arial"/>
          <w:sz w:val="13"/>
          <w:szCs w:val="13"/>
          <w:color w:val="auto"/>
        </w:rPr>
        <w:t>Net debt repayments were $260 million in 2008, $256 million in 2007 and $500 million in 2006. The following summarizes our most significant cash</w:t>
      </w:r>
      <w:r>
        <w:rPr>
          <w:rFonts w:ascii="Arial" w:cs="Arial" w:eastAsia="Arial" w:hAnsi="Arial"/>
          <w:sz w:val="13"/>
          <w:szCs w:val="13"/>
          <w:i w:val="1"/>
          <w:iCs w:val="1"/>
          <w:color w:val="auto"/>
        </w:rPr>
        <w:t xml:space="preserve"> </w:t>
      </w:r>
      <w:r>
        <w:rPr>
          <w:rFonts w:ascii="Arial" w:cs="Arial" w:eastAsia="Arial" w:hAnsi="Arial"/>
          <w:sz w:val="13"/>
          <w:szCs w:val="13"/>
          <w:color w:val="auto"/>
        </w:rPr>
        <w:t>borrowings and debt repayments made during each year (in millions):</w:t>
      </w:r>
    </w:p>
    <w:p>
      <w:pPr>
        <w:spacing w:after="0" w:line="61" w:lineRule="exact"/>
        <w:rPr>
          <w:sz w:val="20"/>
          <w:szCs w:val="20"/>
          <w:color w:val="auto"/>
        </w:rPr>
      </w:pPr>
    </w:p>
    <w:tbl>
      <w:tblPr>
        <w:tblLayout w:type="fixed"/>
        <w:tblInd w:w="156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0"/>
                <w:szCs w:val="10"/>
                <w:b w:val="1"/>
                <w:bCs w:val="1"/>
                <w:color w:val="auto"/>
              </w:rPr>
              <w:t>Years Ended December 31,</w:t>
            </w: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6"/>
              <w:spacing w:after="0" w:line="98" w:lineRule="exact"/>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5"/>
              <w:spacing w:after="0" w:line="98" w:lineRule="exact"/>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0" w:type="dxa"/>
            <w:vAlign w:val="bottom"/>
          </w:tcPr>
          <w:p>
            <w:pPr>
              <w:ind w:left="120"/>
              <w:spacing w:after="0"/>
              <w:rPr>
                <w:sz w:val="20"/>
                <w:szCs w:val="20"/>
                <w:color w:val="auto"/>
              </w:rPr>
            </w:pPr>
            <w:r>
              <w:rPr>
                <w:rFonts w:ascii="Arial" w:cs="Arial" w:eastAsia="Arial" w:hAnsi="Arial"/>
                <w:sz w:val="13"/>
                <w:szCs w:val="13"/>
                <w:color w:val="auto"/>
              </w:rPr>
              <w:t>Revolving credit facility</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350</w:t>
            </w:r>
          </w:p>
        </w:tc>
        <w:tc>
          <w:tcPr>
            <w:tcW w:w="20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300</w:t>
            </w:r>
          </w:p>
        </w:tc>
        <w:tc>
          <w:tcPr>
            <w:tcW w:w="3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Canadian credit facility</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3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0" w:type="dxa"/>
            <w:vAlign w:val="bottom"/>
          </w:tcPr>
          <w:p>
            <w:pPr>
              <w:ind w:left="120"/>
              <w:spacing w:after="0"/>
              <w:rPr>
                <w:sz w:val="20"/>
                <w:szCs w:val="20"/>
                <w:color w:val="auto"/>
              </w:rPr>
            </w:pPr>
            <w:r>
              <w:rPr>
                <w:rFonts w:ascii="Arial" w:cs="Arial" w:eastAsia="Arial" w:hAnsi="Arial"/>
                <w:sz w:val="13"/>
                <w:szCs w:val="13"/>
                <w:color w:val="auto"/>
              </w:rPr>
              <w:t>Senior notes</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594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1,525</w:t>
            </w:r>
          </w:p>
        </w:tc>
        <w:tc>
          <w:tcPr>
            <w:tcW w:w="2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w:t>
            </w:r>
          </w:p>
        </w:tc>
        <w:tc>
          <w:tcPr>
            <w:tcW w:w="3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20" w:type="dxa"/>
            <w:vAlign w:val="bottom"/>
            <w:gridSpan w:val="2"/>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Revolving credit facility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0" w:type="dxa"/>
            <w:vAlign w:val="bottom"/>
          </w:tcPr>
          <w:p>
            <w:pPr>
              <w:ind w:left="120"/>
              <w:spacing w:after="0"/>
              <w:rPr>
                <w:sz w:val="20"/>
                <w:szCs w:val="20"/>
                <w:color w:val="auto"/>
              </w:rPr>
            </w:pPr>
            <w:r>
              <w:rPr>
                <w:rFonts w:ascii="Arial" w:cs="Arial" w:eastAsia="Arial" w:hAnsi="Arial"/>
                <w:sz w:val="13"/>
                <w:szCs w:val="13"/>
                <w:color w:val="auto"/>
              </w:rPr>
              <w:t>Canadian credit facility</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(634)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(680)</w:t>
            </w:r>
          </w:p>
        </w:tc>
        <w:tc>
          <w:tcPr>
            <w:tcW w:w="12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8"/>
              </w:rPr>
              <w:t>(479)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Senior notes</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(633)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(300)</w:t>
            </w: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(300)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0" w:type="dxa"/>
            <w:vAlign w:val="bottom"/>
          </w:tcPr>
          <w:p>
            <w:pPr>
              <w:ind w:left="120"/>
              <w:spacing w:after="0"/>
              <w:rPr>
                <w:sz w:val="20"/>
                <w:szCs w:val="20"/>
                <w:color w:val="auto"/>
              </w:rPr>
            </w:pPr>
            <w:r>
              <w:rPr>
                <w:rFonts w:ascii="Arial" w:cs="Arial" w:eastAsia="Arial" w:hAnsi="Arial"/>
                <w:sz w:val="13"/>
                <w:szCs w:val="13"/>
                <w:color w:val="auto"/>
              </w:rPr>
              <w:t>Tax exempt bonds</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(19)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Tax exempt project bonds</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(61)</w:t>
            </w: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0" w:type="dxa"/>
            <w:vAlign w:val="bottom"/>
          </w:tcPr>
          <w:p>
            <w:pPr>
              <w:ind w:left="120"/>
              <w:spacing w:after="0"/>
              <w:rPr>
                <w:sz w:val="20"/>
                <w:szCs w:val="20"/>
                <w:color w:val="auto"/>
              </w:rPr>
            </w:pPr>
            <w:r>
              <w:rPr>
                <w:rFonts w:ascii="Arial" w:cs="Arial" w:eastAsia="Arial" w:hAnsi="Arial"/>
                <w:sz w:val="13"/>
                <w:szCs w:val="13"/>
                <w:color w:val="auto"/>
              </w:rPr>
              <w:t>Capital leases and other debt</w:t>
            </w:r>
          </w:p>
        </w:tc>
        <w:tc>
          <w:tcPr>
            <w:tcW w:w="12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(61)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(1,785)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(1,200)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8"/>
              </w:rPr>
              <w:t>(932)</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Net repayments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620" w:type="dxa"/>
            <w:vAlign w:val="bottom"/>
            <w:gridSpan w:val="2"/>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(260)</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(256)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w w:val="98"/>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280" w:right="1020"/>
        <w:spacing w:after="0" w:line="264" w:lineRule="auto"/>
        <w:rPr>
          <w:sz w:val="20"/>
          <w:szCs w:val="20"/>
          <w:color w:val="auto"/>
        </w:rPr>
      </w:pPr>
      <w:r>
        <w:rPr>
          <w:rFonts w:ascii="Arial" w:cs="Arial" w:eastAsia="Arial" w:hAnsi="Arial"/>
          <w:sz w:val="13"/>
          <w:szCs w:val="13"/>
          <w:color w:val="auto"/>
        </w:rPr>
        <w:t>This summary excludes the impacts of non-cash borrowings and debt repayments. For the years ended December 31, 2008, 2007 and 2006, these non-cash financing activities were primarily associated with our tax-exempt bond financings. Proceeds from tax-exempt bond issuances, net of principal repayments made directly from trust funds, were $169 million in 2008, $144 million in 2007 and $157 million in 2006.</w:t>
      </w:r>
    </w:p>
    <w:p>
      <w:pPr>
        <w:spacing w:after="0" w:line="67" w:lineRule="exact"/>
        <w:rPr>
          <w:sz w:val="20"/>
          <w:szCs w:val="20"/>
          <w:color w:val="auto"/>
        </w:rPr>
      </w:pPr>
    </w:p>
    <w:p>
      <w:pPr>
        <w:ind w:left="1280" w:right="1240" w:hanging="190"/>
        <w:spacing w:after="0" w:line="264"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i w:val="1"/>
          <w:iCs w:val="1"/>
          <w:color w:val="auto"/>
        </w:rPr>
        <w:t xml:space="preserve">Accrued liabilities for checks written in excess of cash balances — </w:t>
      </w:r>
      <w:r>
        <w:rPr>
          <w:rFonts w:ascii="Arial" w:cs="Arial" w:eastAsia="Arial" w:hAnsi="Arial"/>
          <w:sz w:val="13"/>
          <w:szCs w:val="13"/>
          <w:color w:val="auto"/>
        </w:rPr>
        <w:t>Changes in our accrued liabilities for checks written in excess of cash balances are reflected as “Other”</w:t>
      </w:r>
      <w:r>
        <w:rPr>
          <w:rFonts w:ascii="Arial" w:cs="Arial" w:eastAsia="Arial" w:hAnsi="Arial"/>
          <w:sz w:val="13"/>
          <w:szCs w:val="13"/>
          <w:i w:val="1"/>
          <w:iCs w:val="1"/>
          <w:color w:val="auto"/>
        </w:rPr>
        <w:t xml:space="preserve"> </w:t>
      </w:r>
      <w:r>
        <w:rPr>
          <w:rFonts w:ascii="Arial" w:cs="Arial" w:eastAsia="Arial" w:hAnsi="Arial"/>
          <w:sz w:val="13"/>
          <w:szCs w:val="13"/>
          <w:color w:val="auto"/>
        </w:rPr>
        <w:t>financing activities in the Consolidated Statement of Cash Flows. There are significant changes in these accrued liability balances as of each year-end, which is generally attributable to the timing of cash deposits.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of 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contractual obligations as of December 31, 2008 and the anticipated effect of these obligations on our liquidity in future years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76"/>
              <w:spacing w:after="0"/>
              <w:rPr>
                <w:sz w:val="20"/>
                <w:szCs w:val="20"/>
                <w:color w:val="auto"/>
              </w:rPr>
            </w:pPr>
            <w:r>
              <w:rPr>
                <w:rFonts w:ascii="Arial" w:cs="Arial" w:eastAsia="Arial" w:hAnsi="Arial"/>
                <w:sz w:val="10"/>
                <w:szCs w:val="10"/>
                <w:b w:val="1"/>
                <w:bCs w:val="1"/>
                <w:color w:val="auto"/>
              </w:rPr>
              <w:t>2009</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76"/>
              <w:spacing w:after="0"/>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2011</w:t>
            </w:r>
          </w:p>
        </w:tc>
        <w:tc>
          <w:tcPr>
            <w:tcW w:w="18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2012</w:t>
            </w:r>
          </w:p>
        </w:tc>
        <w:tc>
          <w:tcPr>
            <w:tcW w:w="20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8"/>
              </w:rPr>
              <w:t>Thereafter</w:t>
            </w:r>
          </w:p>
        </w:tc>
        <w:tc>
          <w:tcPr>
            <w:tcW w:w="120" w:type="dxa"/>
            <w:vAlign w:val="bottom"/>
          </w:tcPr>
          <w:p>
            <w:pPr>
              <w:spacing w:after="0"/>
              <w:rPr>
                <w:sz w:val="10"/>
                <w:szCs w:val="10"/>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Recorded Obligations:</w:t>
            </w: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Expected environmental liabilities(a)</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Final capping, closure and post-closure</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1,776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tcPr>
          <w:p>
            <w:pPr>
              <w:ind w:left="140"/>
              <w:spacing w:after="0"/>
              <w:rPr>
                <w:sz w:val="20"/>
                <w:szCs w:val="20"/>
                <w:color w:val="auto"/>
              </w:rPr>
            </w:pPr>
            <w:r>
              <w:rPr>
                <w:rFonts w:ascii="Arial" w:cs="Arial" w:eastAsia="Arial" w:hAnsi="Arial"/>
                <w:sz w:val="13"/>
                <w:szCs w:val="13"/>
                <w:color w:val="auto"/>
              </w:rPr>
              <w:t>Environmental remediation</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3"/>
                <w:szCs w:val="13"/>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152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2"/>
              </w:rPr>
              <w:t>108</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102</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105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1,928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Debt payments(b), (c)</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1,184</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719</w:t>
            </w:r>
          </w:p>
        </w:tc>
        <w:tc>
          <w:tcPr>
            <w:tcW w:w="80" w:type="dxa"/>
            <w:vAlign w:val="bottom"/>
          </w:tcPr>
          <w:p>
            <w:pPr>
              <w:spacing w:after="0"/>
              <w:rPr>
                <w:sz w:val="13"/>
                <w:szCs w:val="13"/>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255</w:t>
            </w:r>
          </w:p>
        </w:tc>
        <w:tc>
          <w:tcPr>
            <w:tcW w:w="1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w w:val="82"/>
              </w:rPr>
              <w:t>583</w:t>
            </w:r>
          </w:p>
        </w:tc>
        <w:tc>
          <w:tcPr>
            <w:tcW w:w="8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170</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5,277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8,188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Unrecorded Obligations:(d)</w:t>
            </w: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tcPr>
          <w:p>
            <w:pPr>
              <w:ind w:left="140"/>
              <w:spacing w:after="0"/>
              <w:rPr>
                <w:sz w:val="20"/>
                <w:szCs w:val="20"/>
                <w:color w:val="auto"/>
              </w:rPr>
            </w:pPr>
            <w:r>
              <w:rPr>
                <w:rFonts w:ascii="Arial" w:cs="Arial" w:eastAsia="Arial" w:hAnsi="Arial"/>
                <w:sz w:val="13"/>
                <w:szCs w:val="13"/>
                <w:color w:val="auto"/>
              </w:rPr>
              <w:t>Non-cancelable operating lease obligations</w:t>
            </w: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3"/>
                <w:szCs w:val="13"/>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3"/>
                <w:szCs w:val="1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3"/>
                <w:szCs w:val="1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272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Estimated unconditional purchase obligations(e)</w:t>
            </w: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20" w:type="dxa"/>
            <w:vAlign w:val="bottom"/>
            <w:vMerge w:val="restart"/>
          </w:tcPr>
          <w:p>
            <w:pPr>
              <w:ind w:left="280"/>
              <w:spacing w:after="0"/>
              <w:rPr>
                <w:sz w:val="20"/>
                <w:szCs w:val="20"/>
                <w:color w:val="auto"/>
              </w:rPr>
            </w:pPr>
            <w:r>
              <w:rPr>
                <w:rFonts w:ascii="Arial" w:cs="Arial" w:eastAsia="Arial" w:hAnsi="Arial"/>
                <w:sz w:val="13"/>
                <w:szCs w:val="13"/>
                <w:color w:val="auto"/>
              </w:rPr>
              <w:t>Anticipated liquidity impact as of December 31, 2008</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020" w:type="dxa"/>
            <w:vAlign w:val="bottom"/>
            <w:vMerge w:val="continue"/>
          </w:tcPr>
          <w:p>
            <w:pPr>
              <w:spacing w:after="0"/>
              <w:rPr>
                <w:sz w:val="14"/>
                <w:szCs w:val="14"/>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1,525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1,052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486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200"/>
              <w:spacing w:after="0"/>
              <w:rPr>
                <w:sz w:val="20"/>
                <w:szCs w:val="20"/>
                <w:color w:val="auto"/>
              </w:rPr>
            </w:pPr>
            <w:r>
              <w:rPr>
                <w:rFonts w:ascii="Arial" w:cs="Arial" w:eastAsia="Arial" w:hAnsi="Arial"/>
                <w:sz w:val="13"/>
                <w:szCs w:val="13"/>
                <w:color w:val="auto"/>
                <w:w w:val="82"/>
              </w:rPr>
              <w:t>795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362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7,746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11,966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500" w:type="dxa"/>
            <w:vAlign w:val="bottom"/>
          </w:tcPr>
          <w:p>
            <w:pPr>
              <w:jc w:val="right"/>
              <w:ind w:right="394"/>
              <w:spacing w:after="0"/>
              <w:rPr>
                <w:sz w:val="20"/>
                <w:szCs w:val="20"/>
                <w:color w:val="auto"/>
              </w:rPr>
            </w:pPr>
            <w:r>
              <w:rPr>
                <w:rFonts w:ascii="Arial" w:cs="Arial" w:eastAsia="Arial" w:hAnsi="Arial"/>
                <w:sz w:val="13"/>
                <w:szCs w:val="13"/>
                <w:color w:val="auto"/>
              </w:rPr>
              <w:t>50</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2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156210</wp:posOffset>
            </wp:positionV>
            <wp:extent cx="82359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6" w:lineRule="exact"/>
        <w:rPr>
          <w:sz w:val="20"/>
          <w:szCs w:val="20"/>
          <w:color w:val="auto"/>
        </w:rPr>
      </w:pPr>
    </w:p>
    <w:p>
      <w:pPr>
        <w:ind w:left="1000" w:right="20" w:hanging="313"/>
        <w:spacing w:after="0" w:line="264" w:lineRule="auto"/>
        <w:tabs>
          <w:tab w:leader="none" w:pos="10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Environmental liabilities include final capping, closure, post-closure and environmental remediation costs. The amounts included here reflect environmental liabilities recorded in our Consolidated Balance Sheet as of December 31, 2008 without the impact of discounting and inflation. Our recorded environmental liabilities for final capping, closure and post-closure will increase as we continue to place additional tons within the permitted airspace at our landfills.</w:t>
      </w:r>
    </w:p>
    <w:p>
      <w:pPr>
        <w:spacing w:after="0" w:line="17" w:lineRule="exact"/>
        <w:rPr>
          <w:rFonts w:ascii="Arial" w:cs="Arial" w:eastAsia="Arial" w:hAnsi="Arial"/>
          <w:sz w:val="13"/>
          <w:szCs w:val="13"/>
          <w:color w:val="auto"/>
        </w:rPr>
      </w:pPr>
    </w:p>
    <w:p>
      <w:pPr>
        <w:ind w:left="1000" w:right="80" w:hanging="313"/>
        <w:spacing w:after="0" w:line="289" w:lineRule="auto"/>
        <w:tabs>
          <w:tab w:leader="none" w:pos="10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Our debt obligations as of December 31, 2008 include $347 million of fixed rate tax-exempt bonds and $40 million of tax-exempt project bonds subject to repricing within the next twelve months, which is prior to their scheduled maturities. If the re-offerings of the bonds are unsuccessful, then the bonds can be put to us, requiring immediate repayment. We have classified the anticipated cash flows for these contractual obligations based on the scheduled maturity of the borrowing for purposes of this disclosure. For additional information regarding the classification of these borrowings in our Consolidated Balance Sheet as of December 31, 2008, refer to Note 7 to the Consolidated Financial Statements.</w:t>
      </w:r>
    </w:p>
    <w:p>
      <w:pPr>
        <w:spacing w:after="0" w:line="3" w:lineRule="exact"/>
        <w:rPr>
          <w:rFonts w:ascii="Arial" w:cs="Arial" w:eastAsia="Arial" w:hAnsi="Arial"/>
          <w:sz w:val="12"/>
          <w:szCs w:val="12"/>
          <w:color w:val="auto"/>
        </w:rPr>
      </w:pPr>
    </w:p>
    <w:p>
      <w:pPr>
        <w:ind w:left="1000" w:right="100" w:hanging="313"/>
        <w:spacing w:after="0" w:line="296" w:lineRule="auto"/>
        <w:tabs>
          <w:tab w:leader="none" w:pos="10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Our recorded debt obligations include non-cash adjustments associated with discounts, premiums and fair value adjustments for interest rate hedging activities. These amounts have been excluded here because they will not result in an impact to our liquidity in future periods. In addition, $35 million of our future debt payments and related interest obligations will be made with debt service funds held in trust and included as long-term “Other assets” within our December 31, 2008 Consolidated Balance Sheet.</w:t>
      </w:r>
    </w:p>
    <w:p>
      <w:pPr>
        <w:ind w:left="1000" w:hanging="313"/>
        <w:spacing w:after="0" w:line="264" w:lineRule="auto"/>
        <w:tabs>
          <w:tab w:leader="none" w:pos="10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Our unrecorded obligations represent operating lease obligations and purchase commitments from which we expect to realize an economic benefit in future periods. We have also made certain guarantees, as discussed in Note 10 to the Consolidated Financial Statements, that we do not expect to materially affect our current or future financial position, results of operations or liquidity.</w:t>
      </w:r>
    </w:p>
    <w:p>
      <w:pPr>
        <w:spacing w:after="0" w:line="17" w:lineRule="exact"/>
        <w:rPr>
          <w:rFonts w:ascii="Arial" w:cs="Arial" w:eastAsia="Arial" w:hAnsi="Arial"/>
          <w:sz w:val="13"/>
          <w:szCs w:val="13"/>
          <w:color w:val="auto"/>
        </w:rPr>
      </w:pPr>
    </w:p>
    <w:p>
      <w:pPr>
        <w:ind w:left="1000" w:right="40" w:hanging="313"/>
        <w:spacing w:after="0" w:line="285" w:lineRule="auto"/>
        <w:tabs>
          <w:tab w:leader="none" w:pos="10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Our unconditional purchase obligations are for various contractual obligations that we generally incur in the ordinary course of our business. Certain of our obligations are quantity driven. For these contracts, we have estimated our future obligations based on the current market values of the underlying products or services. This approach has resulted in a significant decline in our reported contractual obligations associated with our waste paper purchase agreements due to the sharp decline in commodity prices late in 2008. Accordingly, the amounts reported in the table will not be indicative of our actual cash flow obligations associated with these contracts should the market prices for the recyclable commodities recover. See Note 10 to the Consolidated Financial Statements for discussion of the nature and terms of our unconditional purchase obligations.</w:t>
      </w:r>
    </w:p>
    <w:p>
      <w:pPr>
        <w:spacing w:after="0" w:line="55"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We have contingencies that are not considered reasonably likely. As a result, the impact of these contingencies has not been included in the above table. See Note 10 to the Consolidated Financial Statements for further discussion of these contingencies.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discussed in Note 8 to our Consolidated Financial Statements, we have liabilities associated with unrecognized tax benefits and related interest. These liabilities are primarily included as a component of long-term “Other liabilities” in our Consolidated Balance Sheet because the Company generally does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 xml:space="preserve">We are party to guarantee arrangements with unconsolidated entities as discussed in the </w:t>
      </w:r>
      <w:r>
        <w:rPr>
          <w:rFonts w:ascii="Arial" w:cs="Arial" w:eastAsia="Arial" w:hAnsi="Arial"/>
          <w:sz w:val="11"/>
          <w:szCs w:val="11"/>
          <w:i w:val="1"/>
          <w:iCs w:val="1"/>
          <w:color w:val="auto"/>
        </w:rPr>
        <w:t>Guarantees</w:t>
      </w:r>
      <w:r>
        <w:rPr>
          <w:rFonts w:ascii="Arial" w:cs="Arial" w:eastAsia="Arial" w:hAnsi="Arial"/>
          <w:sz w:val="11"/>
          <w:szCs w:val="11"/>
          <w:color w:val="auto"/>
        </w:rPr>
        <w:t xml:space="preserve"> section of Note 10 to the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year ended December 31, 2008 nor are they expected to have a material impact on our future financial position, results of operations or liquidity.</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 and Inflation</w:t>
      </w:r>
    </w:p>
    <w:p>
      <w:pPr>
        <w:spacing w:after="0" w:line="10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generally experienced by our Southern Group, can actually increase our revenues in the areas affected. However, for several reasons, including significant start-up costs, such revenue often generates earnings at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7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Pronouncements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157 — Fair Value Measurements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In February 2008, the FASB issued Staff Position FAS 157-2, </w:t>
      </w:r>
      <w:r>
        <w:rPr>
          <w:rFonts w:ascii="Arial" w:cs="Arial" w:eastAsia="Arial" w:hAnsi="Arial"/>
          <w:sz w:val="13"/>
          <w:szCs w:val="13"/>
          <w:i w:val="1"/>
          <w:iCs w:val="1"/>
          <w:color w:val="auto"/>
        </w:rPr>
        <w:t>Effective Date of FASB Statement No. 157</w:t>
      </w:r>
      <w:r>
        <w:rPr>
          <w:rFonts w:ascii="Arial" w:cs="Arial" w:eastAsia="Arial" w:hAnsi="Arial"/>
          <w:sz w:val="13"/>
          <w:szCs w:val="13"/>
          <w:color w:val="auto"/>
        </w:rPr>
        <w:t>, which delayed the effective date of SFAS No. 157 for all non-financial assets and non-financial liabilities, except those that are measured at fair value on a recurring basis. Accordingly, as of December 31, 2008, we have not applied the provisions of SFAS No. 157 to our asset retirement obligations, which are accounted for under the provisions of SFAS No. 143. FSP FAS 157-2 establishes January 1, 2009 as the effective date of SFAS No. 157 with respect to these fair value measurements for the Company. We do not currently expect the application of the fair value framework established by SFAS No. 157 to non-financial assets and liabilities measured on a non-recurring basis to have a material impact on our consolidated financial statements. However, we will continue to assess the potential effects of SFAS No. 157 as additional guidance becomes available.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141(R) — Business Combinations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In December 2007, the FASB issued SFAS No. 141 (revised 2007), </w:t>
      </w:r>
      <w:r>
        <w:rPr>
          <w:rFonts w:ascii="Arial" w:cs="Arial" w:eastAsia="Arial" w:hAnsi="Arial"/>
          <w:sz w:val="12"/>
          <w:szCs w:val="12"/>
          <w:i w:val="1"/>
          <w:iCs w:val="1"/>
          <w:color w:val="auto"/>
        </w:rPr>
        <w:t>Business Combinations</w:t>
      </w:r>
      <w:r>
        <w:rPr>
          <w:rFonts w:ascii="Arial" w:cs="Arial" w:eastAsia="Arial" w:hAnsi="Arial"/>
          <w:sz w:val="12"/>
          <w:szCs w:val="12"/>
          <w:color w:val="auto"/>
        </w:rPr>
        <w:t>, which establishes principles for how the acquirer recognizes and measures in the financial statements the identifiable assets acquired, the liabilities assumed, and any non-controlling interest in the acquiree. This statement also provides guidance for recognizing and measuring the goodwill acquired in the business combination and determines what information to disclose to enable users of the financial statements to evaluate the nature and financial effects of the business combination. SFAS No. 141(R) is effective for the Company beginning January 1, 2009. The portions of the statement that relate to business combinations completed before the effective date will not have a material impact on our consolidated financial statements. However, our adoption of SFAS No. 141(R) will significantly impact our accounting and reporting for future acquisitions, principally as a result of (i) expanded requirements to value acquired assets, liabilities and contingencies at their fair values; and (ii) the requirement that acquisition-related transaction and restructuring costs be expensed as incurred rather than capitalized as a part of the cost of the acquisition.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160 — Noncontrolling Interests in Consolidated Financial Statements — an amendment of ARB No. 51</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In December 2007, the FASB issued SFAS No. 160, </w:t>
      </w:r>
      <w:r>
        <w:rPr>
          <w:rFonts w:ascii="Arial" w:cs="Arial" w:eastAsia="Arial" w:hAnsi="Arial"/>
          <w:sz w:val="13"/>
          <w:szCs w:val="13"/>
          <w:i w:val="1"/>
          <w:iCs w:val="1"/>
          <w:color w:val="auto"/>
        </w:rPr>
        <w:t>Noncontrolling Interests in Consolidated Financial Statements — an amendment of ARB No. 51</w:t>
      </w:r>
      <w:r>
        <w:rPr>
          <w:rFonts w:ascii="Arial" w:cs="Arial" w:eastAsia="Arial" w:hAnsi="Arial"/>
          <w:sz w:val="13"/>
          <w:szCs w:val="13"/>
          <w:color w:val="auto"/>
        </w:rPr>
        <w:t>, which establishes accounting and reporting standards for the noncontrolling interest in a subsidiary and for the deconsolidation of a subsidiary. It states that a noncontrolling interest in a subsidiary is an ownership interest in the consolidated entity that should be reported as equity in the consolidated financial statements. SFAS No. 160 will be effective for the Company beginning January 1, 2009 and must be applied prospectively, except for the presentation and disclosure requirements, which must be applied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6" w:lineRule="auto"/>
        <w:rPr>
          <w:sz w:val="20"/>
          <w:szCs w:val="20"/>
          <w:color w:val="auto"/>
        </w:rPr>
      </w:pPr>
      <w:r>
        <w:rPr>
          <w:rFonts w:ascii="Arial" w:cs="Arial" w:eastAsia="Arial" w:hAnsi="Arial"/>
          <w:sz w:val="13"/>
          <w:szCs w:val="13"/>
          <w:color w:val="auto"/>
        </w:rPr>
        <w:t>retrospectively for all periods presented. The adoption of SFAS No. 160 will not have a material impact on our consolidated financial statements. However, it could impact our accounting for future transactions.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 About Market Risk.</w:t>
      </w:r>
    </w:p>
    <w:p>
      <w:pPr>
        <w:spacing w:after="0" w:line="100"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In the normal course of business, we are exposed to market risks, including changes in interest rates, Canadian currency rates and certain commodity prices. From time to time, we use derivatives to manage some portion of these risks. Our derivatives are agreements with independent counterparties that provide for payments based on a notional amount, with no multipliers or leverage. As of December 31, 2008, all of our derivative transactions were related to actual or anticipated economic exposures although certain transactions did not qualify for hedge accounting. We are exposed to credit risk in the event of non-performance by our derivative counterparties. However, we monitor our derivative positions by regularly evaluating our positions and the creditworthiness of the counterparties, all of whom we either consider credit-worthy, or who have issued letters of credit to support their performance.</w:t>
      </w:r>
    </w:p>
    <w:p>
      <w:pPr>
        <w:spacing w:after="0" w:line="55"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have performed sensitivity analyses to determine how market rate changes might affect the fair value of our market risk sensitive derivatives and related positions. These analyses are inherently limited because they reflect a singular, hypothetical set of assumptions. Actual market movements may vary significantly from our assumptions. The effects of market movements may also directly or indirectly affect our assumptions and our rights and obligations not covered by the sensitivity analyses. Fair value sensitivity is not necessarily indicative of the ultimate cash flow or the earnings effect from the assumed market rate movements.</w:t>
      </w:r>
    </w:p>
    <w:p>
      <w:pPr>
        <w:spacing w:after="0" w:line="70"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i w:val="1"/>
          <w:iCs w:val="1"/>
          <w:color w:val="auto"/>
        </w:rPr>
        <w:t xml:space="preserve">Interest Rate Exposure. </w:t>
      </w:r>
      <w:r>
        <w:rPr>
          <w:rFonts w:ascii="Arial" w:cs="Arial" w:eastAsia="Arial" w:hAnsi="Arial"/>
          <w:sz w:val="12"/>
          <w:szCs w:val="12"/>
          <w:color w:val="auto"/>
        </w:rPr>
        <w:t>Our exposure to market risk for changes in interest rates relates primarily to our debt obligations, which are primarily denominated in U.S. dollars. In</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 we use interest rate swaps to manage the mix of fixed and floating rate debt obligations, which directly impacts variability in interest costs. As of December 31, 2008, 33% of our total debt is at variable interest rates, compared with 34% at December 31, 2007. An instantaneous, one percentage point increase in interest rates across all maturities and applicable yield curves would have decreased the fair value of our combined debt and interest rate swap positions by approximately $595 million at December 31, 2008 and $445 million at December 31, 2007. As disclosed in Note 7 to the Consolidated Financial Statements, there have not been any material changes in the amount or type of debt or derivatives outstanding since December 31, 2007; nor has there been a material change in the extent of our exposure to variability in interest rates. Accordingly, the significant increase when comparing the effect of the one percentage point increase at December 31, 2008 with December 31, 2007 can be attributed to a substantial decline in risk-free interest rates, which are used in the discounted cash flow analysis performed to support this disclosure. This analysis does not reflect the effect that increasing interest rates would have on items other than our outstanding debt and interest rate derivatives, nor the unfavorable impact they would have on interest expense and cash payments for interest.</w:t>
      </w:r>
    </w:p>
    <w:p>
      <w:pPr>
        <w:spacing w:after="0" w:line="60" w:lineRule="exact"/>
        <w:rPr>
          <w:sz w:val="20"/>
          <w:szCs w:val="20"/>
          <w:color w:val="auto"/>
        </w:rPr>
      </w:pPr>
    </w:p>
    <w:p>
      <w:pPr>
        <w:ind w:left="680" w:right="80" w:firstLine="399"/>
        <w:spacing w:after="0" w:line="303" w:lineRule="auto"/>
        <w:rPr>
          <w:sz w:val="20"/>
          <w:szCs w:val="20"/>
          <w:color w:val="auto"/>
        </w:rPr>
      </w:pPr>
      <w:r>
        <w:rPr>
          <w:rFonts w:ascii="Arial" w:cs="Arial" w:eastAsia="Arial" w:hAnsi="Arial"/>
          <w:sz w:val="11"/>
          <w:szCs w:val="11"/>
          <w:color w:val="auto"/>
        </w:rPr>
        <w:t>We are also exposed to interest rate market risk because we have $381 million and $418 million of assets held in restricted trust funds and escrow accounts primarily included within long-term “Other assets” in our Consolidated Balance Sheets at December 31, 2008 and 2007, respectively. These assets are generally restricted for future capital expenditures and closure, post-closure and environmental remediation activities at our disposal facilities and are, therefore, invested in high quality, liquid instruments including money market accounts and</w:t>
      </w:r>
    </w:p>
    <w:p>
      <w:pPr>
        <w:ind w:left="680" w:right="120"/>
        <w:spacing w:after="0" w:line="264" w:lineRule="auto"/>
        <w:rPr>
          <w:sz w:val="20"/>
          <w:szCs w:val="20"/>
          <w:color w:val="auto"/>
        </w:rPr>
      </w:pPr>
      <w:r>
        <w:rPr>
          <w:rFonts w:ascii="Arial" w:cs="Arial" w:eastAsia="Arial" w:hAnsi="Arial"/>
          <w:sz w:val="13"/>
          <w:szCs w:val="13"/>
          <w:color w:val="auto"/>
        </w:rPr>
        <w:t>U.S. government agency debt securities. Because of the short terms to maturity of these investments, we believe that our exposure to changes in fair value due to interest rate fluctuations is insignificant.</w:t>
      </w:r>
    </w:p>
    <w:p>
      <w:pPr>
        <w:spacing w:after="0" w:line="67" w:lineRule="exact"/>
        <w:rPr>
          <w:sz w:val="20"/>
          <w:szCs w:val="20"/>
          <w:color w:val="auto"/>
        </w:rPr>
      </w:pPr>
    </w:p>
    <w:p>
      <w:pPr>
        <w:ind w:left="680" w:right="300" w:firstLine="399"/>
        <w:spacing w:after="0" w:line="260" w:lineRule="auto"/>
        <w:rPr>
          <w:sz w:val="20"/>
          <w:szCs w:val="20"/>
          <w:color w:val="auto"/>
        </w:rPr>
      </w:pPr>
      <w:r>
        <w:rPr>
          <w:rFonts w:ascii="Arial" w:cs="Arial" w:eastAsia="Arial" w:hAnsi="Arial"/>
          <w:sz w:val="13"/>
          <w:szCs w:val="13"/>
          <w:i w:val="1"/>
          <w:iCs w:val="1"/>
          <w:color w:val="auto"/>
        </w:rPr>
        <w:t xml:space="preserve">Currency Rate Exposure. </w:t>
      </w:r>
      <w:r>
        <w:rPr>
          <w:rFonts w:ascii="Arial" w:cs="Arial" w:eastAsia="Arial" w:hAnsi="Arial"/>
          <w:sz w:val="13"/>
          <w:szCs w:val="13"/>
          <w:color w:val="auto"/>
        </w:rPr>
        <w:t>From time to time, we have used currency derivatives to mitigate the impact of currency translation on cash flows of intercompany Canadian-currency</w:t>
      </w:r>
      <w:r>
        <w:rPr>
          <w:rFonts w:ascii="Arial" w:cs="Arial" w:eastAsia="Arial" w:hAnsi="Arial"/>
          <w:sz w:val="13"/>
          <w:szCs w:val="13"/>
          <w:i w:val="1"/>
          <w:iCs w:val="1"/>
          <w:color w:val="auto"/>
        </w:rPr>
        <w:t xml:space="preserve"> </w:t>
      </w:r>
      <w:r>
        <w:rPr>
          <w:rFonts w:ascii="Arial" w:cs="Arial" w:eastAsia="Arial" w:hAnsi="Arial"/>
          <w:sz w:val="13"/>
          <w:szCs w:val="13"/>
          <w:color w:val="auto"/>
        </w:rPr>
        <w:t>denominated debt transactions. Our foreign currency derivatives have not materially affected our financial position or results of operations for the periods presented. In addition, while changes in foreign currency exchange rates could significantly affect the fair value of our foreign currency derivatives, we believe these changes in fair value would not have a material impact to the Company.</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9"/>
        </w:trPr>
        <w:tc>
          <w:tcPr>
            <w:tcW w:w="1280" w:type="dxa"/>
            <w:vAlign w:val="bottom"/>
            <w:gridSpan w:val="2"/>
          </w:tcPr>
          <w:p>
            <w:pPr>
              <w:ind w:left="680"/>
              <w:spacing w:after="0"/>
              <w:rPr>
                <w:sz w:val="20"/>
                <w:szCs w:val="20"/>
                <w:color w:val="auto"/>
              </w:rPr>
            </w:pPr>
            <w:r>
              <w:rPr>
                <w:rFonts w:ascii="Arial" w:cs="Arial" w:eastAsia="Arial" w:hAnsi="Arial"/>
                <w:sz w:val="13"/>
                <w:szCs w:val="13"/>
                <w:b w:val="1"/>
                <w:bCs w:val="1"/>
                <w:color w:val="auto"/>
              </w:rPr>
              <w:t>Item 8.</w:t>
            </w:r>
          </w:p>
        </w:tc>
        <w:tc>
          <w:tcPr>
            <w:tcW w:w="9100" w:type="dxa"/>
            <w:vAlign w:val="bottom"/>
            <w:gridSpan w:val="8"/>
          </w:tcPr>
          <w:p>
            <w:pPr>
              <w:ind w:left="220"/>
              <w:spacing w:after="0"/>
              <w:rPr>
                <w:sz w:val="20"/>
                <w:szCs w:val="20"/>
                <w:color w:val="auto"/>
              </w:rPr>
            </w:pPr>
            <w:r>
              <w:rPr>
                <w:rFonts w:ascii="Arial" w:cs="Arial" w:eastAsia="Arial" w:hAnsi="Arial"/>
                <w:sz w:val="13"/>
                <w:szCs w:val="13"/>
                <w:b w:val="1"/>
                <w:bCs w:val="1"/>
                <w:i w:val="1"/>
                <w:iCs w:val="1"/>
                <w:color w:val="auto"/>
              </w:rPr>
              <w:t>Financial Statements and Supplementary Data.</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92"/>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20" w:type="dxa"/>
            <w:vAlign w:val="bottom"/>
            <w:gridSpan w:val="4"/>
          </w:tcPr>
          <w:p>
            <w:pPr>
              <w:jc w:val="center"/>
              <w:ind w:right="3280"/>
              <w:spacing w:after="0"/>
              <w:rPr>
                <w:sz w:val="20"/>
                <w:szCs w:val="20"/>
                <w:color w:val="auto"/>
              </w:rPr>
            </w:pPr>
            <w:r>
              <w:rPr>
                <w:rFonts w:ascii="Arial" w:cs="Arial" w:eastAsia="Arial" w:hAnsi="Arial"/>
                <w:sz w:val="13"/>
                <w:szCs w:val="13"/>
                <w:b w:val="1"/>
                <w:bCs w:val="1"/>
                <w:color w:val="auto"/>
              </w:rPr>
              <w:t>INDEX TO</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9"/>
        </w:trPr>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120" w:type="dxa"/>
            <w:vAlign w:val="bottom"/>
            <w:gridSpan w:val="4"/>
          </w:tcPr>
          <w:p>
            <w:pPr>
              <w:jc w:val="center"/>
              <w:ind w:right="3300"/>
              <w:spacing w:after="0"/>
              <w:rPr>
                <w:sz w:val="20"/>
                <w:szCs w:val="20"/>
                <w:color w:val="auto"/>
              </w:rPr>
            </w:pPr>
            <w:r>
              <w:rPr>
                <w:rFonts w:ascii="Arial" w:cs="Arial" w:eastAsia="Arial" w:hAnsi="Arial"/>
                <w:sz w:val="13"/>
                <w:szCs w:val="13"/>
                <w:b w:val="1"/>
                <w:bCs w:val="1"/>
                <w:color w:val="auto"/>
              </w:rPr>
              <w:t>CONSOLIDATED FINANCIAL STATEMENTS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86"/>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3580" w:type="dxa"/>
            <w:vAlign w:val="bottom"/>
            <w:tcBorders>
              <w:bottom w:val="single" w:sz="8" w:color="0000EE"/>
            </w:tcBorders>
            <w:gridSpan w:val="5"/>
          </w:tcPr>
          <w:p>
            <w:pPr>
              <w:spacing w:after="0"/>
              <w:rPr>
                <w:rFonts w:ascii="Arial" w:cs="Arial" w:eastAsia="Arial" w:hAnsi="Arial"/>
                <w:sz w:val="13"/>
                <w:szCs w:val="13"/>
                <w:color w:val="0000EE"/>
                <w:w w:val="92"/>
              </w:rPr>
            </w:pPr>
            <w:hyperlink w:anchor="page58">
              <w:r>
                <w:rPr>
                  <w:rFonts w:ascii="Arial" w:cs="Arial" w:eastAsia="Arial" w:hAnsi="Arial"/>
                  <w:sz w:val="13"/>
                  <w:szCs w:val="13"/>
                  <w:color w:val="0000EE"/>
                  <w:w w:val="92"/>
                </w:rPr>
                <w:t>Management’s Report on Internal Control Over Financial Reporting</w:t>
              </w:r>
            </w:hyperlink>
          </w:p>
        </w:tc>
        <w:tc>
          <w:tcPr>
            <w:tcW w:w="6120" w:type="dxa"/>
            <w:vAlign w:val="bottom"/>
            <w:gridSpan w:val="4"/>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9700" w:type="dxa"/>
            <w:vAlign w:val="bottom"/>
            <w:gridSpan w:val="9"/>
          </w:tcPr>
          <w:p>
            <w:pPr>
              <w:spacing w:after="0" w:line="138" w:lineRule="exact"/>
              <w:rPr>
                <w:rFonts w:ascii="Arial" w:cs="Arial" w:eastAsia="Arial" w:hAnsi="Arial"/>
                <w:sz w:val="13"/>
                <w:szCs w:val="13"/>
                <w:color w:val="0000EE"/>
              </w:rPr>
            </w:pPr>
            <w:hyperlink w:anchor="page59">
              <w:r>
                <w:rPr>
                  <w:rFonts w:ascii="Arial" w:cs="Arial" w:eastAsia="Arial" w:hAnsi="Arial"/>
                  <w:sz w:val="13"/>
                  <w:szCs w:val="13"/>
                  <w:color w:val="0000EE"/>
                </w:rPr>
                <w:t>Reports of Independent Registered Public Accounting Firm</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56</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400" w:type="dxa"/>
            <w:vAlign w:val="bottom"/>
            <w:tcBorders>
              <w:bottom w:val="single" w:sz="8" w:color="0000EE"/>
            </w:tcBorders>
            <w:gridSpan w:val="4"/>
          </w:tcPr>
          <w:p>
            <w:pPr>
              <w:spacing w:after="0" w:line="138" w:lineRule="exact"/>
              <w:rPr>
                <w:rFonts w:ascii="Arial" w:cs="Arial" w:eastAsia="Arial" w:hAnsi="Arial"/>
                <w:sz w:val="13"/>
                <w:szCs w:val="13"/>
                <w:color w:val="0000EE"/>
                <w:w w:val="89"/>
              </w:rPr>
            </w:pPr>
            <w:hyperlink w:anchor="page61">
              <w:r>
                <w:rPr>
                  <w:rFonts w:ascii="Arial" w:cs="Arial" w:eastAsia="Arial" w:hAnsi="Arial"/>
                  <w:sz w:val="13"/>
                  <w:szCs w:val="13"/>
                  <w:color w:val="0000EE"/>
                  <w:w w:val="89"/>
                </w:rPr>
                <w:t>Consolidated Balance Sheets as of December 31, 2008 and 2007</w:t>
              </w:r>
            </w:hyperlink>
          </w:p>
        </w:tc>
        <w:tc>
          <w:tcPr>
            <w:tcW w:w="6300" w:type="dxa"/>
            <w:vAlign w:val="bottom"/>
            <w:gridSpan w:val="5"/>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58</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040" w:type="dxa"/>
            <w:vAlign w:val="bottom"/>
            <w:tcBorders>
              <w:bottom w:val="single" w:sz="8" w:color="0000EE"/>
            </w:tcBorders>
            <w:gridSpan w:val="6"/>
          </w:tcPr>
          <w:p>
            <w:pPr>
              <w:spacing w:after="0" w:line="138" w:lineRule="exact"/>
              <w:rPr>
                <w:rFonts w:ascii="Arial" w:cs="Arial" w:eastAsia="Arial" w:hAnsi="Arial"/>
                <w:sz w:val="13"/>
                <w:szCs w:val="13"/>
                <w:color w:val="0000EE"/>
                <w:w w:val="89"/>
              </w:rPr>
            </w:pPr>
            <w:hyperlink w:anchor="page62">
              <w:r>
                <w:rPr>
                  <w:rFonts w:ascii="Arial" w:cs="Arial" w:eastAsia="Arial" w:hAnsi="Arial"/>
                  <w:sz w:val="13"/>
                  <w:szCs w:val="13"/>
                  <w:color w:val="0000EE"/>
                  <w:w w:val="89"/>
                </w:rPr>
                <w:t>Consolidated Statements of Operations for the Years Ended December 31, 2008, 2007 and 2006</w:t>
              </w:r>
            </w:hyperlink>
          </w:p>
        </w:tc>
        <w:tc>
          <w:tcPr>
            <w:tcW w:w="4660" w:type="dxa"/>
            <w:vAlign w:val="bottom"/>
            <w:gridSpan w:val="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08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63">
              <w:r>
                <w:rPr>
                  <w:rFonts w:ascii="Arial" w:cs="Arial" w:eastAsia="Arial" w:hAnsi="Arial"/>
                  <w:sz w:val="13"/>
                  <w:szCs w:val="13"/>
                  <w:color w:val="0000EE"/>
                  <w:w w:val="89"/>
                </w:rPr>
                <w:t>Consolidated Statements of Cash Flows for the Years Ended December 31, 2008, 2007 and 2006</w:t>
              </w:r>
            </w:hyperlink>
          </w:p>
        </w:tc>
        <w:tc>
          <w:tcPr>
            <w:tcW w:w="4620" w:type="dxa"/>
            <w:vAlign w:val="bottom"/>
            <w:gridSpan w:val="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60</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5560" w:type="dxa"/>
            <w:vAlign w:val="bottom"/>
            <w:tcBorders>
              <w:bottom w:val="single" w:sz="8" w:color="0000EE"/>
            </w:tcBorders>
            <w:gridSpan w:val="8"/>
          </w:tcPr>
          <w:p>
            <w:pPr>
              <w:spacing w:after="0" w:line="138" w:lineRule="exact"/>
              <w:rPr>
                <w:rFonts w:ascii="Arial" w:cs="Arial" w:eastAsia="Arial" w:hAnsi="Arial"/>
                <w:sz w:val="13"/>
                <w:szCs w:val="13"/>
                <w:color w:val="0000EE"/>
                <w:w w:val="90"/>
              </w:rPr>
            </w:pPr>
            <w:hyperlink w:anchor="page64">
              <w:r>
                <w:rPr>
                  <w:rFonts w:ascii="Arial" w:cs="Arial" w:eastAsia="Arial" w:hAnsi="Arial"/>
                  <w:sz w:val="13"/>
                  <w:szCs w:val="13"/>
                  <w:color w:val="0000EE"/>
                  <w:w w:val="90"/>
                </w:rPr>
                <w:t>Consolidated Statements of Stockholders’ Equity for the Years Ended December 31, 2008, 2007 and 2006</w:t>
              </w:r>
            </w:hyperlink>
          </w:p>
        </w:tc>
        <w:tc>
          <w:tcPr>
            <w:tcW w:w="414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61</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9700" w:type="dxa"/>
            <w:vAlign w:val="bottom"/>
            <w:gridSpan w:val="9"/>
          </w:tcPr>
          <w:p>
            <w:pPr>
              <w:spacing w:after="0" w:line="138" w:lineRule="exact"/>
              <w:rPr>
                <w:rFonts w:ascii="Arial" w:cs="Arial" w:eastAsia="Arial" w:hAnsi="Arial"/>
                <w:sz w:val="13"/>
                <w:szCs w:val="13"/>
                <w:color w:val="0000EE"/>
              </w:rPr>
            </w:pPr>
            <w:hyperlink w:anchor="page65">
              <w:r>
                <w:rPr>
                  <w:rFonts w:ascii="Arial" w:cs="Arial" w:eastAsia="Arial" w:hAnsi="Arial"/>
                  <w:sz w:val="13"/>
                  <w:szCs w:val="13"/>
                  <w:color w:val="0000EE"/>
                </w:rPr>
                <w:t>Notes to Consolidated Financial Statements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62</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700" w:type="dxa"/>
            <w:vAlign w:val="bottom"/>
            <w:tcBorders>
              <w:top w:val="single" w:sz="8" w:color="0000EE"/>
            </w:tcBorders>
          </w:tcPr>
          <w:p>
            <w:pPr>
              <w:spacing w:after="0"/>
              <w:rPr>
                <w:sz w:val="24"/>
                <w:szCs w:val="24"/>
                <w:color w:val="auto"/>
              </w:rPr>
            </w:pPr>
          </w:p>
        </w:tc>
        <w:tc>
          <w:tcPr>
            <w:tcW w:w="2780" w:type="dxa"/>
            <w:vAlign w:val="bottom"/>
            <w:gridSpan w:val="5"/>
          </w:tcPr>
          <w:p>
            <w:pPr>
              <w:jc w:val="center"/>
              <w:ind w:left="2554"/>
              <w:spacing w:after="0"/>
              <w:rPr>
                <w:sz w:val="20"/>
                <w:szCs w:val="20"/>
                <w:color w:val="auto"/>
              </w:rPr>
            </w:pPr>
            <w:r>
              <w:rPr>
                <w:rFonts w:ascii="Arial" w:cs="Arial" w:eastAsia="Arial" w:hAnsi="Arial"/>
                <w:sz w:val="13"/>
                <w:szCs w:val="13"/>
                <w:color w:val="auto"/>
                <w:w w:val="82"/>
              </w:rPr>
              <w:t>54</w:t>
            </w:r>
          </w:p>
        </w:tc>
        <w:tc>
          <w:tcPr>
            <w:tcW w:w="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7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1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MANAGEMENT’S REPORT ON INTERNAL CONTROL</w:t>
      </w:r>
    </w:p>
    <w:p>
      <w:pPr>
        <w:spacing w:after="0" w:line="19" w:lineRule="exact"/>
        <w:rPr>
          <w:sz w:val="20"/>
          <w:szCs w:val="20"/>
          <w:color w:val="auto"/>
        </w:rPr>
      </w:pPr>
    </w:p>
    <w:p>
      <w:pPr>
        <w:jc w:val="center"/>
        <w:ind w:right="-779"/>
        <w:spacing w:after="0"/>
        <w:rPr>
          <w:sz w:val="20"/>
          <w:szCs w:val="20"/>
          <w:color w:val="auto"/>
        </w:rPr>
      </w:pPr>
      <w:r>
        <w:rPr>
          <w:rFonts w:ascii="Arial" w:cs="Arial" w:eastAsia="Arial" w:hAnsi="Arial"/>
          <w:sz w:val="13"/>
          <w:szCs w:val="13"/>
          <w:b w:val="1"/>
          <w:bCs w:val="1"/>
          <w:color w:val="auto"/>
        </w:rPr>
        <w:t>OVER FINANCIAL REPORTING</w:t>
      </w:r>
    </w:p>
    <w:p>
      <w:pPr>
        <w:spacing w:after="0" w:line="8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Management of the Company, including the Chief Executive Officer and the Chief Financial Officer, is responsible for establishing and maintaining adequate internal control over financial reporting, as defined in Rules 13a-15(f) and 15d-15(f) of the Securities Exchange Act of 1934, as amended. Our internal controls were designed to provide reasonable assurance as to (i) the reliability of our financial reporting; (ii) the reliability of the preparation and presentation of the consolidated financial statements for external purposes in accordance with accounting principles generally accepted in the United States; and (iii) the safeguarding of assets from unauthorized use or disposition.</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conducted an evaluation of the effectiveness of our internal control over financial reporting as of December 31, 2008 based on the framework in Internal Control — Integrated Framework issued by the Committee of Sponsoring Organizations of the Treadway Commission. Through this evaluation, we did not identify any material weaknesses in our internal controls. There are inherent limitations in the effectiveness of any system of internal control over financial reporting; however, based on our evaluation, we have concluded that our internal control over financial reporting was effective as of December 31, 2008.</w:t>
      </w:r>
    </w:p>
    <w:p>
      <w:pPr>
        <w:spacing w:after="0" w:line="7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effectiveness of our internal control over financial reporting has been audited by Ernst &amp; Young LLP, an independent registered public accounting firm, as stated in their report which is included herein.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Waste Management, Inc.</w:t>
      </w:r>
    </w:p>
    <w:p>
      <w:pPr>
        <w:spacing w:after="0" w:line="96"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We have audited the accompanying consolidated balance sheets of Waste Management, Inc. (the “Company”) as of December 31, 2008 and 2007, and the related consolidated statements of operations, stockholders’ equity, and cash flows for each of the three years in the period ended December 31, 2008. These financial statements are the responsibility of the Company’s management. Our responsibility is to express an opinion on these financial statements based on our audits.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Waste Management, Inc. at December 31, 2008 and 2007, and the consolidated results of its operations and its cash flows for each of the three years in the period ended December 31, 2008, in conformity with U.S. generally accepted accounting principles.</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As discussed in Note 2 to the consolidated financial statements, effective January 1, 2007 the Company adopted Financial Accounting Standard Board (FASB) Interpretation No. 48 “Accounting for Uncertainty in Income Taxes (an interpretation of FASB Statement No. 109)” and FASB Staff Position No. FIN 48-1 “Definition of Settlement in FASB Interpretation No. 48.”</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Waste Management, Inc.’s internal control over financial reporting as of December 31, 2008, based on criteria established in Internal Control-Integrated Framework issued by the Committee of Sponsoring Organizations of the Treadway Commission and our report dated February 17, 2009 expressed an unqualified opinion thereon.</w:t>
      </w:r>
    </w:p>
    <w:p>
      <w:pPr>
        <w:spacing w:after="0" w:line="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17, 2009</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2740" w:firstLine="2747"/>
        <w:spacing w:after="0" w:line="397" w:lineRule="auto"/>
        <w:rPr>
          <w:sz w:val="20"/>
          <w:szCs w:val="20"/>
          <w:color w:val="auto"/>
        </w:rPr>
      </w:pPr>
      <w:r>
        <w:rPr>
          <w:rFonts w:ascii="Arial" w:cs="Arial" w:eastAsia="Arial" w:hAnsi="Arial"/>
          <w:sz w:val="13"/>
          <w:szCs w:val="13"/>
          <w:b w:val="1"/>
          <w:bCs w:val="1"/>
          <w:color w:val="auto"/>
        </w:rPr>
        <w:t xml:space="preserve">REPORT OF INDEPENDENT REGISTERED PUBLIC ACCOUNTING FIRM </w:t>
      </w:r>
      <w:r>
        <w:rPr>
          <w:rFonts w:ascii="Arial" w:cs="Arial" w:eastAsia="Arial" w:hAnsi="Arial"/>
          <w:sz w:val="13"/>
          <w:szCs w:val="13"/>
          <w:color w:val="auto"/>
        </w:rPr>
        <w:t>The Board of Directors and Stockholders of Waste Management, Inc.</w:t>
      </w:r>
    </w:p>
    <w:p>
      <w:pPr>
        <w:spacing w:after="0" w:line="1"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1"/>
          <w:szCs w:val="11"/>
          <w:color w:val="auto"/>
        </w:rPr>
        <w:t>We have audited Waste Management, Inc.’s internal control over financial reporting as of December 31, 2008, based on criteria established in Internal Control-Integrated Framework issued by the Committee of Sponsoring Organizations of the Treadway Commission (the COSO criteria). Waste Management,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opinion, Waste Management, Inc. maintained, in all material respects, effective internal control over financial reporting as of December 31, 2008, based on the COSO criteria.</w:t>
      </w:r>
    </w:p>
    <w:p>
      <w:pPr>
        <w:spacing w:after="0" w:line="10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Waste Management, Inc. as of December 31, 2008 and 2007, and the related consolidated statements of operations, stockholders’ equity and cash flows for each of the three years in the period ended December 31, 2008, and our report dated February 17, 2009 expressed an unqualified opinion thereon.</w:t>
      </w:r>
    </w:p>
    <w:p>
      <w:pPr>
        <w:spacing w:after="0" w:line="6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17, 2009</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 and par value amounts)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Accounts receivable, net of allowance for doubtful accounts of $39 and $46, respectively</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1,463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1,674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Parts and supplies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2,480</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Property and equipment, net of accumulated depreciation and amortization of $13,273 and $12,844, respectively</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11,402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11,351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5,406</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Other intangible assets, net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814</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20,227</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20,175</w:t>
            </w:r>
          </w:p>
        </w:tc>
        <w:tc>
          <w:tcPr>
            <w:tcW w:w="0" w:type="dxa"/>
            <w:vAlign w:val="bottom"/>
          </w:tcPr>
          <w:p>
            <w:pPr>
              <w:spacing w:after="0"/>
              <w:rPr>
                <w:sz w:val="1"/>
                <w:szCs w:val="1"/>
                <w:color w:val="auto"/>
              </w:rPr>
            </w:pPr>
          </w:p>
        </w:tc>
      </w:tr>
      <w:tr>
        <w:trPr>
          <w:trHeight w:val="128"/>
        </w:trPr>
        <w:tc>
          <w:tcPr>
            <w:tcW w:w="8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656</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Accrued liabilities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1,034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1,151</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462</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835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329</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2,598</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Long-term debt, less current portion</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7,491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8,008</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1,411</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Landfill and environmental remediation liabilities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1,360</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1,312</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744</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14,042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14,073</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Minority interest in subsidiaries and variable interest entities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56"/>
        </w:trPr>
        <w:tc>
          <w:tcPr>
            <w:tcW w:w="830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Common stock, $0.01 par value; 1,500,000,000 shares authorized; 630,282,461 shares issued</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4,542</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Retained earnings</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5,631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5,080</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Treasury stock at cost, 139,546,915 and 130,163,692 shares, respectively</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(4,381)</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(4,065)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5,792</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20,227</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20,175</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8,466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8,402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1,477</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1,432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1,238</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1,259</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11,154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11,056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11,334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2,234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Other income (expense):</w:t>
            </w: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(455)</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(478)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(551)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1,756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14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669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540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1,087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Basic earnings per common share</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2.21</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common share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300" w:type="dxa"/>
            <w:vAlign w:val="bottom"/>
            <w:vMerge w:val="restart"/>
          </w:tcPr>
          <w:p>
            <w:pPr>
              <w:spacing w:after="0"/>
              <w:rPr>
                <w:sz w:val="20"/>
                <w:szCs w:val="20"/>
                <w:color w:val="auto"/>
              </w:rPr>
            </w:pPr>
            <w:r>
              <w:rPr>
                <w:rFonts w:ascii="Arial" w:cs="Arial" w:eastAsia="Arial" w:hAnsi="Arial"/>
                <w:sz w:val="13"/>
                <w:szCs w:val="13"/>
                <w:color w:val="auto"/>
              </w:rPr>
              <w:t>Cash dividends declared per common share (2006 excludes $0.22 declared in 2005, but paid in 2006)</w:t>
            </w: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80" w:type="dxa"/>
            <w:vAlign w:val="bottom"/>
          </w:tcPr>
          <w:p>
            <w:pPr>
              <w:spacing w:after="0"/>
              <w:rPr>
                <w:sz w:val="15"/>
                <w:szCs w:val="15"/>
                <w:color w:val="auto"/>
              </w:rPr>
            </w:pPr>
          </w:p>
        </w:tc>
        <w:tc>
          <w:tcPr>
            <w:tcW w:w="7300" w:type="dxa"/>
            <w:vAlign w:val="bottom"/>
            <w:vMerge w:val="continue"/>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1.08</w:t>
            </w:r>
          </w:p>
        </w:tc>
        <w:tc>
          <w:tcPr>
            <w:tcW w:w="4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0.96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0.66</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7300" w:type="dxa"/>
            <w:vAlign w:val="bottom"/>
          </w:tcPr>
          <w:p>
            <w:pPr>
              <w:ind w:left="3740"/>
              <w:spacing w:after="0"/>
              <w:rPr>
                <w:sz w:val="20"/>
                <w:szCs w:val="20"/>
                <w:color w:val="auto"/>
              </w:rPr>
            </w:pPr>
            <w:r>
              <w:rPr>
                <w:rFonts w:ascii="Arial" w:cs="Arial" w:eastAsia="Arial" w:hAnsi="Arial"/>
                <w:sz w:val="13"/>
                <w:szCs w:val="13"/>
                <w:color w:val="auto"/>
              </w:rPr>
              <w:t>See notes to Consolidated Financial Statements.</w:t>
            </w: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300" w:type="dxa"/>
            <w:vAlign w:val="bottom"/>
          </w:tcPr>
          <w:p>
            <w:pPr>
              <w:ind w:left="4940"/>
              <w:spacing w:after="0"/>
              <w:rPr>
                <w:sz w:val="20"/>
                <w:szCs w:val="20"/>
                <w:color w:val="auto"/>
              </w:rPr>
            </w:pPr>
            <w:r>
              <w:rPr>
                <w:rFonts w:ascii="Arial" w:cs="Arial" w:eastAsia="Arial" w:hAnsi="Arial"/>
                <w:sz w:val="13"/>
                <w:szCs w:val="13"/>
                <w:color w:val="auto"/>
              </w:rPr>
              <w:t>59</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(In millions)</w:t>
      </w:r>
    </w:p>
    <w:p>
      <w:pPr>
        <w:spacing w:after="0" w:line="1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0"/>
                <w:szCs w:val="10"/>
                <w:b w:val="1"/>
                <w:bCs w:val="1"/>
                <w:color w:val="auto"/>
                <w:w w:val="93"/>
              </w:rPr>
              <w:t>Years Ended December 31,</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5"/>
              <w:spacing w:after="0" w:line="98"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5"/>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1,087</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1,163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1,149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1,238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1,259</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1,334</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 provision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7600" w:type="dxa"/>
            <w:vAlign w:val="bottom"/>
          </w:tcPr>
          <w:p>
            <w:pPr>
              <w:ind w:left="280"/>
              <w:spacing w:after="0"/>
              <w:rPr>
                <w:sz w:val="20"/>
                <w:szCs w:val="20"/>
                <w:color w:val="auto"/>
              </w:rPr>
            </w:pPr>
            <w:r>
              <w:rPr>
                <w:rFonts w:ascii="Arial" w:cs="Arial" w:eastAsia="Arial" w:hAnsi="Arial"/>
                <w:sz w:val="13"/>
                <w:szCs w:val="13"/>
                <w:color w:val="auto"/>
              </w:rPr>
              <w:t>Interest accretion on landfill liabilities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accretion on and discount rate adjustments to environmental remediation liabilities and recovery assets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7600" w:type="dxa"/>
            <w:vAlign w:val="bottom"/>
          </w:tcPr>
          <w:p>
            <w:pPr>
              <w:ind w:left="280"/>
              <w:spacing w:after="0"/>
              <w:rPr>
                <w:sz w:val="20"/>
                <w:szCs w:val="20"/>
                <w:color w:val="auto"/>
              </w:rPr>
            </w:pPr>
            <w:r>
              <w:rPr>
                <w:rFonts w:ascii="Arial" w:cs="Arial" w:eastAsia="Arial" w:hAnsi="Arial"/>
                <w:sz w:val="13"/>
                <w:szCs w:val="13"/>
                <w:color w:val="auto"/>
              </w:rPr>
              <w:t>Provision for bad debts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Equity-based compensation expense</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7600" w:type="dxa"/>
            <w:vAlign w:val="bottom"/>
          </w:tcPr>
          <w:p>
            <w:pPr>
              <w:ind w:left="280"/>
              <w:spacing w:after="0"/>
              <w:rPr>
                <w:sz w:val="20"/>
                <w:szCs w:val="20"/>
                <w:color w:val="auto"/>
              </w:rPr>
            </w:pPr>
            <w:r>
              <w:rPr>
                <w:rFonts w:ascii="Arial" w:cs="Arial" w:eastAsia="Arial" w:hAnsi="Arial"/>
                <w:sz w:val="13"/>
                <w:szCs w:val="13"/>
                <w:color w:val="auto"/>
              </w:rPr>
              <w:t>Minority interest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Equity in net losses of unconsolidated entities, net of distributions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7600" w:type="dxa"/>
            <w:vAlign w:val="bottom"/>
          </w:tcPr>
          <w:p>
            <w:pPr>
              <w:ind w:left="280"/>
              <w:spacing w:after="0"/>
              <w:rPr>
                <w:sz w:val="20"/>
                <w:szCs w:val="20"/>
                <w:color w:val="auto"/>
              </w:rPr>
            </w:pPr>
            <w:r>
              <w:rPr>
                <w:rFonts w:ascii="Arial" w:cs="Arial" w:eastAsia="Arial" w:hAnsi="Arial"/>
                <w:sz w:val="13"/>
                <w:szCs w:val="13"/>
                <w:color w:val="auto"/>
              </w:rPr>
              <w:t>Net gain from disposal of assets</w:t>
            </w:r>
          </w:p>
        </w:tc>
        <w:tc>
          <w:tcPr>
            <w:tcW w:w="12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Effect of (income) expense from divestitures, asset impairments and unusual items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7600" w:type="dxa"/>
            <w:vAlign w:val="bottom"/>
          </w:tcPr>
          <w:p>
            <w:pPr>
              <w:ind w:left="280"/>
              <w:spacing w:after="0"/>
              <w:rPr>
                <w:sz w:val="20"/>
                <w:szCs w:val="20"/>
                <w:color w:val="auto"/>
              </w:rPr>
            </w:pPr>
            <w:r>
              <w:rPr>
                <w:rFonts w:ascii="Arial" w:cs="Arial" w:eastAsia="Arial" w:hAnsi="Arial"/>
                <w:sz w:val="13"/>
                <w:szCs w:val="13"/>
                <w:color w:val="auto"/>
              </w:rPr>
              <w:t>Excess tax benefits associated with equity-based transactions</w:t>
            </w:r>
          </w:p>
        </w:tc>
        <w:tc>
          <w:tcPr>
            <w:tcW w:w="12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 in operating assets and liabilities, net of effects of acquisitions and divestitures: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400"/>
              <w:spacing w:after="0"/>
              <w:rPr>
                <w:sz w:val="20"/>
                <w:szCs w:val="20"/>
                <w:color w:val="auto"/>
              </w:rPr>
            </w:pPr>
            <w:r>
              <w:rPr>
                <w:rFonts w:ascii="Arial" w:cs="Arial" w:eastAsia="Arial" w:hAnsi="Arial"/>
                <w:sz w:val="13"/>
                <w:szCs w:val="13"/>
                <w:color w:val="auto"/>
              </w:rPr>
              <w:t>Receivables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216</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Other current assets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7600" w:type="dxa"/>
            <w:vAlign w:val="bottom"/>
          </w:tcPr>
          <w:p>
            <w:pPr>
              <w:ind w:left="400"/>
              <w:spacing w:after="0"/>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Accounts payable and accrued liabilities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7"/>
        </w:trPr>
        <w:tc>
          <w:tcPr>
            <w:tcW w:w="7600" w:type="dxa"/>
            <w:vAlign w:val="bottom"/>
          </w:tcPr>
          <w:p>
            <w:pPr>
              <w:ind w:left="400"/>
              <w:spacing w:after="0"/>
              <w:rPr>
                <w:sz w:val="20"/>
                <w:szCs w:val="20"/>
                <w:color w:val="auto"/>
              </w:rPr>
            </w:pPr>
            <w:r>
              <w:rPr>
                <w:rFonts w:ascii="Arial" w:cs="Arial" w:eastAsia="Arial" w:hAnsi="Arial"/>
                <w:sz w:val="13"/>
                <w:szCs w:val="13"/>
                <w:color w:val="auto"/>
              </w:rPr>
              <w:t>Deferred revenues and other liabilities</w:t>
            </w:r>
          </w:p>
        </w:tc>
        <w:tc>
          <w:tcPr>
            <w:tcW w:w="12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2,439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2,540</w:t>
            </w:r>
          </w:p>
        </w:tc>
        <w:tc>
          <w:tcPr>
            <w:tcW w:w="0" w:type="dxa"/>
            <w:vAlign w:val="bottom"/>
          </w:tcPr>
          <w:p>
            <w:pPr>
              <w:spacing w:after="0"/>
              <w:rPr>
                <w:sz w:val="1"/>
                <w:szCs w:val="1"/>
                <w:color w:val="auto"/>
              </w:rPr>
            </w:pPr>
          </w:p>
        </w:tc>
      </w:tr>
      <w:tr>
        <w:trPr>
          <w:trHeight w:val="156"/>
        </w:trPr>
        <w:tc>
          <w:tcPr>
            <w:tcW w:w="76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(280)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12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(1,221)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(1,211)</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(1,329)</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Purchases of short-term investments</w:t>
            </w:r>
          </w:p>
        </w:tc>
        <w:tc>
          <w:tcPr>
            <w:tcW w:w="120" w:type="dxa"/>
            <w:vAlign w:val="bottom"/>
          </w:tcPr>
          <w:p>
            <w:pPr>
              <w:spacing w:after="0"/>
              <w:rPr>
                <w:sz w:val="13"/>
                <w:szCs w:val="13"/>
                <w:color w:val="auto"/>
              </w:rPr>
            </w:pPr>
          </w:p>
        </w:tc>
        <w:tc>
          <w:tcPr>
            <w:tcW w:w="780" w:type="dxa"/>
            <w:vAlign w:val="bottom"/>
            <w:gridSpan w:val="2"/>
          </w:tcPr>
          <w:p>
            <w:pPr>
              <w:jc w:val="right"/>
              <w:ind w:right="32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(1,220)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(3,001)</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sales of short-term investments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1,404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3,123</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178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(1,183)</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(761)</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(788)</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1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New borrowings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1,525</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944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432</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Debt repayments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(1,785)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7"/>
              </w:rPr>
              <w:t>(1,200)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(932)</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Common stock repurchases</w:t>
            </w:r>
          </w:p>
        </w:tc>
        <w:tc>
          <w:tcPr>
            <w:tcW w:w="12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(410)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(1,421)</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(1,072)</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(531)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(476)</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Exercise of common stock options and warrants</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37</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Minority interest distributions paid</w:t>
            </w:r>
          </w:p>
        </w:tc>
        <w:tc>
          <w:tcPr>
            <w:tcW w:w="12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Net cash used in financing activities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3"/>
                <w:szCs w:val="13"/>
                <w:color w:val="auto"/>
              </w:rPr>
              <w:t>(1,256)</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(1,946)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(1,803)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year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year</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480</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720"/>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9"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0"/>
              </w:rPr>
              <w:t>Restricted</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20" w:type="dxa"/>
            <w:vAlign w:val="bottom"/>
          </w:tcPr>
          <w:p>
            <w:pPr>
              <w:spacing w:after="0"/>
              <w:rPr>
                <w:sz w:val="9"/>
                <w:szCs w:val="9"/>
                <w:color w:val="auto"/>
              </w:rPr>
            </w:pPr>
          </w:p>
        </w:tc>
        <w:tc>
          <w:tcPr>
            <w:tcW w:w="840" w:type="dxa"/>
            <w:vAlign w:val="bottom"/>
            <w:gridSpan w:val="3"/>
            <w:vMerge w:val="restart"/>
          </w:tcPr>
          <w:p>
            <w:pPr>
              <w:jc w:val="right"/>
              <w:ind w:right="12"/>
              <w:spacing w:after="0"/>
              <w:rPr>
                <w:sz w:val="20"/>
                <w:szCs w:val="20"/>
                <w:color w:val="auto"/>
              </w:rPr>
            </w:pPr>
            <w:r>
              <w:rPr>
                <w:rFonts w:ascii="Arial" w:cs="Arial" w:eastAsia="Arial" w:hAnsi="Arial"/>
                <w:sz w:val="9"/>
                <w:szCs w:val="9"/>
                <w:b w:val="1"/>
                <w:bCs w:val="1"/>
                <w:color w:val="auto"/>
              </w:rPr>
              <w:t>Common Stock</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9"/>
                <w:szCs w:val="9"/>
                <w:b w:val="1"/>
                <w:bCs w:val="1"/>
                <w:color w:val="auto"/>
                <w:w w:val="99"/>
              </w:rPr>
              <w:t>Additional</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8"/>
              </w:rPr>
              <w:t>Comprehensive</w:t>
            </w:r>
          </w:p>
        </w:tc>
        <w:tc>
          <w:tcPr>
            <w:tcW w:w="80" w:type="dxa"/>
            <w:vAlign w:val="bottom"/>
          </w:tcPr>
          <w:p>
            <w:pPr>
              <w:spacing w:after="0"/>
              <w:rPr>
                <w:sz w:val="9"/>
                <w:szCs w:val="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9"/>
              </w:rPr>
              <w:t>Stock</w:t>
            </w:r>
          </w:p>
        </w:tc>
        <w:tc>
          <w:tcPr>
            <w:tcW w:w="1200" w:type="dxa"/>
            <w:vAlign w:val="bottom"/>
            <w:gridSpan w:val="5"/>
            <w:vMerge w:val="restart"/>
          </w:tcPr>
          <w:p>
            <w:pPr>
              <w:jc w:val="right"/>
              <w:ind w:right="400"/>
              <w:spacing w:after="0"/>
              <w:rPr>
                <w:sz w:val="20"/>
                <w:szCs w:val="20"/>
                <w:color w:val="auto"/>
              </w:rPr>
            </w:pPr>
            <w:r>
              <w:rPr>
                <w:rFonts w:ascii="Arial" w:cs="Arial" w:eastAsia="Arial" w:hAnsi="Arial"/>
                <w:sz w:val="9"/>
                <w:szCs w:val="9"/>
                <w:b w:val="1"/>
                <w:bCs w:val="1"/>
                <w:color w:val="auto"/>
              </w:rPr>
              <w:t>Treasury Stock</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42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300"/>
              <w:spacing w:after="0" w:line="102" w:lineRule="exact"/>
              <w:rPr>
                <w:sz w:val="20"/>
                <w:szCs w:val="20"/>
                <w:color w:val="auto"/>
              </w:rPr>
            </w:pPr>
            <w:r>
              <w:rPr>
                <w:rFonts w:ascii="Arial" w:cs="Arial" w:eastAsia="Arial" w:hAnsi="Arial"/>
                <w:sz w:val="9"/>
                <w:szCs w:val="9"/>
                <w:b w:val="1"/>
                <w:bCs w:val="1"/>
                <w:color w:val="auto"/>
                <w:w w:val="99"/>
              </w:rPr>
              <w:t>Paid-In</w:t>
            </w:r>
          </w:p>
        </w:tc>
        <w:tc>
          <w:tcPr>
            <w:tcW w:w="580" w:type="dxa"/>
            <w:vAlign w:val="bottom"/>
            <w:gridSpan w:val="3"/>
          </w:tcPr>
          <w:p>
            <w:pPr>
              <w:jc w:val="right"/>
              <w:ind w:right="220"/>
              <w:spacing w:after="0" w:line="102" w:lineRule="exact"/>
              <w:rPr>
                <w:sz w:val="20"/>
                <w:szCs w:val="20"/>
                <w:color w:val="auto"/>
              </w:rPr>
            </w:pPr>
            <w:r>
              <w:rPr>
                <w:rFonts w:ascii="Arial" w:cs="Arial" w:eastAsia="Arial" w:hAnsi="Arial"/>
                <w:sz w:val="9"/>
                <w:szCs w:val="9"/>
                <w:b w:val="1"/>
                <w:bCs w:val="1"/>
                <w:color w:val="auto"/>
                <w:w w:val="89"/>
              </w:rPr>
              <w:t>Retained</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88"/>
              </w:rPr>
              <w:t>Income</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96"/>
              </w:rPr>
              <w:t>Unearned</w:t>
            </w:r>
          </w:p>
        </w:tc>
        <w:tc>
          <w:tcPr>
            <w:tcW w:w="120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180"/>
              <w:spacing w:after="0" w:line="102" w:lineRule="exact"/>
              <w:rPr>
                <w:sz w:val="20"/>
                <w:szCs w:val="20"/>
                <w:color w:val="auto"/>
              </w:rPr>
            </w:pPr>
            <w:r>
              <w:rPr>
                <w:rFonts w:ascii="Arial" w:cs="Arial" w:eastAsia="Arial" w:hAnsi="Arial"/>
                <w:sz w:val="9"/>
                <w:szCs w:val="9"/>
                <w:b w:val="1"/>
                <w:bCs w:val="1"/>
                <w:color w:val="auto"/>
                <w:w w:val="91"/>
              </w:rPr>
              <w:t>Comprehensive</w:t>
            </w:r>
          </w:p>
        </w:tc>
        <w:tc>
          <w:tcPr>
            <w:tcW w:w="0" w:type="dxa"/>
            <w:vAlign w:val="bottom"/>
          </w:tcPr>
          <w:p>
            <w:pPr>
              <w:spacing w:after="0"/>
              <w:rPr>
                <w:sz w:val="1"/>
                <w:szCs w:val="1"/>
                <w:color w:val="auto"/>
              </w:rPr>
            </w:pPr>
          </w:p>
        </w:tc>
      </w:tr>
      <w:tr>
        <w:trPr>
          <w:trHeight w:val="88"/>
        </w:trPr>
        <w:tc>
          <w:tcPr>
            <w:tcW w:w="3420" w:type="dxa"/>
            <w:vAlign w:val="bottom"/>
          </w:tcPr>
          <w:p>
            <w:pPr>
              <w:spacing w:after="0"/>
              <w:rPr>
                <w:sz w:val="7"/>
                <w:szCs w:val="7"/>
                <w:color w:val="auto"/>
              </w:rPr>
            </w:pPr>
          </w:p>
        </w:tc>
        <w:tc>
          <w:tcPr>
            <w:tcW w:w="600" w:type="dxa"/>
            <w:vAlign w:val="bottom"/>
            <w:tcBorders>
              <w:top w:val="single" w:sz="8" w:color="auto"/>
            </w:tcBorders>
            <w:gridSpan w:val="2"/>
          </w:tcPr>
          <w:p>
            <w:pPr>
              <w:jc w:val="right"/>
              <w:ind w:right="26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99"/>
              </w:rPr>
              <w:t>Capital</w:t>
            </w:r>
          </w:p>
        </w:tc>
        <w:tc>
          <w:tcPr>
            <w:tcW w:w="580" w:type="dxa"/>
            <w:vAlign w:val="bottom"/>
            <w:gridSpan w:val="3"/>
          </w:tcPr>
          <w:p>
            <w:pPr>
              <w:ind w:left="20"/>
              <w:spacing w:after="0" w:line="88" w:lineRule="exact"/>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7"/>
                <w:szCs w:val="7"/>
                <w:color w:val="auto"/>
              </w:rPr>
            </w:pPr>
          </w:p>
        </w:tc>
        <w:tc>
          <w:tcPr>
            <w:tcW w:w="920" w:type="dxa"/>
            <w:vAlign w:val="bottom"/>
            <w:gridSpan w:val="2"/>
          </w:tcPr>
          <w:p>
            <w:pPr>
              <w:jc w:val="center"/>
              <w:ind w:right="280"/>
              <w:spacing w:after="0" w:line="88" w:lineRule="exact"/>
              <w:rPr>
                <w:sz w:val="20"/>
                <w:szCs w:val="20"/>
                <w:color w:val="auto"/>
              </w:rPr>
            </w:pPr>
            <w:r>
              <w:rPr>
                <w:rFonts w:ascii="Arial" w:cs="Arial" w:eastAsia="Arial" w:hAnsi="Arial"/>
                <w:sz w:val="9"/>
                <w:szCs w:val="9"/>
                <w:b w:val="1"/>
                <w:bCs w:val="1"/>
                <w:color w:val="auto"/>
                <w:w w:val="88"/>
              </w:rPr>
              <w:t>(Loss)</w:t>
            </w:r>
          </w:p>
        </w:tc>
        <w:tc>
          <w:tcPr>
            <w:tcW w:w="80" w:type="dxa"/>
            <w:vAlign w:val="bottom"/>
          </w:tcPr>
          <w:p>
            <w:pPr>
              <w:spacing w:after="0"/>
              <w:rPr>
                <w:sz w:val="7"/>
                <w:szCs w:val="7"/>
                <w:color w:val="auto"/>
              </w:rPr>
            </w:pPr>
          </w:p>
        </w:tc>
        <w:tc>
          <w:tcPr>
            <w:tcW w:w="920" w:type="dxa"/>
            <w:vAlign w:val="bottom"/>
            <w:gridSpan w:val="2"/>
          </w:tcPr>
          <w:p>
            <w:pPr>
              <w:jc w:val="center"/>
              <w:ind w:right="280"/>
              <w:spacing w:after="0" w:line="88" w:lineRule="exact"/>
              <w:rPr>
                <w:sz w:val="20"/>
                <w:szCs w:val="20"/>
                <w:color w:val="auto"/>
              </w:rPr>
            </w:pPr>
            <w:r>
              <w:rPr>
                <w:rFonts w:ascii="Arial" w:cs="Arial" w:eastAsia="Arial" w:hAnsi="Arial"/>
                <w:sz w:val="9"/>
                <w:szCs w:val="9"/>
                <w:b w:val="1"/>
                <w:bCs w:val="1"/>
                <w:color w:val="auto"/>
                <w:w w:val="89"/>
              </w:rPr>
              <w:t>Compensation</w:t>
            </w:r>
          </w:p>
        </w:tc>
        <w:tc>
          <w:tcPr>
            <w:tcW w:w="620" w:type="dxa"/>
            <w:vAlign w:val="bottom"/>
            <w:tcBorders>
              <w:top w:val="single" w:sz="8" w:color="auto"/>
            </w:tcBorders>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92"/>
              </w:rPr>
              <w:t>Amounts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tcPr>
          <w:p>
            <w:pPr>
              <w:jc w:val="right"/>
              <w:ind w:right="340"/>
              <w:spacing w:after="0" w:line="88" w:lineRule="exact"/>
              <w:rPr>
                <w:sz w:val="20"/>
                <w:szCs w:val="20"/>
                <w:color w:val="auto"/>
              </w:rPr>
            </w:pPr>
            <w:r>
              <w:rPr>
                <w:rFonts w:ascii="Arial" w:cs="Arial" w:eastAsia="Arial" w:hAnsi="Arial"/>
                <w:sz w:val="9"/>
                <w:szCs w:val="9"/>
                <w:b w:val="1"/>
                <w:bCs w:val="1"/>
                <w:color w:val="auto"/>
              </w:rPr>
              <w:t>Income</w:t>
            </w:r>
          </w:p>
        </w:tc>
        <w:tc>
          <w:tcPr>
            <w:tcW w:w="0" w:type="dxa"/>
            <w:vAlign w:val="bottom"/>
          </w:tcPr>
          <w:p>
            <w:pPr>
              <w:spacing w:after="0"/>
              <w:rPr>
                <w:sz w:val="1"/>
                <w:szCs w:val="1"/>
                <w:color w:val="auto"/>
              </w:rPr>
            </w:pPr>
          </w:p>
        </w:tc>
      </w:tr>
      <w:tr>
        <w:trPr>
          <w:trHeight w:val="29"/>
        </w:trPr>
        <w:tc>
          <w:tcPr>
            <w:tcW w:w="34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2005</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630,282</w:t>
            </w:r>
          </w:p>
        </w:tc>
        <w:tc>
          <w:tcPr>
            <w:tcW w:w="240" w:type="dxa"/>
            <w:vAlign w:val="bottom"/>
            <w:shd w:val="clear" w:color="auto" w:fill="CCEEFF"/>
          </w:tcPr>
          <w:p>
            <w:pPr>
              <w:jc w:val="right"/>
              <w:ind w:right="172"/>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4,486</w:t>
            </w:r>
          </w:p>
        </w:tc>
        <w:tc>
          <w:tcPr>
            <w:tcW w:w="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3,615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126</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(2)</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(78,029)</w:t>
            </w:r>
          </w:p>
        </w:tc>
        <w:tc>
          <w:tcPr>
            <w:tcW w:w="100" w:type="dxa"/>
            <w:vAlign w:val="bottom"/>
            <w:shd w:val="clear" w:color="auto" w:fill="CCEEFF"/>
          </w:tcPr>
          <w:p>
            <w:pPr>
              <w:jc w:val="right"/>
              <w:ind w:right="32"/>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(2,110)</w:t>
            </w: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Net income</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1,149</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1,149</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dividends declared</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(355)</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Cash dividends adjustment</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Equity-based compensation transactions, net of taxes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24</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11,483</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321</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Common stock repurchases</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(30,965)</w:t>
            </w:r>
          </w:p>
        </w:tc>
        <w:tc>
          <w:tcPr>
            <w:tcW w:w="100" w:type="dxa"/>
            <w:vAlign w:val="bottom"/>
          </w:tcPr>
          <w:p>
            <w:pPr>
              <w:spacing w:after="0"/>
              <w:rPr>
                <w:sz w:val="8"/>
                <w:szCs w:val="8"/>
                <w:color w:val="auto"/>
              </w:rPr>
            </w:pPr>
          </w:p>
        </w:tc>
        <w:tc>
          <w:tcPr>
            <w:tcW w:w="48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(1,073)</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42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Unrealized loss resulting from changes in fair values of derivative instruments, net of</w:t>
            </w:r>
          </w:p>
        </w:tc>
        <w:tc>
          <w:tcPr>
            <w:tcW w:w="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420" w:type="dxa"/>
            <w:vAlign w:val="bottom"/>
            <w:shd w:val="clear" w:color="auto" w:fill="CCEEFF"/>
          </w:tcPr>
          <w:p>
            <w:pPr>
              <w:ind w:left="100"/>
              <w:spacing w:after="0"/>
              <w:rPr>
                <w:sz w:val="20"/>
                <w:szCs w:val="20"/>
                <w:color w:val="auto"/>
              </w:rPr>
            </w:pPr>
            <w:r>
              <w:rPr>
                <w:rFonts w:ascii="Arial" w:cs="Arial" w:eastAsia="Arial" w:hAnsi="Arial"/>
                <w:sz w:val="9"/>
                <w:szCs w:val="9"/>
                <w:color w:val="auto"/>
              </w:rPr>
              <w:t>taxes of $7</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9"/>
                <w:szCs w:val="9"/>
                <w:color w:val="auto"/>
              </w:rPr>
              <w:t>(11)</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w w:val="99"/>
              </w:rPr>
              <w:t>Realized losses on derivative instruments reclassified into earnings, net of taxes of $3</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Unrealized gain on marketable securities, net of taxes of $3</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Translation adjustment of foreign currency statements</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Underfunded post-retirement benefit obligations, net of taxes of $3</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Other</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w:t>
            </w:r>
          </w:p>
        </w:tc>
        <w:tc>
          <w:tcPr>
            <w:tcW w:w="12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912</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26</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2006</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630,282</w:t>
            </w:r>
          </w:p>
        </w:tc>
        <w:tc>
          <w:tcPr>
            <w:tcW w:w="240" w:type="dxa"/>
            <w:vAlign w:val="bottom"/>
            <w:shd w:val="clear" w:color="auto" w:fill="CCEEFF"/>
          </w:tcPr>
          <w:p>
            <w:pPr>
              <w:jc w:val="right"/>
              <w:ind w:right="172"/>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4,513</w:t>
            </w:r>
          </w:p>
        </w:tc>
        <w:tc>
          <w:tcPr>
            <w:tcW w:w="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4,410</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129</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(96,599)</w:t>
            </w:r>
          </w:p>
        </w:tc>
        <w:tc>
          <w:tcPr>
            <w:tcW w:w="100" w:type="dxa"/>
            <w:vAlign w:val="bottom"/>
            <w:shd w:val="clear" w:color="auto" w:fill="CCEEFF"/>
          </w:tcPr>
          <w:p>
            <w:pPr>
              <w:jc w:val="right"/>
              <w:ind w:right="32"/>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(2,836)</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1,151</w:t>
            </w:r>
          </w:p>
        </w:tc>
        <w:tc>
          <w:tcPr>
            <w:tcW w:w="0" w:type="dxa"/>
            <w:vAlign w:val="bottom"/>
          </w:tcPr>
          <w:p>
            <w:pPr>
              <w:spacing w:after="0"/>
              <w:rPr>
                <w:sz w:val="1"/>
                <w:szCs w:val="1"/>
                <w:color w:val="auto"/>
              </w:rPr>
            </w:pPr>
          </w:p>
        </w:tc>
      </w:tr>
      <w:tr>
        <w:trPr>
          <w:trHeight w:val="108"/>
        </w:trPr>
        <w:tc>
          <w:tcPr>
            <w:tcW w:w="3420" w:type="dxa"/>
            <w:vAlign w:val="bottom"/>
          </w:tcPr>
          <w:p>
            <w:pPr>
              <w:spacing w:after="0"/>
              <w:rPr>
                <w:sz w:val="20"/>
                <w:szCs w:val="20"/>
                <w:color w:val="auto"/>
              </w:rPr>
            </w:pPr>
            <w:r>
              <w:rPr>
                <w:rFonts w:ascii="Arial" w:cs="Arial" w:eastAsia="Arial" w:hAnsi="Arial"/>
                <w:sz w:val="9"/>
                <w:szCs w:val="9"/>
                <w:color w:val="auto"/>
              </w:rPr>
              <w:t>Net income</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9"/>
                <w:szCs w:val="9"/>
                <w:color w:val="auto"/>
              </w:rPr>
              <w:t>1,163</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1,163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dividends declared</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(495)</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Equity-based compensation transactions, including dividend equivalents, net of taxes</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30</w:t>
            </w:r>
          </w:p>
        </w:tc>
        <w:tc>
          <w:tcPr>
            <w:tcW w:w="12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6,067</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182</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Common stock repurchases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(39,946)</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(1,421)</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420" w:type="dxa"/>
            <w:vAlign w:val="bottom"/>
          </w:tcPr>
          <w:p>
            <w:pPr>
              <w:spacing w:after="0" w:line="88" w:lineRule="exact"/>
              <w:rPr>
                <w:sz w:val="20"/>
                <w:szCs w:val="20"/>
                <w:color w:val="auto"/>
              </w:rPr>
            </w:pPr>
            <w:r>
              <w:rPr>
                <w:rFonts w:ascii="Arial" w:cs="Arial" w:eastAsia="Arial" w:hAnsi="Arial"/>
                <w:sz w:val="9"/>
                <w:szCs w:val="9"/>
                <w:color w:val="auto"/>
              </w:rPr>
              <w:t>Unrealized loss resulting from changes in fair values of derivative instruments, net of</w:t>
            </w: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420" w:type="dxa"/>
            <w:vAlign w:val="bottom"/>
          </w:tcPr>
          <w:p>
            <w:pPr>
              <w:ind w:left="100"/>
              <w:spacing w:after="0"/>
              <w:rPr>
                <w:sz w:val="20"/>
                <w:szCs w:val="20"/>
                <w:color w:val="auto"/>
              </w:rPr>
            </w:pPr>
            <w:r>
              <w:rPr>
                <w:rFonts w:ascii="Arial" w:cs="Arial" w:eastAsia="Arial" w:hAnsi="Arial"/>
                <w:sz w:val="9"/>
                <w:szCs w:val="9"/>
                <w:color w:val="auto"/>
              </w:rPr>
              <w:t>taxes of $22</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9"/>
                <w:szCs w:val="9"/>
                <w:color w:val="auto"/>
              </w:rPr>
              <w:t>(34)</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9"/>
                <w:szCs w:val="9"/>
                <w:color w:val="auto"/>
              </w:rPr>
              <w:t>(34)</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98"/>
              </w:rPr>
              <w:t>Realized losses on derivative instruments reclassified into earnings, net of taxes of $30</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47</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Unrealized loss on marketable securities, net of taxes of $3</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(5)</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Translation adjustment of foreign currency statements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89</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89</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Change in funded status of defined benefit plan liabilities, net of taxes of $3</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Cumulative effect of change in accounting principle</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Other</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(1)</w:t>
            </w:r>
          </w:p>
        </w:tc>
        <w:tc>
          <w:tcPr>
            <w:tcW w:w="12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314</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10</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2007</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630,282</w:t>
            </w:r>
          </w:p>
        </w:tc>
        <w:tc>
          <w:tcPr>
            <w:tcW w:w="240" w:type="dxa"/>
            <w:vAlign w:val="bottom"/>
            <w:shd w:val="clear" w:color="auto" w:fill="CCEEFF"/>
          </w:tcPr>
          <w:p>
            <w:pPr>
              <w:jc w:val="right"/>
              <w:ind w:right="172"/>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4,542</w:t>
            </w:r>
          </w:p>
        </w:tc>
        <w:tc>
          <w:tcPr>
            <w:tcW w:w="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5,080</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229</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(130,164)</w:t>
            </w:r>
          </w:p>
        </w:tc>
        <w:tc>
          <w:tcPr>
            <w:tcW w:w="100" w:type="dxa"/>
            <w:vAlign w:val="bottom"/>
            <w:shd w:val="clear" w:color="auto" w:fill="CCEEFF"/>
          </w:tcPr>
          <w:p>
            <w:pPr>
              <w:jc w:val="right"/>
              <w:ind w:right="32"/>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(4,065)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1,263</w:t>
            </w:r>
          </w:p>
        </w:tc>
        <w:tc>
          <w:tcPr>
            <w:tcW w:w="0" w:type="dxa"/>
            <w:vAlign w:val="bottom"/>
          </w:tcPr>
          <w:p>
            <w:pPr>
              <w:spacing w:after="0"/>
              <w:rPr>
                <w:sz w:val="1"/>
                <w:szCs w:val="1"/>
                <w:color w:val="auto"/>
              </w:rPr>
            </w:pPr>
          </w:p>
        </w:tc>
      </w:tr>
      <w:tr>
        <w:trPr>
          <w:trHeight w:val="108"/>
        </w:trPr>
        <w:tc>
          <w:tcPr>
            <w:tcW w:w="3420" w:type="dxa"/>
            <w:vAlign w:val="bottom"/>
          </w:tcPr>
          <w:p>
            <w:pPr>
              <w:spacing w:after="0"/>
              <w:rPr>
                <w:sz w:val="20"/>
                <w:szCs w:val="20"/>
                <w:color w:val="auto"/>
              </w:rPr>
            </w:pPr>
            <w:r>
              <w:rPr>
                <w:rFonts w:ascii="Arial" w:cs="Arial" w:eastAsia="Arial" w:hAnsi="Arial"/>
                <w:sz w:val="9"/>
                <w:szCs w:val="9"/>
                <w:color w:val="auto"/>
              </w:rPr>
              <w:t>Net income</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9"/>
                <w:szCs w:val="9"/>
                <w:color w:val="auto"/>
              </w:rPr>
              <w:t>1,087</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1,087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Cash dividends declared</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(531)</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Equity-based compensation transactions, including dividend equivalents, net of taxes</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16</w:t>
            </w:r>
          </w:p>
        </w:tc>
        <w:tc>
          <w:tcPr>
            <w:tcW w:w="120" w:type="dxa"/>
            <w:vAlign w:val="bottom"/>
          </w:tcPr>
          <w:p>
            <w:pPr>
              <w:spacing w:after="0"/>
              <w:rPr>
                <w:sz w:val="8"/>
                <w:szCs w:val="8"/>
                <w:color w:val="auto"/>
              </w:rPr>
            </w:pPr>
          </w:p>
        </w:tc>
        <w:tc>
          <w:tcPr>
            <w:tcW w:w="46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(4)</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2,995</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94</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Common stock repurchases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(12,390)</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(410)</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3420" w:type="dxa"/>
            <w:vAlign w:val="bottom"/>
          </w:tcPr>
          <w:p>
            <w:pPr>
              <w:spacing w:after="0" w:line="88" w:lineRule="exact"/>
              <w:rPr>
                <w:sz w:val="20"/>
                <w:szCs w:val="20"/>
                <w:color w:val="auto"/>
              </w:rPr>
            </w:pPr>
            <w:r>
              <w:rPr>
                <w:rFonts w:ascii="Arial" w:cs="Arial" w:eastAsia="Arial" w:hAnsi="Arial"/>
                <w:sz w:val="9"/>
                <w:szCs w:val="9"/>
                <w:color w:val="auto"/>
              </w:rPr>
              <w:t>Unrealized gain resulting from changes in fair values of derivative instruments, net of</w:t>
            </w: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420" w:type="dxa"/>
            <w:vAlign w:val="bottom"/>
          </w:tcPr>
          <w:p>
            <w:pPr>
              <w:ind w:left="100"/>
              <w:spacing w:after="0"/>
              <w:rPr>
                <w:sz w:val="20"/>
                <w:szCs w:val="20"/>
                <w:color w:val="auto"/>
              </w:rPr>
            </w:pPr>
            <w:r>
              <w:rPr>
                <w:rFonts w:ascii="Arial" w:cs="Arial" w:eastAsia="Arial" w:hAnsi="Arial"/>
                <w:sz w:val="9"/>
                <w:szCs w:val="9"/>
                <w:color w:val="auto"/>
              </w:rPr>
              <w:t>taxes of $25</w:t>
            </w:r>
          </w:p>
        </w:tc>
        <w:tc>
          <w:tcPr>
            <w:tcW w:w="60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40</w:t>
            </w:r>
          </w:p>
        </w:tc>
        <w:tc>
          <w:tcPr>
            <w:tcW w:w="80" w:type="dxa"/>
            <w:vAlign w:val="bottom"/>
          </w:tcPr>
          <w:p>
            <w:pPr>
              <w:spacing w:after="0"/>
              <w:rPr>
                <w:sz w:val="9"/>
                <w:szCs w:val="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9"/>
                <w:szCs w:val="9"/>
                <w:color w:val="auto"/>
              </w:rPr>
              <w:t>40</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99"/>
              </w:rPr>
              <w:t>Realized gains on derivative instruments reclassified into earnings, net of taxes of $24</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(39)</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(39)</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Unrealized loss on marketable securities, net of taxes of $4</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(7)</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(7)</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Translation adjustment of foreign currency statements</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(127)</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(127)</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Change in funded status of defined benefit plan liabilities, net of taxes of $5</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160"/>
              <w:spacing w:after="0" w:line="98" w:lineRule="exact"/>
              <w:rPr>
                <w:sz w:val="20"/>
                <w:szCs w:val="20"/>
                <w:color w:val="auto"/>
              </w:rPr>
            </w:pPr>
            <w:r>
              <w:rPr>
                <w:rFonts w:ascii="Arial" w:cs="Arial" w:eastAsia="Arial" w:hAnsi="Arial"/>
                <w:sz w:val="9"/>
                <w:szCs w:val="9"/>
                <w:color w:val="auto"/>
              </w:rPr>
              <w:t>(8)</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Cumulative effect of change in accounting principle</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420" w:type="dxa"/>
            <w:vAlign w:val="bottom"/>
          </w:tcPr>
          <w:p>
            <w:pPr>
              <w:spacing w:after="0" w:line="98" w:lineRule="exact"/>
              <w:rPr>
                <w:sz w:val="20"/>
                <w:szCs w:val="20"/>
                <w:color w:val="auto"/>
              </w:rPr>
            </w:pPr>
            <w:r>
              <w:rPr>
                <w:rFonts w:ascii="Arial" w:cs="Arial" w:eastAsia="Arial" w:hAnsi="Arial"/>
                <w:sz w:val="9"/>
                <w:szCs w:val="9"/>
                <w:color w:val="auto"/>
              </w:rPr>
              <w:t>Other</w:t>
            </w:r>
          </w:p>
        </w:tc>
        <w:tc>
          <w:tcPr>
            <w:tcW w:w="60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8"/>
                <w:szCs w:val="8"/>
                <w:color w:val="auto"/>
              </w:rPr>
            </w:pPr>
          </w:p>
        </w:tc>
        <w:tc>
          <w:tcPr>
            <w:tcW w:w="34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6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12</w:t>
            </w:r>
          </w:p>
        </w:tc>
        <w:tc>
          <w:tcPr>
            <w:tcW w:w="100" w:type="dxa"/>
            <w:vAlign w:val="bottom"/>
          </w:tcPr>
          <w:p>
            <w:pPr>
              <w:spacing w:after="0"/>
              <w:rPr>
                <w:sz w:val="8"/>
                <w:szCs w:val="8"/>
                <w:color w:val="auto"/>
              </w:rPr>
            </w:pPr>
          </w:p>
        </w:tc>
        <w:tc>
          <w:tcPr>
            <w:tcW w:w="480" w:type="dxa"/>
            <w:vAlign w:val="bottom"/>
            <w:gridSpan w:val="2"/>
          </w:tcPr>
          <w:p>
            <w:pPr>
              <w:jc w:val="right"/>
              <w:ind w:right="1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4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Balance, December 31, 2008</w:t>
            </w:r>
          </w:p>
        </w:tc>
        <w:tc>
          <w:tcPr>
            <w:tcW w:w="60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630,282</w:t>
            </w:r>
          </w:p>
        </w:tc>
        <w:tc>
          <w:tcPr>
            <w:tcW w:w="240" w:type="dxa"/>
            <w:vAlign w:val="bottom"/>
            <w:shd w:val="clear" w:color="auto" w:fill="CCEEFF"/>
          </w:tcPr>
          <w:p>
            <w:pPr>
              <w:jc w:val="right"/>
              <w:ind w:right="172"/>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6</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4,558</w:t>
            </w:r>
          </w:p>
        </w:tc>
        <w:tc>
          <w:tcPr>
            <w:tcW w:w="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5,631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88</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2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(139,547)</w:t>
            </w:r>
          </w:p>
        </w:tc>
        <w:tc>
          <w:tcPr>
            <w:tcW w:w="100" w:type="dxa"/>
            <w:vAlign w:val="bottom"/>
            <w:shd w:val="clear" w:color="auto" w:fill="CCEEFF"/>
          </w:tcPr>
          <w:p>
            <w:pPr>
              <w:jc w:val="right"/>
              <w:ind w:right="32"/>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60"/>
              <w:spacing w:after="0" w:line="98" w:lineRule="exact"/>
              <w:rPr>
                <w:sz w:val="20"/>
                <w:szCs w:val="20"/>
                <w:color w:val="auto"/>
              </w:rPr>
            </w:pPr>
            <w:r>
              <w:rPr>
                <w:rFonts w:ascii="Arial" w:cs="Arial" w:eastAsia="Arial" w:hAnsi="Arial"/>
                <w:sz w:val="9"/>
                <w:szCs w:val="9"/>
                <w:color w:val="auto"/>
              </w:rPr>
              <w:t>(4,381)</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946</w:t>
            </w:r>
          </w:p>
        </w:tc>
        <w:tc>
          <w:tcPr>
            <w:tcW w:w="0" w:type="dxa"/>
            <w:vAlign w:val="bottom"/>
          </w:tcPr>
          <w:p>
            <w:pPr>
              <w:spacing w:after="0"/>
              <w:rPr>
                <w:sz w:val="1"/>
                <w:szCs w:val="1"/>
                <w:color w:val="auto"/>
              </w:rPr>
            </w:pPr>
          </w:p>
        </w:tc>
      </w:tr>
      <w:tr>
        <w:trPr>
          <w:trHeight w:val="29"/>
        </w:trPr>
        <w:tc>
          <w:tcPr>
            <w:tcW w:w="3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ind w:left="4360"/>
        <w:spacing w:after="0"/>
        <w:rPr>
          <w:sz w:val="20"/>
          <w:szCs w:val="20"/>
          <w:color w:val="auto"/>
        </w:rPr>
      </w:pPr>
      <w:r>
        <w:rPr>
          <w:rFonts w:ascii="Arial" w:cs="Arial" w:eastAsia="Arial" w:hAnsi="Arial"/>
          <w:sz w:val="13"/>
          <w:szCs w:val="13"/>
          <w:b w:val="1"/>
          <w:bCs w:val="1"/>
          <w:color w:val="auto"/>
        </w:rPr>
        <w:t>Years ended December 31, 2008, 2007 and 2006</w:t>
      </w:r>
    </w:p>
    <w:p>
      <w:pPr>
        <w:spacing w:after="0" w:line="163" w:lineRule="exact"/>
        <w:rPr>
          <w:sz w:val="20"/>
          <w:szCs w:val="20"/>
          <w:color w:val="auto"/>
        </w:rPr>
      </w:pPr>
    </w:p>
    <w:p>
      <w:pPr>
        <w:ind w:left="1000" w:hanging="313"/>
        <w:spacing w:after="0"/>
        <w:tabs>
          <w:tab w:leader="none" w:pos="1000"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Business</w:t>
      </w:r>
    </w:p>
    <w:p>
      <w:pPr>
        <w:spacing w:after="0" w:line="100"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as described in Note 19.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“WMI,” we are referring only to Waste Management, Inc., the parent holding company.</w:t>
      </w:r>
    </w:p>
    <w:p>
      <w:pPr>
        <w:spacing w:after="0" w:line="3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53"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manage and evaluate our principal operations through six operating Groups, of which four are organized by geographic area and two are organized by function. The geographic Groups include our Eastern, Midwest, Southern and Western Groups, and the two functional Groups are our Wheelabrator Group, which provides waste-to-energy services, and our WM Recycle America, or WMRA, Group, which provides recycling services not managed by our geographic Groups. We also provide additional waste management services that are not managed through our six Groups, which are presented in this report as “Other.” Refer to Note 20 for additional information related to our segments.</w:t>
      </w:r>
    </w:p>
    <w:p>
      <w:pPr>
        <w:spacing w:after="0" w:line="128" w:lineRule="exact"/>
        <w:rPr>
          <w:sz w:val="20"/>
          <w:szCs w:val="20"/>
          <w:color w:val="auto"/>
        </w:rPr>
      </w:pPr>
    </w:p>
    <w:p>
      <w:pPr>
        <w:ind w:left="1000" w:hanging="313"/>
        <w:spacing w:after="0"/>
        <w:tabs>
          <w:tab w:leader="none" w:pos="100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Accounting Changes and Reclassifications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Changes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157 — Fair Value Measurements</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 xml:space="preserve">In September 2006, the Financial Accounting Standards Board issued SFAS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which defines fair value, establishes a framework for measuring fair value, and expands disclosures about fair value measurements. Effective January 1, 2008, we adopted SFAS No. 157 for assets and liabilities recognized at fair value on a recurring basis. Our adoption of SFAS No. 157 during the first quarter of 2008 resulted in the recognition of a $6 million charge to operating expenses and a corresponding $3 million credit to minority interest expense for the re-measurement of the fair value of environmental remediation recovery assets accounted for in accordance with Statement of Position No. 96-1, </w:t>
      </w:r>
      <w:r>
        <w:rPr>
          <w:rFonts w:ascii="Arial" w:cs="Arial" w:eastAsia="Arial" w:hAnsi="Arial"/>
          <w:sz w:val="13"/>
          <w:szCs w:val="13"/>
          <w:i w:val="1"/>
          <w:iCs w:val="1"/>
          <w:color w:val="auto"/>
        </w:rPr>
        <w:t>Environmental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Remediation Liabilities. </w:t>
      </w:r>
      <w:r>
        <w:rPr>
          <w:rFonts w:ascii="Arial" w:cs="Arial" w:eastAsia="Arial" w:hAnsi="Arial"/>
          <w:sz w:val="13"/>
          <w:szCs w:val="13"/>
          <w:color w:val="auto"/>
        </w:rPr>
        <w:t>The adoption of SFAS No. 157 did not materially affect our consolidated financial position, results of operations or cash flows. Refer to Note 17 for information</w:t>
      </w:r>
      <w:r>
        <w:rPr>
          <w:rFonts w:ascii="Arial" w:cs="Arial" w:eastAsia="Arial" w:hAnsi="Arial"/>
          <w:sz w:val="13"/>
          <w:szCs w:val="13"/>
          <w:i w:val="1"/>
          <w:iCs w:val="1"/>
          <w:color w:val="auto"/>
        </w:rPr>
        <w:t xml:space="preserve"> </w:t>
      </w:r>
      <w:r>
        <w:rPr>
          <w:rFonts w:ascii="Arial" w:cs="Arial" w:eastAsia="Arial" w:hAnsi="Arial"/>
          <w:sz w:val="13"/>
          <w:szCs w:val="13"/>
          <w:color w:val="auto"/>
        </w:rPr>
        <w:t>about our fair value measurements.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158 — Employers’ Accounting for Defined Benefit Pension and Other Postretirement Plans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In September 2006, the FASB issued SFAS No. 158, </w:t>
      </w:r>
      <w:r>
        <w:rPr>
          <w:rFonts w:ascii="Arial" w:cs="Arial" w:eastAsia="Arial" w:hAnsi="Arial"/>
          <w:sz w:val="12"/>
          <w:szCs w:val="12"/>
          <w:i w:val="1"/>
          <w:iCs w:val="1"/>
          <w:color w:val="auto"/>
        </w:rPr>
        <w:t>Employers’ Accounting for Defined Benefit Pension and Other Postretirement Plans — an amendment of FASB Statements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i w:val="1"/>
          <w:iCs w:val="1"/>
          <w:color w:val="auto"/>
        </w:rPr>
        <w:t xml:space="preserve">No. 87, 88, 106, and 132(R). </w:t>
      </w:r>
      <w:r>
        <w:rPr>
          <w:rFonts w:ascii="Arial" w:cs="Arial" w:eastAsia="Arial" w:hAnsi="Arial"/>
          <w:sz w:val="11"/>
          <w:szCs w:val="11"/>
          <w:color w:val="auto"/>
        </w:rPr>
        <w:t>SFAS No. 158 requires companies to recognize the overfunded or underfunded status of their defined benefit pension and other post-retirement plans as an asset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or liability and to recognize changes in that funded status through comprehensive income in the year in which the changes occur. As required, we adopted the recognition provisions of SFAS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 158 on December 31, 2006.</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With the adoption of SFAS No. 158 on December 31, 2006, we recorded a liability and a corresponding deferred loss adjustment to “Accumulated other comprehensive income”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 million related to the previously unaccrued liability balance associated with unfunded benefit obligations in our defined benefit pension and other post-retirement plans. The December 31,</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2006 net increase of $1 million in “Accumulated other comprehensive income” attributable to the underfunded status of our post-retirement plans is associated with the net impact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adjustments to increase deferred tax assets by $3 million, partially offset by the additional $2 million related to liabilities recorded.</w:t>
      </w:r>
    </w:p>
    <w:p>
      <w:pPr>
        <w:spacing w:after="0" w:line="8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SFAS No. 158 also requires companies to measure the funded status of defined benefit pension and other post-retirement plans as of their year-end reporting date. The measurement date provisions of SFAS No. 158 were effective for us as of December 31, 2008. We applied the measurement provisions by measuring our benefit obligations as of September 30, 2007, our prior measurement date, and recognizing a pro-rata share of net benefit costs for the transition period from October 1, 2007 to December 31, 2008 as a cumulative effect of change in accounting principle in retained earnings as of December 31, 2008. The adoption of the measurement date provisions of SFAS No. 158 did not have a material impact on our financial position or results of operations for the periods presented.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 48 — Accounting for Uncertainty in Income Taxes</w:t>
      </w:r>
    </w:p>
    <w:p>
      <w:pPr>
        <w:spacing w:after="0" w:line="96"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 xml:space="preserve">In June 2006, the Financial Accounting Standards Board issued Interpretation No. 48, </w:t>
      </w:r>
      <w:r>
        <w:rPr>
          <w:rFonts w:ascii="Arial" w:cs="Arial" w:eastAsia="Arial" w:hAnsi="Arial"/>
          <w:sz w:val="13"/>
          <w:szCs w:val="13"/>
          <w:i w:val="1"/>
          <w:iCs w:val="1"/>
          <w:color w:val="auto"/>
        </w:rPr>
        <w:t>Accounting for Uncertainty in Income Taxes (an interpretation of FASB Statement No. 109)</w:t>
      </w:r>
      <w:r>
        <w:rPr>
          <w:rFonts w:ascii="Arial" w:cs="Arial" w:eastAsia="Arial" w:hAnsi="Arial"/>
          <w:sz w:val="13"/>
          <w:szCs w:val="13"/>
          <w:color w:val="auto"/>
        </w:rPr>
        <w:t xml:space="preserve">. FIN 48 prescribes a recognition threshold and measurement attribute for financial statement recognition and measurement of tax positions taken or expected to be taken in tax returns. In addition, FIN 48 provides guidance on the de-recognition, classification and disclosure of tax positions, as well as the accounting for related interest and penalties. On May 2, 2007, the FASB issued FSP No. FIN 48-1, </w:t>
      </w:r>
      <w:r>
        <w:rPr>
          <w:rFonts w:ascii="Arial" w:cs="Arial" w:eastAsia="Arial" w:hAnsi="Arial"/>
          <w:sz w:val="13"/>
          <w:szCs w:val="13"/>
          <w:i w:val="1"/>
          <w:iCs w:val="1"/>
          <w:color w:val="auto"/>
        </w:rPr>
        <w:t>Definition of</w:t>
      </w:r>
      <w:r>
        <w:rPr>
          <w:rFonts w:ascii="Arial" w:cs="Arial" w:eastAsia="Arial" w:hAnsi="Arial"/>
          <w:sz w:val="13"/>
          <w:szCs w:val="13"/>
          <w:color w:val="auto"/>
        </w:rPr>
        <w:t xml:space="preserve"> Settlement </w:t>
      </w:r>
      <w:r>
        <w:rPr>
          <w:rFonts w:ascii="Arial" w:cs="Arial" w:eastAsia="Arial" w:hAnsi="Arial"/>
          <w:sz w:val="13"/>
          <w:szCs w:val="13"/>
          <w:i w:val="1"/>
          <w:iCs w:val="1"/>
          <w:color w:val="auto"/>
        </w:rPr>
        <w:t>in FASB Interpretation No. 48</w:t>
      </w:r>
      <w:r>
        <w:rPr>
          <w:rFonts w:ascii="Arial" w:cs="Arial" w:eastAsia="Arial" w:hAnsi="Arial"/>
          <w:sz w:val="13"/>
          <w:szCs w:val="13"/>
          <w:color w:val="auto"/>
        </w:rPr>
        <w:t>, to provide guidance associated with the criteria that must be evaluated in determining if a tax position has been effectively settled and should be recognized as a tax benefit.</w:t>
      </w:r>
    </w:p>
    <w:p>
      <w:pPr>
        <w:spacing w:after="0" w:line="71"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Our adoption of FIN 48 and FSP No. 48-1 effective January 1, 2007 resulted in the recognition of a $28 million increase in our liabilities for unrecognized tax benefits, a $32 million increase in our non-current deferred tax assets and a $4 million increase in our beginning retained earnings as a cumulative effect of change in accounting principle.</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8 for additional information about our unrecognized tax benefits.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Statements of Cash Flows — </w:t>
      </w:r>
      <w:r>
        <w:rPr>
          <w:rFonts w:ascii="Arial" w:cs="Arial" w:eastAsia="Arial" w:hAnsi="Arial"/>
          <w:sz w:val="13"/>
          <w:szCs w:val="13"/>
          <w:color w:val="auto"/>
        </w:rPr>
        <w:t>As a result of an increase in the significance of certain non-cash expenses, we have elected to separately identify the effects of “Interest accretion on</w:t>
      </w:r>
      <w:r>
        <w:rPr>
          <w:rFonts w:ascii="Arial" w:cs="Arial" w:eastAsia="Arial" w:hAnsi="Arial"/>
          <w:sz w:val="13"/>
          <w:szCs w:val="13"/>
          <w:i w:val="1"/>
          <w:iCs w:val="1"/>
          <w:color w:val="auto"/>
        </w:rPr>
        <w:t xml:space="preserve"> </w:t>
      </w:r>
      <w:r>
        <w:rPr>
          <w:rFonts w:ascii="Arial" w:cs="Arial" w:eastAsia="Arial" w:hAnsi="Arial"/>
          <w:sz w:val="13"/>
          <w:szCs w:val="13"/>
          <w:color w:val="auto"/>
        </w:rPr>
        <w:t>landfill liabilities,” “Interest accretion on and discount rate adjustments to environmental remediation liabilities and recovery assets” and “Equity-based compensation expense” within the “Cash flows from operating activities” section of our Consolidated Statements of Cash Flows. We have made reclassifications in our 2007 and 2006 Consolidated Statements of Cash Flows to conform prior year information with our current period presentation.</w:t>
      </w:r>
    </w:p>
    <w:p>
      <w:pPr>
        <w:spacing w:after="0" w:line="7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i w:val="1"/>
          <w:iCs w:val="1"/>
          <w:color w:val="auto"/>
        </w:rPr>
        <w:t xml:space="preserve">Segments — </w:t>
      </w:r>
      <w:r>
        <w:rPr>
          <w:rFonts w:ascii="Arial" w:cs="Arial" w:eastAsia="Arial" w:hAnsi="Arial"/>
          <w:sz w:val="13"/>
          <w:szCs w:val="13"/>
          <w:color w:val="auto"/>
        </w:rPr>
        <w:t>During the second quarter of 2008, we moved certain Canadian business operations from the Western Group to the Midwest Group to facilitate improved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execution. We have reflected the impact of this change for all periods presented to provide financial information that consistently reflects our current approach to managing our operations. Refer to Note 20 for further discussion about our reportable segments.</w:t>
      </w:r>
    </w:p>
    <w:p>
      <w:pPr>
        <w:spacing w:after="0" w:line="67"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Certain other minor reclassifications have been made to our prior period consolidated financial information in order to conform to the current year presentation.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accompanying Consolidated Financial Statements include the accounts of WMI, its wholly-owned and majority-owned subsidiaries and certain variable interest entities for which we have determined that we are the primary beneficiary. All material intercompany balances and transactions have been eliminated. Investments in entities in which we do not have a controlling financial interest are accounted for under either the equity method or cost method of accounting, as appropriate.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Estimates and assumptions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In preparing our financial statements, the most difficult, subjective and complex estimates and the assumptions that deal with the greatest amount of uncertainty relate to our accounting for landfills, environmental remediation liabilities, asset impairments, and self-insurance reserves and recoveries. Each of these items is discussed in additional detail below. Actual results could differ materially from the estimates and assumptions that we use in the preparation of our financial statements.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Cash and cash equivalents consist primarily of cash on deposit and money market funds that invest in United States government obligations, all of which have original maturities of three months or less.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Financial instruments that potentially subject us to concentrations of credit risk consist primarily of cash and cash equivalents, investments held within our trust funds and escrow accounts, accounts receivable and derivative instruments.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In addition, our overall credit risk associated with trade receivables is limited due to the large number of geographically diverse customers we service. At December 31, 2008 and 2007, no single customer represented greater than 5% of total accounts receivable.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Trade and other receivables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receivables are recorded when billed or when cash is advanced and represent claims against third parties that will be settled in cash. The carrying value of our receivables, net of the allowance for doubtful accounts, represents the estimated net realizable value. We estimate our allowance for doubtful accounts based on historical collection trends, type of customer, such as municipal or non-municipal, the age of outstanding receivables and existing economic conditions. If events or changes in circumstances indicate that specific receivable balances may be impaired, further consideration is given to the collectibility of those balances and the allowance is adjusted accordingly. Past-due receivable balances are written-off when our internal collection efforts have been unsuccessful in collecting the amount due. Also, we recognize interest income on long-term interest-bearing notes receivable as the interest accrues under the terms of the notes.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Landfill accounting</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Cost Basis of Landfill Assets </w:t>
      </w:r>
      <w:r>
        <w:rPr>
          <w:rFonts w:ascii="Arial" w:cs="Arial" w:eastAsia="Arial" w:hAnsi="Arial"/>
          <w:sz w:val="13"/>
          <w:szCs w:val="13"/>
          <w:color w:val="auto"/>
        </w:rPr>
        <w:t>— We capitalize various costs that we incur to make a landfill ready to accept waste. These costs generally include expenditures for land (including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in accordance with SFAS No. 143, </w:t>
      </w:r>
      <w:r>
        <w:rPr>
          <w:rFonts w:ascii="Arial" w:cs="Arial" w:eastAsia="Arial" w:hAnsi="Arial"/>
          <w:sz w:val="13"/>
          <w:szCs w:val="13"/>
          <w:i w:val="1"/>
          <w:iCs w:val="1"/>
          <w:color w:val="auto"/>
        </w:rPr>
        <w:t xml:space="preserve">Accounting for Asset Retirement Obligations </w:t>
      </w:r>
      <w:r>
        <w:rPr>
          <w:rFonts w:ascii="Arial" w:cs="Arial" w:eastAsia="Arial" w:hAnsi="Arial"/>
          <w:sz w:val="13"/>
          <w:szCs w:val="13"/>
          <w:color w:val="auto"/>
        </w:rPr>
        <w:t>and its Interpretations. These costs are discussed below.</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Final Capping, Closure and Post-Closure Costs </w:t>
      </w:r>
      <w:r>
        <w:rPr>
          <w:rFonts w:ascii="Arial" w:cs="Arial" w:eastAsia="Arial" w:hAnsi="Arial"/>
          <w:sz w:val="13"/>
          <w:szCs w:val="13"/>
          <w:color w:val="auto"/>
        </w:rPr>
        <w:t>— Following is a description of our asset retirement activities and our related accounting:</w:t>
      </w:r>
    </w:p>
    <w:p>
      <w:pPr>
        <w:spacing w:after="0" w:line="96" w:lineRule="exact"/>
        <w:rPr>
          <w:sz w:val="20"/>
          <w:szCs w:val="20"/>
          <w:color w:val="auto"/>
        </w:rPr>
      </w:pPr>
    </w:p>
    <w:p>
      <w:pPr>
        <w:ind w:left="1280" w:hanging="190"/>
        <w:spacing w:after="0" w:line="260" w:lineRule="auto"/>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i w:val="1"/>
          <w:iCs w:val="1"/>
          <w:color w:val="auto"/>
        </w:rPr>
        <w:t xml:space="preserve">Final Capping </w:t>
      </w:r>
      <w:r>
        <w:rPr>
          <w:rFonts w:ascii="Arial" w:cs="Arial" w:eastAsia="Arial" w:hAnsi="Arial"/>
          <w:sz w:val="13"/>
          <w:szCs w:val="13"/>
          <w:color w:val="auto"/>
        </w:rPr>
        <w:t>— Involves the installation of flexible membrane liners and geosynthetic clay liners, drainage and compacted soil layers and topsoil over areas of a landfill where</w:t>
      </w:r>
      <w:r>
        <w:rPr>
          <w:rFonts w:ascii="Arial" w:cs="Arial" w:eastAsia="Arial" w:hAnsi="Arial"/>
          <w:sz w:val="13"/>
          <w:szCs w:val="13"/>
          <w:i w:val="1"/>
          <w:iCs w:val="1"/>
          <w:color w:val="auto"/>
        </w:rPr>
        <w:t xml:space="preserve"> </w:t>
      </w:r>
      <w:r>
        <w:rPr>
          <w:rFonts w:ascii="Arial" w:cs="Arial" w:eastAsia="Arial" w:hAnsi="Arial"/>
          <w:sz w:val="13"/>
          <w:szCs w:val="13"/>
          <w:color w:val="auto"/>
        </w:rPr>
        <w:t>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59"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i w:val="1"/>
          <w:iCs w:val="1"/>
          <w:color w:val="auto"/>
        </w:rPr>
        <w:t xml:space="preserve">Closure </w:t>
      </w:r>
      <w:r>
        <w:rPr>
          <w:rFonts w:ascii="Arial" w:cs="Arial" w:eastAsia="Arial" w:hAnsi="Arial"/>
          <w:sz w:val="13"/>
          <w:szCs w:val="13"/>
          <w:color w:val="auto"/>
        </w:rPr>
        <w:t>— Includes the construction of the final portion of methane gas collection systems (when required), demobilization and routine maintenance costs. These are costs</w:t>
      </w:r>
      <w:r>
        <w:rPr>
          <w:rFonts w:ascii="Arial" w:cs="Arial" w:eastAsia="Arial" w:hAnsi="Arial"/>
          <w:sz w:val="13"/>
          <w:szCs w:val="13"/>
          <w:i w:val="1"/>
          <w:iCs w:val="1"/>
          <w:color w:val="auto"/>
        </w:rPr>
        <w:t xml:space="preserve"> </w:t>
      </w:r>
      <w:r>
        <w:rPr>
          <w:rFonts w:ascii="Arial" w:cs="Arial" w:eastAsia="Arial" w:hAnsi="Arial"/>
          <w:sz w:val="13"/>
          <w:szCs w:val="13"/>
          <w:color w:val="auto"/>
        </w:rPr>
        <w:t>incurred after the site ceases to accept waste, but before the landfill is certified as closed by the applicable state regulatory agency. These costs are accrued as an asset retirement obligation as airspace is consumed over the life of the landfill with a corresponding increase in the landfill asset. Closure obligations are accrued over the life of the landfill based on estimates of the discounted cash flows associated with performing closure activities.</w:t>
      </w:r>
    </w:p>
    <w:p>
      <w:pPr>
        <w:spacing w:after="0" w:line="59" w:lineRule="exact"/>
        <w:rPr>
          <w:rFonts w:ascii="Arial" w:cs="Arial" w:eastAsia="Arial" w:hAnsi="Arial"/>
          <w:sz w:val="13"/>
          <w:szCs w:val="13"/>
          <w:color w:val="auto"/>
        </w:rPr>
      </w:pPr>
    </w:p>
    <w:p>
      <w:pPr>
        <w:ind w:left="1280" w:right="120" w:hanging="190"/>
        <w:spacing w:after="0" w:line="260" w:lineRule="auto"/>
        <w:tabs>
          <w:tab w:leader="none" w:pos="1280" w:val="left"/>
        </w:tabs>
        <w:numPr>
          <w:ilvl w:val="0"/>
          <w:numId w:val="62"/>
        </w:numPr>
        <w:rPr>
          <w:rFonts w:ascii="Arial" w:cs="Arial" w:eastAsia="Arial" w:hAnsi="Arial"/>
          <w:sz w:val="13"/>
          <w:szCs w:val="13"/>
          <w:color w:val="auto"/>
        </w:rPr>
      </w:pPr>
      <w:r>
        <w:rPr>
          <w:rFonts w:ascii="Arial" w:cs="Arial" w:eastAsia="Arial" w:hAnsi="Arial"/>
          <w:sz w:val="13"/>
          <w:szCs w:val="13"/>
          <w:i w:val="1"/>
          <w:iCs w:val="1"/>
          <w:color w:val="auto"/>
        </w:rPr>
        <w:t xml:space="preserve">Post-Closure </w:t>
      </w:r>
      <w:r>
        <w:rPr>
          <w:rFonts w:ascii="Arial" w:cs="Arial" w:eastAsia="Arial" w:hAnsi="Arial"/>
          <w:sz w:val="13"/>
          <w:szCs w:val="13"/>
          <w:color w:val="auto"/>
        </w:rPr>
        <w:t>— Involves the maintenance and monitoring of a landfill site that has been certified closed by the applicable regulatory agency. Generally, we are required to</w:t>
      </w:r>
      <w:r>
        <w:rPr>
          <w:rFonts w:ascii="Arial" w:cs="Arial" w:eastAsia="Arial" w:hAnsi="Arial"/>
          <w:sz w:val="13"/>
          <w:szCs w:val="13"/>
          <w:i w:val="1"/>
          <w:iCs w:val="1"/>
          <w:color w:val="auto"/>
        </w:rPr>
        <w:t xml:space="preserve"> </w:t>
      </w:r>
      <w:r>
        <w:rPr>
          <w:rFonts w:ascii="Arial" w:cs="Arial" w:eastAsia="Arial" w:hAnsi="Arial"/>
          <w:sz w:val="13"/>
          <w:szCs w:val="13"/>
          <w:color w:val="auto"/>
        </w:rPr>
        <w:t>maintain and monitor landfill sites for a 30-year period. These maintenance and monitoring costs are accrued as an asset retirement obligation as airspace is consumed over the life of the landfill with a corresponding increase in the landfill asset. Post-closure obligations are accrued over the life of the landfill based on estimates of the discounted cash flows associated with performing post-closure activities.</w:t>
      </w:r>
    </w:p>
    <w:p>
      <w:pPr>
        <w:spacing w:after="0" w:line="7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under the provisions of SFAS No. 143. Absent quoted market prices, the estimate of fair value should be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59"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Additionally, an estimate of fair value also should include the price that marketplace participants are able to receive for bearing the uncertainties inherent in these cash flows. However, when using discounted cash flow techniques, reliable estimates of market premiums may not be obtainable. In the waste industry, there generally is not a market for selling the responsibility for final capping, closure and post-closure obligations independent of selling the landfill in its entirety. Accordingly, we do not believe that it is possible to develop a methodology to</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reliably estimate a market risk premium and have excluded any such premium from our determination of expected cash flows for landfill asset retirement obligations.</w:t>
      </w:r>
    </w:p>
    <w:p>
      <w:pPr>
        <w:spacing w:after="0" w:line="9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Once we have determined the final capping, closure and post-closure costs, we inflate those costs to the expected time of payment and discount those expected future costs back to present value. During the years ended December 31, 2008 and 2007, we inflated these costs in current dollars until the expected time of payment using an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each individual asset retirement obligation. The weighted-average rate applicable to our asset retirement obligations at December 31, 2008 is between 6.00% and 7.25%, the range of the credit-adjusted, risk-free discount rates effective since adopting SFAS No. 143 in 2003. We expect to apply a credit-adjusted, risk-free discount rate of 8.00% to liabilities incurred in the first quarter of 2009.</w:t>
      </w:r>
    </w:p>
    <w:p>
      <w:pPr>
        <w:spacing w:after="0" w:line="7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72"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Changes in inflation rates or the estimated costs, timing or extent of future final capping and closure and post-closure activities typically result in both (i) a current adjustment to the recorded liability and landfill asset; and (ii) a change in liability and asset amounts to be recorded prospectively over either the remaining capacity of the related discrete final capping event or the remaining permitted and expansion airspace (as defined below)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During the years ended December 31, 2008, 2007 and 2006, adjustments associated with changes in our expectations for the timing and cost of future final capping, closure and post-closure of fully utilized airspace resulted in $3 million, $17 million and $1 million in net credits to landfill airspace amortization expense, respectively, with the majority of these credits resulting from revised estimates associated with final capping changes. In managing our landfills, our engineers look for ways to reduce or defer our construction costs, including final capping costs. The benefit recognized in these years was generally the result of (i) concerted efforts to improve the operating efficiencies of our landfills and volume declines, both of which have allowed us to delay spending for final capping activities; (ii) landfill expansions that resulted in reduced or deferred final capping costs; or (iii) completed final capping construction that cost less than anticipated.</w:t>
      </w:r>
    </w:p>
    <w:p>
      <w:pPr>
        <w:spacing w:after="0" w:line="72"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Interest accretion on final capping, closure and post-closure liabilities is recorded using the effective interest method and is recorded as final capping, closure and post-closure expense, which is included in “Operating” costs and expenses within our Consolidated Statements of Operations.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i w:val="1"/>
          <w:iCs w:val="1"/>
          <w:color w:val="auto"/>
        </w:rPr>
        <w:t xml:space="preserve">Amortization of Landfill Assets </w:t>
      </w:r>
      <w:r>
        <w:rPr>
          <w:rFonts w:ascii="Arial" w:cs="Arial" w:eastAsia="Arial" w:hAnsi="Arial"/>
          <w:sz w:val="13"/>
          <w:szCs w:val="13"/>
          <w:color w:val="auto"/>
        </w:rPr>
        <w:t>— The amortizable basis of a landfill includes (i) amounts previously expended and capitalized; (ii) capitalized landfill final capping, closure and</w:t>
      </w:r>
      <w:r>
        <w:rPr>
          <w:rFonts w:ascii="Arial" w:cs="Arial" w:eastAsia="Arial" w:hAnsi="Arial"/>
          <w:sz w:val="13"/>
          <w:szCs w:val="13"/>
          <w:i w:val="1"/>
          <w:iCs w:val="1"/>
          <w:color w:val="auto"/>
        </w:rPr>
        <w:t xml:space="preserve"> </w:t>
      </w:r>
      <w:r>
        <w:rPr>
          <w:rFonts w:ascii="Arial" w:cs="Arial" w:eastAsia="Arial" w:hAnsi="Arial"/>
          <w:sz w:val="13"/>
          <w:szCs w:val="13"/>
          <w:color w:val="auto"/>
        </w:rPr>
        <w:t>post-closure costs; (iii) projections of future purchase and development costs required to develop the landfill site to its remaining permitted and expansion capacity; and (iv) projected asset retirement costs related to landfill final capping, closure and post-closure activities.</w:t>
      </w:r>
    </w:p>
    <w:p>
      <w:pPr>
        <w:spacing w:after="0" w:line="67"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Amortization is recorded on a units-of-consumption basis, applying cost as a rate per ton. The rate per ton is calculated by dividing each component of the amortizable basis of a landfill by the number of tons needed to fill the corresponding asset’s airspace. For landfills that we do not own, but operate through operating or lease arrangements, the rate per ton is calculated based on the lesser of the contractual term of the underlying agreement or the life of the landfill.</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apply the following guidelines in determining a landfill’s remaining permitted and expansion airspace:</w:t>
      </w:r>
    </w:p>
    <w:p>
      <w:pPr>
        <w:spacing w:after="0" w:line="96" w:lineRule="exact"/>
        <w:rPr>
          <w:sz w:val="20"/>
          <w:szCs w:val="20"/>
          <w:color w:val="auto"/>
        </w:rPr>
      </w:pPr>
    </w:p>
    <w:p>
      <w:pPr>
        <w:ind w:left="1280" w:right="40" w:hanging="190"/>
        <w:spacing w:after="0" w:line="264" w:lineRule="auto"/>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i w:val="1"/>
          <w:iCs w:val="1"/>
          <w:color w:val="auto"/>
        </w:rPr>
        <w:t xml:space="preserve">Remaining Permitted Airspace </w:t>
      </w:r>
      <w:r>
        <w:rPr>
          <w:rFonts w:ascii="Arial" w:cs="Arial" w:eastAsia="Arial" w:hAnsi="Arial"/>
          <w:sz w:val="13"/>
          <w:szCs w:val="13"/>
          <w:color w:val="auto"/>
        </w:rPr>
        <w:t>— Our engineers, in consultation with third-party engineering consultants and surveyors, are responsible for determining remaining permitted</w:t>
      </w:r>
      <w:r>
        <w:rPr>
          <w:rFonts w:ascii="Arial" w:cs="Arial" w:eastAsia="Arial" w:hAnsi="Arial"/>
          <w:sz w:val="13"/>
          <w:szCs w:val="13"/>
          <w:i w:val="1"/>
          <w:iCs w:val="1"/>
          <w:color w:val="auto"/>
        </w:rPr>
        <w:t xml:space="preserve"> </w:t>
      </w:r>
      <w:r>
        <w:rPr>
          <w:rFonts w:ascii="Arial" w:cs="Arial" w:eastAsia="Arial" w:hAnsi="Arial"/>
          <w:sz w:val="13"/>
          <w:szCs w:val="13"/>
          <w:color w:val="auto"/>
        </w:rPr>
        <w:t>airspace at our landfills. The remaining permitted airspace is determined by an annual survey, which is then used to compare the existing landfill topography to the expected final landfill topography.</w:t>
      </w:r>
    </w:p>
    <w:p>
      <w:pPr>
        <w:spacing w:after="0" w:line="57" w:lineRule="exact"/>
        <w:rPr>
          <w:rFonts w:ascii="Arial" w:cs="Arial" w:eastAsia="Arial" w:hAnsi="Arial"/>
          <w:sz w:val="13"/>
          <w:szCs w:val="13"/>
          <w:color w:val="auto"/>
        </w:rPr>
      </w:pPr>
    </w:p>
    <w:p>
      <w:pPr>
        <w:ind w:left="1280" w:hanging="190"/>
        <w:spacing w:after="0" w:line="296" w:lineRule="auto"/>
        <w:tabs>
          <w:tab w:leader="none" w:pos="1280" w:val="left"/>
        </w:tabs>
        <w:numPr>
          <w:ilvl w:val="0"/>
          <w:numId w:val="63"/>
        </w:numPr>
        <w:rPr>
          <w:rFonts w:ascii="Arial" w:cs="Arial" w:eastAsia="Arial" w:hAnsi="Arial"/>
          <w:sz w:val="12"/>
          <w:szCs w:val="12"/>
          <w:color w:val="auto"/>
        </w:rPr>
      </w:pPr>
      <w:r>
        <w:rPr>
          <w:rFonts w:ascii="Arial" w:cs="Arial" w:eastAsia="Arial" w:hAnsi="Arial"/>
          <w:sz w:val="12"/>
          <w:szCs w:val="12"/>
          <w:i w:val="1"/>
          <w:iCs w:val="1"/>
          <w:color w:val="auto"/>
        </w:rPr>
        <w:t xml:space="preserve">Expansion Airspace </w:t>
      </w:r>
      <w:r>
        <w:rPr>
          <w:rFonts w:ascii="Arial" w:cs="Arial" w:eastAsia="Arial" w:hAnsi="Arial"/>
          <w:sz w:val="12"/>
          <w:szCs w:val="12"/>
          <w:color w:val="auto"/>
        </w:rPr>
        <w:t>— We also include currently unpermitted expansion airspace in our estimate of remaining permitted and expansion airspace in certain circumstances. First, to</w:t>
      </w:r>
      <w:r>
        <w:rPr>
          <w:rFonts w:ascii="Arial" w:cs="Arial" w:eastAsia="Arial" w:hAnsi="Arial"/>
          <w:sz w:val="12"/>
          <w:szCs w:val="12"/>
          <w:i w:val="1"/>
          <w:iCs w:val="1"/>
          <w:color w:val="auto"/>
        </w:rPr>
        <w:t xml:space="preserve"> </w:t>
      </w:r>
      <w:r>
        <w:rPr>
          <w:rFonts w:ascii="Arial" w:cs="Arial" w:eastAsia="Arial" w:hAnsi="Arial"/>
          <w:sz w:val="12"/>
          <w:szCs w:val="12"/>
          <w:color w:val="auto"/>
        </w:rPr>
        <w:t>include airspace associated with an expansion effort, we must generally expect the initial expansion permit application to be submitted within one year, and the final expansion permit to be received within five years. Second, we must believe the success of obtaining the expansion permit is likely, considering the following criteria:</w:t>
      </w:r>
    </w:p>
    <w:p>
      <w:pPr>
        <w:spacing w:after="0" w:line="49" w:lineRule="exact"/>
        <w:rPr>
          <w:rFonts w:ascii="Arial" w:cs="Arial" w:eastAsia="Arial" w:hAnsi="Arial"/>
          <w:sz w:val="12"/>
          <w:szCs w:val="12"/>
          <w:color w:val="auto"/>
        </w:rPr>
      </w:pPr>
    </w:p>
    <w:p>
      <w:pPr>
        <w:ind w:left="1500" w:hanging="214"/>
        <w:spacing w:after="0"/>
        <w:tabs>
          <w:tab w:leader="none" w:pos="1500" w:val="left"/>
        </w:tabs>
        <w:numPr>
          <w:ilvl w:val="1"/>
          <w:numId w:val="63"/>
        </w:numPr>
        <w:rPr>
          <w:rFonts w:ascii="Arial" w:cs="Arial" w:eastAsia="Arial" w:hAnsi="Arial"/>
          <w:sz w:val="13"/>
          <w:szCs w:val="13"/>
          <w:color w:val="auto"/>
        </w:rPr>
      </w:pPr>
      <w:r>
        <w:rPr>
          <w:rFonts w:ascii="Arial" w:cs="Arial" w:eastAsia="Arial" w:hAnsi="Arial"/>
          <w:sz w:val="13"/>
          <w:szCs w:val="13"/>
          <w:color w:val="auto"/>
        </w:rPr>
        <w:t>Personnel are actively working to obtain land use and local, state or provincial approvals for an expansion of an existing landfill;</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63"/>
        </w:numPr>
        <w:rPr>
          <w:rFonts w:ascii="Arial" w:cs="Arial" w:eastAsia="Arial" w:hAnsi="Arial"/>
          <w:sz w:val="12"/>
          <w:szCs w:val="12"/>
          <w:color w:val="auto"/>
        </w:rPr>
      </w:pPr>
      <w:r>
        <w:rPr>
          <w:rFonts w:ascii="Arial" w:cs="Arial" w:eastAsia="Arial" w:hAnsi="Arial"/>
          <w:sz w:val="12"/>
          <w:szCs w:val="12"/>
          <w:color w:val="auto"/>
        </w:rPr>
        <w:t>It is likely that the approvals will be received within the normal application and processing time periods for approvals in the jurisdiction in which the landfill is located;</w:t>
      </w:r>
    </w:p>
    <w:p>
      <w:pPr>
        <w:spacing w:after="0" w:line="97" w:lineRule="exact"/>
        <w:rPr>
          <w:rFonts w:ascii="Arial" w:cs="Arial" w:eastAsia="Arial" w:hAnsi="Arial"/>
          <w:sz w:val="12"/>
          <w:szCs w:val="12"/>
          <w:color w:val="auto"/>
        </w:rPr>
      </w:pPr>
    </w:p>
    <w:p>
      <w:pPr>
        <w:ind w:left="1500" w:hanging="214"/>
        <w:spacing w:after="0"/>
        <w:tabs>
          <w:tab w:leader="none" w:pos="1500" w:val="left"/>
        </w:tabs>
        <w:numPr>
          <w:ilvl w:val="1"/>
          <w:numId w:val="63"/>
        </w:numPr>
        <w:rPr>
          <w:rFonts w:ascii="Arial" w:cs="Arial" w:eastAsia="Arial" w:hAnsi="Arial"/>
          <w:sz w:val="13"/>
          <w:szCs w:val="13"/>
          <w:color w:val="auto"/>
        </w:rPr>
      </w:pPr>
      <w:r>
        <w:rPr>
          <w:rFonts w:ascii="Arial" w:cs="Arial" w:eastAsia="Arial" w:hAnsi="Arial"/>
          <w:sz w:val="13"/>
          <w:szCs w:val="13"/>
          <w:color w:val="auto"/>
        </w:rPr>
        <w:t>We have a legal right to use or obtain land to be included in the expansion plan;</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63"/>
        </w:numPr>
        <w:rPr>
          <w:rFonts w:ascii="Arial" w:cs="Arial" w:eastAsia="Arial" w:hAnsi="Arial"/>
          <w:sz w:val="13"/>
          <w:szCs w:val="13"/>
          <w:color w:val="auto"/>
        </w:rPr>
      </w:pPr>
      <w:r>
        <w:rPr>
          <w:rFonts w:ascii="Arial" w:cs="Arial" w:eastAsia="Arial" w:hAnsi="Arial"/>
          <w:sz w:val="13"/>
          <w:szCs w:val="13"/>
          <w:color w:val="auto"/>
        </w:rPr>
        <w:t>There are no significant known technical, legal, community, business, or political restrictions or similar issues that could impair the success of such expansion;</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63"/>
        </w:numPr>
        <w:rPr>
          <w:rFonts w:ascii="Arial" w:cs="Arial" w:eastAsia="Arial" w:hAnsi="Arial"/>
          <w:sz w:val="13"/>
          <w:szCs w:val="13"/>
          <w:color w:val="auto"/>
        </w:rPr>
      </w:pPr>
      <w:r>
        <w:rPr>
          <w:rFonts w:ascii="Arial" w:cs="Arial" w:eastAsia="Arial" w:hAnsi="Arial"/>
          <w:sz w:val="13"/>
          <w:szCs w:val="13"/>
          <w:color w:val="auto"/>
        </w:rPr>
        <w:t>Financial analysis has been completed, and the results demonstrate that the expansion has a positive financial and operational impact; and</w:t>
      </w:r>
    </w:p>
    <w:p>
      <w:pPr>
        <w:spacing w:after="0" w:line="86" w:lineRule="exact"/>
        <w:rPr>
          <w:rFonts w:ascii="Arial" w:cs="Arial" w:eastAsia="Arial" w:hAnsi="Arial"/>
          <w:sz w:val="13"/>
          <w:szCs w:val="13"/>
          <w:color w:val="auto"/>
        </w:rPr>
      </w:pPr>
    </w:p>
    <w:p>
      <w:pPr>
        <w:ind w:left="1500" w:hanging="214"/>
        <w:spacing w:after="0"/>
        <w:tabs>
          <w:tab w:leader="none" w:pos="1500" w:val="left"/>
        </w:tabs>
        <w:numPr>
          <w:ilvl w:val="1"/>
          <w:numId w:val="63"/>
        </w:numPr>
        <w:rPr>
          <w:rFonts w:ascii="Arial" w:cs="Arial" w:eastAsia="Arial" w:hAnsi="Arial"/>
          <w:sz w:val="13"/>
          <w:szCs w:val="13"/>
          <w:color w:val="auto"/>
        </w:rPr>
      </w:pPr>
      <w:r>
        <w:rPr>
          <w:rFonts w:ascii="Arial" w:cs="Arial" w:eastAsia="Arial" w:hAnsi="Arial"/>
          <w:sz w:val="13"/>
          <w:szCs w:val="13"/>
          <w:color w:val="auto"/>
        </w:rPr>
        <w:t>Airspace and related costs, including additional closure and post-closure costs, have been estimated based on conceptual design.</w:t>
      </w:r>
    </w:p>
    <w:p>
      <w:pPr>
        <w:spacing w:after="0" w:line="96"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these criteria are no longer met, based on the facts and circumstances of a specific landfill. In these circumstances, continued inclusion must be approved through a landfill-specific review process that includes approval of the Chief Financial Officer and a review by the Audit Committee of the Board of Directors on a quarterly basis. Of the 42 landfill sites with expansions at December 31, 2008, 19 landfills required the Chief Financial Officer to approve the inclusion of the unpermitted airspace. Ten of these landfills required approval by the Chief Financial Officer because of community or political opposition that could impede the expansion process. The remaining nine landfills required approval primarily due to the permit application processes not meeting the one- or five-year requirements, as a result of state-specific permitting procedures.</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Once the remaining permitted and expansion airspace is determined in cubic yards, an airspace utilization factor, or AUF, is established to calculate the remaining permitted and expansion capacity in tons. The AUF is established using the measured density obtained from previous annual surveys and then adjusted to account for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45"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When we include the expansion airspace in our calculations of remaining permitted and expansion airspace, we also include the projected costs for development, as well as the projected asset retirement costs related to final capping, and closure and post-closure of the expansion in the amortization basis of the landfill.</w:t>
      </w:r>
    </w:p>
    <w:p>
      <w:pPr>
        <w:spacing w:after="0" w:line="35"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higher final capping, closure or post-closure rates, or higher expenses; or higher profitability may result if the opposite occurs. Most significantly, if it is determined that the expansion capacity should no longer be considered in calculating the recoverability of the landfill asset, we may be required to recognize an asset impairment. If it is determined that the likelihood of receiving the expansion permit has become remote, the capitalized costs related to the expansion effort are expensed immediately.</w:t>
      </w:r>
    </w:p>
    <w:p>
      <w:pPr>
        <w:spacing w:after="0" w:line="7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Environmental Remediation Liabilities </w:t>
      </w:r>
      <w:r>
        <w:rPr>
          <w:rFonts w:ascii="Arial" w:cs="Arial" w:eastAsia="Arial" w:hAnsi="Arial"/>
          <w:sz w:val="12"/>
          <w:szCs w:val="12"/>
          <w:color w:val="auto"/>
        </w:rPr>
        <w:t>— We are subject to an array of laws and regulations relating to the protection of the environment. Under current laws and regulations, we may</w:t>
      </w:r>
      <w:r>
        <w:rPr>
          <w:rFonts w:ascii="Arial" w:cs="Arial" w:eastAsia="Arial" w:hAnsi="Arial"/>
          <w:sz w:val="12"/>
          <w:szCs w:val="12"/>
          <w:i w:val="1"/>
          <w:iCs w:val="1"/>
          <w:color w:val="auto"/>
        </w:rPr>
        <w:t xml:space="preserve"> </w:t>
      </w:r>
      <w:r>
        <w:rPr>
          <w:rFonts w:ascii="Arial" w:cs="Arial" w:eastAsia="Arial" w:hAnsi="Arial"/>
          <w:sz w:val="12"/>
          <w:szCs w:val="12"/>
          <w:color w:val="auto"/>
        </w:rPr>
        <w:t>have liabilities for environmental damage caused by operations, or for damage caused by conditions that existed before we acquired a site. Such liabilities include potentially responsible party, or PRP, investigations, settlements, certain legal and consultant fees, as well as costs 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several estimates and assumptions.</w:t>
      </w:r>
    </w:p>
    <w:p>
      <w:pPr>
        <w:spacing w:after="0" w:line="55" w:lineRule="exact"/>
        <w:rPr>
          <w:sz w:val="20"/>
          <w:szCs w:val="20"/>
          <w:color w:val="auto"/>
        </w:rPr>
      </w:pPr>
    </w:p>
    <w:p>
      <w:pPr>
        <w:jc w:val="both"/>
        <w:ind w:left="680" w:right="140" w:firstLine="399"/>
        <w:spacing w:after="0" w:line="289" w:lineRule="auto"/>
        <w:rPr>
          <w:sz w:val="20"/>
          <w:szCs w:val="20"/>
          <w:color w:val="auto"/>
        </w:rPr>
      </w:pPr>
      <w:r>
        <w:rPr>
          <w:rFonts w:ascii="Arial" w:cs="Arial" w:eastAsia="Arial" w:hAnsi="Arial"/>
          <w:sz w:val="12"/>
          <w:szCs w:val="12"/>
          <w:color w:val="auto"/>
        </w:rPr>
        <w:t>We estimate costs required to remediate sites where it is probable that a liability has been incurred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 for the likely remedy are then either developed using our internal resources or by third-party environmental engineers or other service providers. Internally developed estimates are based on:</w:t>
      </w:r>
    </w:p>
    <w:p>
      <w:pPr>
        <w:spacing w:after="0" w:line="53" w:lineRule="exact"/>
        <w:rPr>
          <w:sz w:val="20"/>
          <w:szCs w:val="20"/>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Management’s judgment and experience in remediating our own and unrelated parties’ sites;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4"/>
        </w:numPr>
        <w:rPr>
          <w:rFonts w:ascii="Arial" w:cs="Arial" w:eastAsia="Arial" w:hAnsi="Arial"/>
          <w:sz w:val="13"/>
          <w:szCs w:val="13"/>
          <w:color w:val="auto"/>
        </w:rPr>
      </w:pPr>
      <w:r>
        <w:rPr>
          <w:rFonts w:ascii="Arial" w:cs="Arial" w:eastAsia="Arial" w:hAnsi="Arial"/>
          <w:sz w:val="13"/>
          <w:szCs w:val="13"/>
          <w:color w:val="auto"/>
        </w:rPr>
        <w:t>Information available from regulatory agencies as to costs of remediation;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280" w:hanging="190"/>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number, financial resources and relative degree of responsibility of other PRPs who may be liable for remediation of a specific site;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typical allocation of costs among PRPs unless the actual allocation has been determined.</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amounts that are the low ends of such ranges in accordance with SFAS No. 5, </w:t>
      </w:r>
      <w:r>
        <w:rPr>
          <w:rFonts w:ascii="Arial" w:cs="Arial" w:eastAsia="Arial" w:hAnsi="Arial"/>
          <w:sz w:val="13"/>
          <w:szCs w:val="13"/>
          <w:i w:val="1"/>
          <w:iCs w:val="1"/>
          <w:color w:val="auto"/>
        </w:rPr>
        <w:t xml:space="preserve">Accounting for Contingencies </w:t>
      </w:r>
      <w:r>
        <w:rPr>
          <w:rFonts w:ascii="Arial" w:cs="Arial" w:eastAsia="Arial" w:hAnsi="Arial"/>
          <w:sz w:val="13"/>
          <w:szCs w:val="13"/>
          <w:color w:val="auto"/>
        </w:rPr>
        <w:t>and its Interpretations. If we used the high ends of such ranges, our aggregate potential liability would be approximately $135 million higher on a discounted</w:t>
      </w:r>
      <w:r>
        <w:rPr>
          <w:rFonts w:ascii="Arial" w:cs="Arial" w:eastAsia="Arial" w:hAnsi="Arial"/>
          <w:sz w:val="13"/>
          <w:szCs w:val="13"/>
          <w:i w:val="1"/>
          <w:iCs w:val="1"/>
          <w:color w:val="auto"/>
        </w:rPr>
        <w:t xml:space="preserve"> </w:t>
      </w:r>
      <w:r>
        <w:rPr>
          <w:rFonts w:ascii="Arial" w:cs="Arial" w:eastAsia="Arial" w:hAnsi="Arial"/>
          <w:sz w:val="13"/>
          <w:szCs w:val="13"/>
          <w:color w:val="auto"/>
        </w:rPr>
        <w:t>basis than the $299 million recorded in the Consolidated Financial Statements as of December 31, 2008.</w:t>
      </w:r>
    </w:p>
    <w:p>
      <w:pPr>
        <w:spacing w:after="0" w:line="70"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also be material in any given period.</w:t>
      </w:r>
    </w:p>
    <w:p>
      <w:pPr>
        <w:spacing w:after="0" w:line="71" w:lineRule="exact"/>
        <w:rPr>
          <w:sz w:val="20"/>
          <w:szCs w:val="20"/>
          <w:color w:val="auto"/>
        </w:rPr>
      </w:pPr>
    </w:p>
    <w:p>
      <w:pPr>
        <w:ind w:left="680" w:right="40" w:firstLine="399"/>
        <w:spacing w:after="0" w:line="312" w:lineRule="auto"/>
        <w:rPr>
          <w:sz w:val="20"/>
          <w:szCs w:val="20"/>
          <w:color w:val="auto"/>
        </w:rPr>
      </w:pPr>
      <w:r>
        <w:rPr>
          <w:rFonts w:ascii="Arial" w:cs="Arial" w:eastAsia="Arial" w:hAnsi="Arial"/>
          <w:sz w:val="11"/>
          <w:szCs w:val="11"/>
          <w:color w:val="auto"/>
        </w:rPr>
        <w:t>Where we believe that both the amount of a particular environmental remediation liability and the timing of the payments are reliably determinable, we inflate the cost in current dollars (by 2.5% at both December 31, 2008 and December 31, 2007) until the expected time of payment and discount the cost to present value using a risk-free discount rate, which is based on the rate for United States Treasury bonds with a term approximating the weighted average period until settlement of the underlying obligation. We determine the risk-free discount rate and the inflation rate on an annual basis unless interim changes would significantly impact our results of operations. For remedial liabilities that have been discounted, we include interest accretion, based on the effective interest method, in “Operating” costs and expenses in our Consolidated Statements of Operations. The following table summarizes the impacts of revisions in the risk-free discount rate applied to our environmental remediation liabilities during the reported periods (in millions) and the risk-free discount rate applied as of each reporting date:</w:t>
      </w:r>
    </w:p>
    <w:p>
      <w:pPr>
        <w:spacing w:after="0" w:line="4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93"/>
              </w:rPr>
              <w:t>Years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7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89"/>
              </w:rPr>
              <w:t>2007</w:t>
            </w: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9"/>
              <w:spacing w:after="0" w:line="98" w:lineRule="exact"/>
              <w:rPr>
                <w:sz w:val="20"/>
                <w:szCs w:val="20"/>
                <w:color w:val="auto"/>
              </w:rPr>
            </w:pPr>
            <w:r>
              <w:rPr>
                <w:rFonts w:ascii="Arial" w:cs="Arial" w:eastAsia="Arial" w:hAnsi="Arial"/>
                <w:sz w:val="10"/>
                <w:szCs w:val="10"/>
                <w:b w:val="1"/>
                <w:bCs w:val="1"/>
                <w:color w:val="auto"/>
                <w:w w:val="89"/>
              </w:rPr>
              <w:t>2006</w:t>
            </w:r>
          </w:p>
        </w:tc>
        <w:tc>
          <w:tcPr>
            <w:tcW w:w="120" w:type="dxa"/>
            <w:vAlign w:val="bottom"/>
          </w:tcPr>
          <w:p>
            <w:pPr>
              <w:spacing w:after="0"/>
              <w:rPr>
                <w:sz w:val="8"/>
                <w:szCs w:val="8"/>
                <w:color w:val="auto"/>
              </w:rPr>
            </w:pPr>
          </w:p>
        </w:tc>
      </w:tr>
      <w:tr>
        <w:trPr>
          <w:trHeight w:val="29"/>
        </w:trPr>
        <w:tc>
          <w:tcPr>
            <w:tcW w:w="7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860" w:type="dxa"/>
            <w:vAlign w:val="bottom"/>
            <w:shd w:val="clear" w:color="auto" w:fill="CCEEFF"/>
          </w:tcPr>
          <w:p>
            <w:pPr>
              <w:spacing w:after="0"/>
              <w:rPr>
                <w:sz w:val="20"/>
                <w:szCs w:val="20"/>
                <w:color w:val="auto"/>
              </w:rPr>
            </w:pPr>
            <w:r>
              <w:rPr>
                <w:rFonts w:ascii="Arial" w:cs="Arial" w:eastAsia="Arial" w:hAnsi="Arial"/>
                <w:sz w:val="13"/>
                <w:szCs w:val="13"/>
                <w:color w:val="auto"/>
              </w:rPr>
              <w:t>Net decrease (increase) in income before taxes(a), (b)</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w:t>
            </w:r>
          </w:p>
        </w:tc>
      </w:tr>
      <w:tr>
        <w:trPr>
          <w:trHeight w:val="165"/>
        </w:trPr>
        <w:tc>
          <w:tcPr>
            <w:tcW w:w="7860" w:type="dxa"/>
            <w:vAlign w:val="bottom"/>
          </w:tcPr>
          <w:p>
            <w:pPr>
              <w:spacing w:after="0"/>
              <w:rPr>
                <w:sz w:val="20"/>
                <w:szCs w:val="20"/>
                <w:color w:val="auto"/>
              </w:rPr>
            </w:pPr>
            <w:r>
              <w:rPr>
                <w:rFonts w:ascii="Arial" w:cs="Arial" w:eastAsia="Arial" w:hAnsi="Arial"/>
                <w:sz w:val="13"/>
                <w:szCs w:val="13"/>
                <w:color w:val="auto"/>
              </w:rPr>
              <w:t>Risk-free discount rate applied to environmental remediation liabilities(b)</w:t>
            </w:r>
          </w:p>
        </w:tc>
        <w:tc>
          <w:tcPr>
            <w:tcW w:w="80" w:type="dxa"/>
            <w:vAlign w:val="bottom"/>
          </w:tcPr>
          <w:p>
            <w:pPr>
              <w:spacing w:after="0"/>
              <w:rPr>
                <w:sz w:val="14"/>
                <w:szCs w:val="14"/>
                <w:color w:val="auto"/>
              </w:rPr>
            </w:pPr>
          </w:p>
        </w:tc>
        <w:tc>
          <w:tcPr>
            <w:tcW w:w="720" w:type="dxa"/>
            <w:vAlign w:val="bottom"/>
            <w:gridSpan w:val="2"/>
          </w:tcPr>
          <w:p>
            <w:pPr>
              <w:jc w:val="right"/>
              <w:ind w:right="248"/>
              <w:spacing w:after="0"/>
              <w:rPr>
                <w:sz w:val="20"/>
                <w:szCs w:val="20"/>
                <w:color w:val="auto"/>
              </w:rPr>
            </w:pPr>
            <w:r>
              <w:rPr>
                <w:rFonts w:ascii="Arial" w:cs="Arial" w:eastAsia="Arial" w:hAnsi="Arial"/>
                <w:sz w:val="13"/>
                <w:szCs w:val="13"/>
                <w:color w:val="auto"/>
              </w:rPr>
              <w:t>2.25%</w:t>
            </w: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jc w:val="both"/>
        <w:ind w:left="1080" w:right="480" w:hanging="393"/>
        <w:spacing w:after="0" w:line="335" w:lineRule="auto"/>
        <w:tabs>
          <w:tab w:leader="none" w:pos="1080" w:val="left"/>
        </w:tabs>
        <w:numPr>
          <w:ilvl w:val="0"/>
          <w:numId w:val="66"/>
        </w:numPr>
        <w:rPr>
          <w:rFonts w:ascii="Arial" w:cs="Arial" w:eastAsia="Arial" w:hAnsi="Arial"/>
          <w:sz w:val="11"/>
          <w:szCs w:val="11"/>
          <w:color w:val="auto"/>
        </w:rPr>
      </w:pPr>
      <w:r>
        <w:rPr>
          <w:rFonts w:ascii="Arial" w:cs="Arial" w:eastAsia="Arial" w:hAnsi="Arial"/>
          <w:sz w:val="11"/>
          <w:szCs w:val="11"/>
          <w:color w:val="auto"/>
        </w:rPr>
        <w:t>In 2008, the net charge to income from operations is reflected in our Consolidated Statement of Operations as a $33 million charge to “Operating” expenses and a $6 million reduction in “Minority interest” expense. In both 2007 and 2006, the reported amounts were included in “Operating” expenses in our Consolidated Statements of Operations.</w:t>
      </w:r>
    </w:p>
    <w:p>
      <w:pPr>
        <w:ind w:left="1080" w:right="80" w:hanging="393"/>
        <w:spacing w:after="0" w:line="264" w:lineRule="auto"/>
        <w:tabs>
          <w:tab w:leader="none" w:pos="10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impact to earnings in each year also includes the effect of discount rate adjustments on our environmental remediation recovery assets. In 2006 and 2007, these discount rate adjustments were also related to changes in risk-free interest rates. As a result of our adoption of SFAS No. 157, in 2008, this impact is based on the credit-adjusted, risk-free interest rates of third parties.</w:t>
      </w:r>
    </w:p>
    <w:p>
      <w:pPr>
        <w:spacing w:after="0" w:line="67"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portion of our recorded environmental remediation liabilities that has never been subject to inflation or discounting as the amounts and timing of payments are not readily determinable was $47 million at both December 31, 2008 and 2007. Had we not inflated and discounted any portion of our environmental remediation liability, the amount recorded would have been decreased by $6 million at December 31, 2008 and increased by $28 million at December 31, 2007.</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 (Exclusive of landfills discussed above)</w:t>
      </w:r>
    </w:p>
    <w:p>
      <w:pPr>
        <w:spacing w:after="0" w:line="96" w:lineRule="exact"/>
        <w:rPr>
          <w:sz w:val="20"/>
          <w:szCs w:val="20"/>
          <w:color w:val="auto"/>
        </w:rPr>
      </w:pPr>
    </w:p>
    <w:p>
      <w:pPr>
        <w:ind w:left="680" w:right="460" w:firstLine="399"/>
        <w:spacing w:after="0" w:line="264" w:lineRule="auto"/>
        <w:rPr>
          <w:sz w:val="20"/>
          <w:szCs w:val="20"/>
          <w:color w:val="auto"/>
        </w:rPr>
      </w:pPr>
      <w:r>
        <w:rPr>
          <w:rFonts w:ascii="Arial" w:cs="Arial" w:eastAsia="Arial" w:hAnsi="Arial"/>
          <w:sz w:val="13"/>
          <w:szCs w:val="13"/>
          <w:color w:val="auto"/>
        </w:rPr>
        <w:t>Property and equipment are recorded at cost. Expenditures for major additions and improvements are capitalized while major maintenance activities are expensed as incurred. Depreciation is provided over the estimated useful lives of these assets using the straight-line method. We assume no salvage value for our depreciable property and equipment. The estimated useful lives for significant property and equipment categories are as follows (in years):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9000" w:type="dxa"/>
            <w:vAlign w:val="bottom"/>
          </w:tcPr>
          <w:p>
            <w:pPr>
              <w:spacing w:after="0"/>
              <w:rPr>
                <w:sz w:val="10"/>
                <w:szCs w:val="1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Useful Lives</w:t>
            </w:r>
          </w:p>
        </w:tc>
      </w:tr>
      <w:tr>
        <w:trPr>
          <w:trHeight w:val="29"/>
        </w:trPr>
        <w:tc>
          <w:tcPr>
            <w:tcW w:w="90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Vehicles — excluding rail haul cars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 to 10</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Vehicles — rail haul cars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10 to 20</w:t>
            </w: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Machinery and equipment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 to 30</w:t>
            </w: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Buildings and improvements — excluding waste-to-energy facilities</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 to 40</w:t>
            </w: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Waste-to-energy facilities and related equipment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up to 50</w:t>
            </w:r>
          </w:p>
        </w:tc>
      </w:tr>
      <w:tr>
        <w:trPr>
          <w:trHeight w:val="165"/>
        </w:trPr>
        <w:tc>
          <w:tcPr>
            <w:tcW w:w="9000" w:type="dxa"/>
            <w:vAlign w:val="bottom"/>
          </w:tcPr>
          <w:p>
            <w:pPr>
              <w:spacing w:after="0"/>
              <w:rPr>
                <w:sz w:val="20"/>
                <w:szCs w:val="20"/>
                <w:color w:val="auto"/>
              </w:rPr>
            </w:pPr>
            <w:r>
              <w:rPr>
                <w:rFonts w:ascii="Arial" w:cs="Arial" w:eastAsia="Arial" w:hAnsi="Arial"/>
                <w:sz w:val="13"/>
                <w:szCs w:val="13"/>
                <w:color w:val="auto"/>
              </w:rPr>
              <w:t>Furniture, fixtures and office equipment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 to 10</w:t>
            </w:r>
          </w:p>
        </w:tc>
      </w:tr>
    </w:tbl>
    <w:p>
      <w:pPr>
        <w:spacing w:after="0" w:line="72"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We include capitalized costs associated with developing or obtaining internal-use software within furniture, fixtures and office equipment. These costs include external direct costs of materials and services used in developing or obtaining the software and payroll and payroll-related costs for employees directly associated with the software development project. As of December 31, 2008, capitalized costs for software placed in service, net of accumulated depreciation, were $29 million. In addition, our furniture, fixtures and office equipment includes $90 million as of December 31, 2008 and $81 million as of December 31, 2007 for costs incurred for software under development. This includes $70 million of costs associated with the development of our waste and recycling revenue management system. As disclosed in Note 10, we have filed a lawsuit against SAP AG and SAP America, Inc. related to the implementation of this software. We are still examining all of our alternatives associated with the development and implementation of a revenue management system, some of which may be affected by the ultimate resolution of the lawsuit. As we continue to assess the alternatives available to us, we may determine that the best course of action will be to abandon the SAP revenue management system, which would result in an impairment charge of between $45 million and $55 million.</w:t>
      </w:r>
    </w:p>
    <w:p>
      <w:pPr>
        <w:spacing w:after="0" w:line="59"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We lease property and equipment in the ordinary course of our business. Our most significant lease obligations are for property and equipment specific to our industry, including real property operated as a landfill, transfer station or waste-to-energy facility and equipment such as compactors.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Operating leases </w:t>
      </w:r>
      <w:r>
        <w:rPr>
          <w:rFonts w:ascii="Arial" w:cs="Arial" w:eastAsia="Arial" w:hAnsi="Arial"/>
          <w:sz w:val="13"/>
          <w:szCs w:val="13"/>
          <w:color w:val="auto"/>
        </w:rPr>
        <w:t>— The majority of our leases are operating leases. This classification generally can be attributed to either (i) relatively low fixed minimum lease payments as a</w:t>
      </w:r>
      <w:r>
        <w:rPr>
          <w:rFonts w:ascii="Arial" w:cs="Arial" w:eastAsia="Arial" w:hAnsi="Arial"/>
          <w:sz w:val="13"/>
          <w:szCs w:val="13"/>
          <w:i w:val="1"/>
          <w:iCs w:val="1"/>
          <w:color w:val="auto"/>
        </w:rPr>
        <w:t xml:space="preserve"> </w:t>
      </w:r>
      <w:r>
        <w:rPr>
          <w:rFonts w:ascii="Arial" w:cs="Arial" w:eastAsia="Arial" w:hAnsi="Arial"/>
          <w:sz w:val="13"/>
          <w:szCs w:val="13"/>
          <w:color w:val="auto"/>
        </w:rPr>
        <w:t>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2008, are disclosed in Note 10.</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Capital leases </w:t>
      </w:r>
      <w:r>
        <w:rPr>
          <w:rFonts w:ascii="Arial" w:cs="Arial" w:eastAsia="Arial" w:hAnsi="Arial"/>
          <w:sz w:val="13"/>
          <w:szCs w:val="13"/>
          <w:color w:val="auto"/>
        </w:rPr>
        <w:t>— Assets under capital leases are capitalized using interest rates appropriate at the inception of each lease and are amortized over either the useful life of the asset or</w:t>
      </w:r>
      <w:r>
        <w:rPr>
          <w:rFonts w:ascii="Arial" w:cs="Arial" w:eastAsia="Arial" w:hAnsi="Arial"/>
          <w:sz w:val="13"/>
          <w:szCs w:val="13"/>
          <w:i w:val="1"/>
          <w:iCs w:val="1"/>
          <w:color w:val="auto"/>
        </w:rPr>
        <w:t xml:space="preserve"> </w:t>
      </w:r>
      <w:r>
        <w:rPr>
          <w:rFonts w:ascii="Arial" w:cs="Arial" w:eastAsia="Arial" w:hAnsi="Arial"/>
          <w:sz w:val="13"/>
          <w:szCs w:val="13"/>
          <w:color w:val="auto"/>
        </w:rPr>
        <w:t>the lease term, as appropriate, on a straight-line basis. The present value of the related lease payments is recorded as a debt obligation. Our future minimum annual capital lease payments are included in our total future debt obligations as disclosed in Note 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account for the assets acquired and liabilities assumed in a business combination based on fair value estimates as of the date of acquisition. These estimates are revised during the allocation period as necessary if, and when, information regarding contingencies becomes available to further define and quantify assets acquired and liabilities assumed. The allocation period generally does not exceed one year. To the extent contingencies such as preacquisition environmental matters, litigation and related legal fees have been resolved or settled during the allocation period, such items have been included in the revised allocation of the purchase price. After the allocation period, the effect of changes in such contingencies has been included in results of operations in the periods in which the adjustments are determined.</w:t>
      </w:r>
    </w:p>
    <w:p>
      <w:pPr>
        <w:spacing w:after="0" w:line="71"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 xml:space="preserve">In certain acquisitions, we agree to pay additional amounts to sellers contingent upon achievement by the acquired businesses of certain negotiated goals, such as targeted revenue levels, targeted disposal volumes or the issuance of permits for expanded landfill airspace. Contingent payments, when incurred, have been recorded as purchase price adjustments or compensation expense, as appropriate, based on the nature of each contingent payment. Refer to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10 for additional information related to these contingent obligations.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Discontinued operations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We analyze our operations that have been divested or classified as held-for-sale in order to determine if they qualify for discontinued operations accounting. Only operations that qualify as a component of an entity under generally accepted accounting principles can be included in discontinued operations. Only components of an entity where we do not have significant continuing involvement with the divested operations would qualify for discontinued operations accounting. For our purposes, continuing involvement would include continuing to receive waste at our landfill, waste-to-energy facility or recycling facility from a divested hauling operation or transfer station or continuing to dispose of waste at a divested landfill or transfer station. After completing our analysis at December 31, 2008, we determined that the operations that qualify for discontinued operations accounting are not material to our Consolidated Statements of Operations.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 xml:space="preserve">Goodwill is the excess of our purchase cost over the fair value of the net assets of acquired businesses. In accordance with SFAS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xml:space="preserve">, we do not amortize goodwill. As discussed in the </w:t>
      </w:r>
      <w:r>
        <w:rPr>
          <w:rFonts w:ascii="Arial" w:cs="Arial" w:eastAsia="Arial" w:hAnsi="Arial"/>
          <w:sz w:val="13"/>
          <w:szCs w:val="13"/>
          <w:i w:val="1"/>
          <w:iCs w:val="1"/>
          <w:color w:val="auto"/>
        </w:rPr>
        <w:t>Asset impairments</w:t>
      </w:r>
      <w:r>
        <w:rPr>
          <w:rFonts w:ascii="Arial" w:cs="Arial" w:eastAsia="Arial" w:hAnsi="Arial"/>
          <w:sz w:val="13"/>
          <w:szCs w:val="13"/>
          <w:color w:val="auto"/>
        </w:rPr>
        <w:t xml:space="preserve"> section below, we assess our goodwill for impairment at least annually.</w:t>
      </w:r>
    </w:p>
    <w:p>
      <w:pPr>
        <w:spacing w:after="0" w:line="59" w:lineRule="exact"/>
        <w:rPr>
          <w:sz w:val="20"/>
          <w:szCs w:val="20"/>
          <w:color w:val="auto"/>
        </w:rPr>
      </w:pPr>
    </w:p>
    <w:p>
      <w:pPr>
        <w:ind w:left="680" w:firstLine="399"/>
        <w:spacing w:after="0" w:line="316" w:lineRule="auto"/>
        <w:rPr>
          <w:sz w:val="20"/>
          <w:szCs w:val="20"/>
          <w:color w:val="auto"/>
        </w:rPr>
      </w:pPr>
      <w:r>
        <w:rPr>
          <w:rFonts w:ascii="Arial" w:cs="Arial" w:eastAsia="Arial" w:hAnsi="Arial"/>
          <w:sz w:val="11"/>
          <w:szCs w:val="11"/>
          <w:color w:val="auto"/>
        </w:rPr>
        <w:t>Other intangible assets consist primarily of customer contracts, customer lists, covenants not-to-compete, licenses, permits (other than landfill permits, as all landfill related intangible assets are combined with landfill tangible assets and amortized using our landfill amortization policy), and other contracts. Other intangible assets are recorded at cost and are amortized using either a 150% declining balance approach or a straight-line basis as we determine appropriate. Customer contracts and customer lists are generally amortized over seven to ten years. 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 impairments</w:t>
      </w:r>
    </w:p>
    <w:p>
      <w:pPr>
        <w:spacing w:after="0" w:line="96" w:lineRule="exact"/>
        <w:rPr>
          <w:sz w:val="20"/>
          <w:szCs w:val="20"/>
          <w:color w:val="auto"/>
        </w:rPr>
      </w:pPr>
    </w:p>
    <w:p>
      <w:pPr>
        <w:ind w:left="680" w:firstLine="399"/>
        <w:spacing w:after="0" w:line="300" w:lineRule="auto"/>
        <w:rPr>
          <w:sz w:val="20"/>
          <w:szCs w:val="20"/>
          <w:color w:val="auto"/>
        </w:rPr>
      </w:pPr>
      <w:r>
        <w:rPr>
          <w:rFonts w:ascii="Arial" w:cs="Arial" w:eastAsia="Arial" w:hAnsi="Arial"/>
          <w:sz w:val="11"/>
          <w:szCs w:val="11"/>
          <w:color w:val="auto"/>
        </w:rPr>
        <w:t>We monitor the carrying value of our long-lived assets for potential impairment and test the recoverability of such assets whenever events or changes in circumstances indicate that their carrying amounts may not be recoverable. If an indication of impairment occurs, the asset is reviewed to determine whether there has been an impairment. An impairment loss is recorded as the difference between the carrying amount and fair value of the asset. If significant events or changes in circumstances indicate that the carrying value of an asset or asset group may not be recoverable,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 (ii) actual third-party valuations; and/or</w:t>
      </w:r>
    </w:p>
    <w:p>
      <w:pPr>
        <w:spacing w:after="0" w:line="2" w:lineRule="exact"/>
        <w:rPr>
          <w:sz w:val="20"/>
          <w:szCs w:val="20"/>
          <w:color w:val="auto"/>
        </w:rPr>
      </w:pPr>
    </w:p>
    <w:p>
      <w:pPr>
        <w:ind w:left="680" w:right="20" w:firstLine="7"/>
        <w:spacing w:after="0" w:line="284" w:lineRule="auto"/>
        <w:tabs>
          <w:tab w:leader="none" w:pos="909" w:val="left"/>
        </w:tabs>
        <w:numPr>
          <w:ilvl w:val="0"/>
          <w:numId w:val="67"/>
        </w:numPr>
        <w:rPr>
          <w:rFonts w:ascii="Arial" w:cs="Arial" w:eastAsia="Arial" w:hAnsi="Arial"/>
          <w:sz w:val="12"/>
          <w:szCs w:val="12"/>
          <w:color w:val="auto"/>
        </w:rPr>
      </w:pPr>
      <w:r>
        <w:rPr>
          <w:rFonts w:ascii="Arial" w:cs="Arial" w:eastAsia="Arial" w:hAnsi="Arial"/>
          <w:sz w:val="12"/>
          <w:szCs w:val="12"/>
          <w:color w:val="auto"/>
        </w:rPr>
        <w:t>information available regarding the current market environment for similar assets. If the fair value of an asset or asset group is determined to be less than the carrying amount of the asset or asset group, an impairment in the amount of the difference is recorded in the period that the impairment indicator occurs and is included in the “(Income) expense from divestitures, asset impairments and unusual items” line item in our Consolidated Statement of Operations. Estimating future cash flows requires significant judgment and projections may vary from cash flows eventually realized. There are other considerations for impairments of landfills and goodwill, as described below.</w:t>
      </w:r>
    </w:p>
    <w:p>
      <w:pPr>
        <w:spacing w:after="0" w:line="57" w:lineRule="exact"/>
        <w:rPr>
          <w:sz w:val="20"/>
          <w:szCs w:val="20"/>
          <w:color w:val="auto"/>
        </w:rPr>
      </w:pPr>
    </w:p>
    <w:p>
      <w:pPr>
        <w:jc w:val="both"/>
        <w:ind w:left="680" w:right="260" w:firstLine="399"/>
        <w:spacing w:after="0" w:line="260" w:lineRule="auto"/>
        <w:rPr>
          <w:sz w:val="20"/>
          <w:szCs w:val="20"/>
          <w:color w:val="auto"/>
        </w:rPr>
      </w:pPr>
      <w:r>
        <w:rPr>
          <w:rFonts w:ascii="Arial" w:cs="Arial" w:eastAsia="Arial" w:hAnsi="Arial"/>
          <w:sz w:val="13"/>
          <w:szCs w:val="13"/>
          <w:i w:val="1"/>
          <w:iCs w:val="1"/>
          <w:color w:val="auto"/>
        </w:rPr>
        <w:t xml:space="preserve">Landfills </w:t>
      </w:r>
      <w:r>
        <w:rPr>
          <w:rFonts w:ascii="Arial" w:cs="Arial" w:eastAsia="Arial" w:hAnsi="Arial"/>
          <w:sz w:val="13"/>
          <w:szCs w:val="13"/>
          <w:color w:val="auto"/>
        </w:rPr>
        <w:t>— Certain impairment indicators require significant judgment and understanding of the waste industry when applied to landfill development or expansion projects. For</w:t>
      </w:r>
      <w:r>
        <w:rPr>
          <w:rFonts w:ascii="Arial" w:cs="Arial" w:eastAsia="Arial" w:hAnsi="Arial"/>
          <w:sz w:val="13"/>
          <w:szCs w:val="13"/>
          <w:i w:val="1"/>
          <w:iCs w:val="1"/>
          <w:color w:val="auto"/>
        </w:rPr>
        <w:t xml:space="preserve"> </w:t>
      </w:r>
      <w:r>
        <w:rPr>
          <w:rFonts w:ascii="Arial" w:cs="Arial" w:eastAsia="Arial" w:hAnsi="Arial"/>
          <w:sz w:val="13"/>
          <w:szCs w:val="13"/>
          <w:color w:val="auto"/>
        </w:rPr>
        <w:t>example, a regulator may initially deny a landfill expansion permit application though the expansion permit is ultimately granted. In addition, management may periodically divert waste from one landfill to another to conserve remaining permitted landfill airspace. Therefore, certain events could occur in the ordinary course of business and not necessarily be considered indicators of impairment of our landfill assets due to the unique nature of the waste industry.</w:t>
      </w:r>
    </w:p>
    <w:p>
      <w:pPr>
        <w:spacing w:after="0" w:line="7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i w:val="1"/>
          <w:iCs w:val="1"/>
          <w:color w:val="auto"/>
        </w:rPr>
        <w:t xml:space="preserve">Goodwill </w:t>
      </w:r>
      <w:r>
        <w:rPr>
          <w:rFonts w:ascii="Arial" w:cs="Arial" w:eastAsia="Arial" w:hAnsi="Arial"/>
          <w:sz w:val="13"/>
          <w:szCs w:val="13"/>
          <w:color w:val="auto"/>
        </w:rPr>
        <w:t>— At least annually, we assess whether goodwill is impaired. We assess whether an impairment exists by comparing the fair value of each Group to its carrying value,</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goodwill. We rely on discounted cash flow analysis, which requires significant judgments and estimates about the future operations of each Group, to develop our estimates of fair value. Additional impairment assessments may be performed on an interim basis if we encounter events or changes in circumstances that would indicate that, more likely than not, the carrying value of goodwill has been impaired.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trust and escrow accounts</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As of December 31, 2008, our restricted trust and escrow accounts consist principally of (i) funds deposited for purposes of settling landfill closure, post-closure and environmental remediation obligations; (ii) funds held in trust for the construction of various facilities; and (iii) funds held in trust for the repayment of our debt obligations. As of December 31, 2008 and 2007, we had $381 million and $418 million, respectively, of restricted trust and escrow accounts, which are primarily included in long-term “Other assets” in our Consolidated Balance Sheets.</w:t>
      </w:r>
    </w:p>
    <w:p>
      <w:pPr>
        <w:spacing w:after="0" w:line="70" w:lineRule="exact"/>
        <w:rPr>
          <w:sz w:val="20"/>
          <w:szCs w:val="20"/>
          <w:color w:val="auto"/>
        </w:rPr>
      </w:pPr>
    </w:p>
    <w:p>
      <w:pPr>
        <w:ind w:left="680" w:right="340" w:firstLine="399"/>
        <w:spacing w:after="0" w:line="305" w:lineRule="auto"/>
        <w:rPr>
          <w:sz w:val="20"/>
          <w:szCs w:val="20"/>
          <w:color w:val="auto"/>
        </w:rPr>
      </w:pPr>
      <w:r>
        <w:rPr>
          <w:rFonts w:ascii="Arial" w:cs="Arial" w:eastAsia="Arial" w:hAnsi="Arial"/>
          <w:sz w:val="11"/>
          <w:szCs w:val="11"/>
          <w:i w:val="1"/>
          <w:iCs w:val="1"/>
          <w:color w:val="auto"/>
        </w:rPr>
        <w:t xml:space="preserve">Closure, post-closure and environmental remediation funds </w:t>
      </w:r>
      <w:r>
        <w:rPr>
          <w:rFonts w:ascii="Arial" w:cs="Arial" w:eastAsia="Arial" w:hAnsi="Arial"/>
          <w:sz w:val="11"/>
          <w:szCs w:val="11"/>
          <w:color w:val="auto"/>
        </w:rPr>
        <w:t>— At several of our landfills, we provide financial assurance by depositing cash into restricted trust funds or escrow</w:t>
      </w:r>
      <w:r>
        <w:rPr>
          <w:rFonts w:ascii="Arial" w:cs="Arial" w:eastAsia="Arial" w:hAnsi="Arial"/>
          <w:sz w:val="11"/>
          <w:szCs w:val="11"/>
          <w:i w:val="1"/>
          <w:iCs w:val="1"/>
          <w:color w:val="auto"/>
        </w:rPr>
        <w:t xml:space="preserve"> </w:t>
      </w:r>
      <w:r>
        <w:rPr>
          <w:rFonts w:ascii="Arial" w:cs="Arial" w:eastAsia="Arial" w:hAnsi="Arial"/>
          <w:sz w:val="11"/>
          <w:szCs w:val="11"/>
          <w:color w:val="auto"/>
        </w:rPr>
        <w:t>accounts for purposes of settling closure, post-closure and environmental remediation obligations. Balances maintained in these trust funds and escrow accounts will fluctuate based on</w:t>
      </w:r>
    </w:p>
    <w:p>
      <w:pPr>
        <w:spacing w:after="0" w:line="1" w:lineRule="exact"/>
        <w:rPr>
          <w:sz w:val="20"/>
          <w:szCs w:val="20"/>
          <w:color w:val="auto"/>
        </w:rPr>
      </w:pPr>
    </w:p>
    <w:p>
      <w:pPr>
        <w:ind w:left="680" w:right="40" w:firstLine="7"/>
        <w:spacing w:after="0" w:line="307" w:lineRule="auto"/>
        <w:tabs>
          <w:tab w:leader="none" w:pos="836" w:val="left"/>
        </w:tabs>
        <w:numPr>
          <w:ilvl w:val="0"/>
          <w:numId w:val="68"/>
        </w:numPr>
        <w:rPr>
          <w:rFonts w:ascii="Arial" w:cs="Arial" w:eastAsia="Arial" w:hAnsi="Arial"/>
          <w:sz w:val="12"/>
          <w:szCs w:val="12"/>
          <w:color w:val="auto"/>
        </w:rPr>
      </w:pPr>
      <w:r>
        <w:rPr>
          <w:rFonts w:ascii="Arial" w:cs="Arial" w:eastAsia="Arial" w:hAnsi="Arial"/>
          <w:sz w:val="12"/>
          <w:szCs w:val="12"/>
          <w:color w:val="auto"/>
        </w:rPr>
        <w:t>changes in statutory requirements; (ii) future deposits made to comply with contractual arrangements; (iii) the ongoing use of funds for qualifying closure, post-closure and environmental remediation activities; (iv) acquisitions or divestitures of landfills; and (v) changes in the fair value of the financial instruments held in the trust fund or escrow accounts.</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i w:val="1"/>
          <w:iCs w:val="1"/>
          <w:color w:val="auto"/>
        </w:rPr>
        <w:t xml:space="preserve">Tax-exempt bond funds </w:t>
      </w:r>
      <w:r>
        <w:rPr>
          <w:rFonts w:ascii="Arial" w:cs="Arial" w:eastAsia="Arial" w:hAnsi="Arial"/>
          <w:sz w:val="13"/>
          <w:szCs w:val="13"/>
          <w:color w:val="auto"/>
        </w:rPr>
        <w:t>— We obtain funds from the issuance of industrial revenue bonds for the construction of collection and disposal facilities and for equipment necessary to</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waste management services. Proceeds from these arrangements are directly deposited into trust accounts, and we do not have the ability to use the funds in regular operating activities. Accordingly, these borrowings are excluded from financing activities in our Statement of Cash Flows. At the time our construction and equipment expenditures have been documented and approved by the applicable bond trustee, the funds are released and we receive cash. These amounts are reported in the Statement of Cash Flows as an investing activity when the cash is released from the trust funds. Generally, the funds are fully expended within a few years of the debt issuance. When the debt matures, we repay our obligation with cash on hand and the debt repayments are included as a financing activity in the Statement of Cash Flows.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Debt service funds </w:t>
      </w:r>
      <w:r>
        <w:rPr>
          <w:rFonts w:ascii="Arial" w:cs="Arial" w:eastAsia="Arial" w:hAnsi="Arial"/>
          <w:sz w:val="13"/>
          <w:szCs w:val="13"/>
          <w:color w:val="auto"/>
        </w:rPr>
        <w:t>— Funds are held in trust to meet future principal and interest payments required under certain of our tax-exempt project bonds.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 financial instruments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We primarily use derivative financial instruments to manage our risk associated with fluctuations in interest rates and foreign currency exchange rates. We use interest rate swaps to maintain a strategic portion of our debt obligations at variable, market-driven interest rates. In prior periods, we have also entered into interest rate derivatives in anticipation of our senior note issuances to effectively lock in a fixed interest rate. Foreign currency exchange rate derivatives are used to hedge our exposure to changes in exchange rates for anticipated cash transactions between WM Holdings and its Canadian subsidiaries.</w:t>
      </w:r>
    </w:p>
    <w:p>
      <w:pPr>
        <w:spacing w:after="0" w:line="7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We obtain current valuations of our interest rate and foreign currency hedging instruments from third-party pricing models. The estimated fair values of derivatives used to hedge risks fluctuate over time and should be viewed in relation to the underlying hedged transaction and the overall management of our exposure to fluctuations in the underlying risks. The fair value of derivatives is included in other current assets, other long-term assets, accrued liabilities or other long-term liabilities, as appropriate. Any ineffectiveness present in either fair value or cash flow hedges is recognized immediately in earnings without offset. There was no significant ineffectiveness in 2008, 2007 or 2006.</w:t>
      </w:r>
    </w:p>
    <w:p>
      <w:pPr>
        <w:spacing w:after="0" w:line="53" w:lineRule="exact"/>
        <w:rPr>
          <w:sz w:val="20"/>
          <w:szCs w:val="20"/>
          <w:color w:val="auto"/>
        </w:rPr>
      </w:pPr>
    </w:p>
    <w:p>
      <w:pPr>
        <w:ind w:left="1280" w:hanging="190"/>
        <w:spacing w:after="0" w:line="289" w:lineRule="auto"/>
        <w:tabs>
          <w:tab w:leader="none" w:pos="1280" w:val="left"/>
        </w:tabs>
        <w:numPr>
          <w:ilvl w:val="0"/>
          <w:numId w:val="69"/>
        </w:numPr>
        <w:rPr>
          <w:rFonts w:ascii="Arial" w:cs="Arial" w:eastAsia="Arial" w:hAnsi="Arial"/>
          <w:sz w:val="12"/>
          <w:szCs w:val="12"/>
          <w:color w:val="auto"/>
        </w:rPr>
      </w:pPr>
      <w:r>
        <w:rPr>
          <w:rFonts w:ascii="Arial" w:cs="Arial" w:eastAsia="Arial" w:hAnsi="Arial"/>
          <w:sz w:val="12"/>
          <w:szCs w:val="12"/>
          <w:i w:val="1"/>
          <w:iCs w:val="1"/>
          <w:color w:val="auto"/>
        </w:rPr>
        <w:t xml:space="preserve">Interest rate derivatives </w:t>
      </w:r>
      <w:r>
        <w:rPr>
          <w:rFonts w:ascii="Arial" w:cs="Arial" w:eastAsia="Arial" w:hAnsi="Arial"/>
          <w:sz w:val="12"/>
          <w:szCs w:val="12"/>
          <w:color w:val="auto"/>
        </w:rPr>
        <w:t>— Our interest rate swaps have been designated as fair value hedges for accounting purposes, which results in derivative assets being accounted for as</w:t>
      </w:r>
      <w:r>
        <w:rPr>
          <w:rFonts w:ascii="Arial" w:cs="Arial" w:eastAsia="Arial" w:hAnsi="Arial"/>
          <w:sz w:val="12"/>
          <w:szCs w:val="12"/>
          <w:i w:val="1"/>
          <w:iCs w:val="1"/>
          <w:color w:val="auto"/>
        </w:rPr>
        <w:t xml:space="preserve"> </w:t>
      </w:r>
      <w:r>
        <w:rPr>
          <w:rFonts w:ascii="Arial" w:cs="Arial" w:eastAsia="Arial" w:hAnsi="Arial"/>
          <w:sz w:val="12"/>
          <w:szCs w:val="12"/>
          <w:color w:val="auto"/>
        </w:rPr>
        <w:t>corresponding increases in the carrying value of our underlying debt obligations and derivative liabilities being accounted for as corresponding decreases in the carrying value of our underlying debt instruments. These fair value adjustments are deferred and recognized as an adjustment to interest expense over the remaining term of the hedged instruments. The impacts of our use of interest rate derivatives on the carrying value of our debt and interest expense are discussed in Note 7.</w:t>
      </w:r>
    </w:p>
    <w:p>
      <w:pPr>
        <w:spacing w:after="0" w:line="43" w:lineRule="exact"/>
        <w:rPr>
          <w:rFonts w:ascii="Arial" w:cs="Arial" w:eastAsia="Arial" w:hAnsi="Arial"/>
          <w:sz w:val="12"/>
          <w:szCs w:val="12"/>
          <w:color w:val="auto"/>
        </w:rPr>
      </w:pPr>
    </w:p>
    <w:p>
      <w:pPr>
        <w:ind w:left="1280" w:right="160" w:hanging="190"/>
        <w:spacing w:after="0" w:line="289" w:lineRule="auto"/>
        <w:tabs>
          <w:tab w:leader="none" w:pos="1280" w:val="left"/>
        </w:tabs>
        <w:numPr>
          <w:ilvl w:val="0"/>
          <w:numId w:val="69"/>
        </w:numPr>
        <w:rPr>
          <w:rFonts w:ascii="Arial" w:cs="Arial" w:eastAsia="Arial" w:hAnsi="Arial"/>
          <w:sz w:val="12"/>
          <w:szCs w:val="12"/>
          <w:color w:val="auto"/>
        </w:rPr>
      </w:pPr>
      <w:r>
        <w:rPr>
          <w:rFonts w:ascii="Arial" w:cs="Arial" w:eastAsia="Arial" w:hAnsi="Arial"/>
          <w:sz w:val="12"/>
          <w:szCs w:val="12"/>
          <w:i w:val="1"/>
          <w:iCs w:val="1"/>
          <w:color w:val="auto"/>
        </w:rPr>
        <w:t xml:space="preserve">Foreign currency derivatives </w:t>
      </w:r>
      <w:r>
        <w:rPr>
          <w:rFonts w:ascii="Arial" w:cs="Arial" w:eastAsia="Arial" w:hAnsi="Arial"/>
          <w:sz w:val="12"/>
          <w:szCs w:val="12"/>
          <w:color w:val="auto"/>
        </w:rPr>
        <w:t>— Our foreign currency derivatives have been designated as cash flow hedges for accounting purposes, which results in the unrealized changes in</w:t>
      </w:r>
      <w:r>
        <w:rPr>
          <w:rFonts w:ascii="Arial" w:cs="Arial" w:eastAsia="Arial" w:hAnsi="Arial"/>
          <w:sz w:val="12"/>
          <w:szCs w:val="12"/>
          <w:i w:val="1"/>
          <w:iCs w:val="1"/>
          <w:color w:val="auto"/>
        </w:rPr>
        <w:t xml:space="preserve"> </w:t>
      </w:r>
      <w:r>
        <w:rPr>
          <w:rFonts w:ascii="Arial" w:cs="Arial" w:eastAsia="Arial" w:hAnsi="Arial"/>
          <w:sz w:val="12"/>
          <w:szCs w:val="12"/>
          <w:color w:val="auto"/>
        </w:rPr>
        <w:t>the fair value of the derivative instruments being recorded in “Accumulated other comprehensive income” within the equity section of our Consolidated Balance Sheets. The associated balance in other comprehensive income is reclassified to earnings as the hedged cash flows occur. In each of the periods presented, these derivatives have effectively mitigated the impacts of the hedged transactions, resulting in immaterial impacts to our results of operations for the periods presented.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Self-insurance reserves and recoveries</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We have retained a significant portion of the risks related to our health and welfare, automobile, general liability and workers’ compensation insurance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unpaid claims is included in “Accrued liabilities” in our Consolidated Balance Sheets if expected to be settled within one year, or otherwise is included in long-term “Other liabilities.” Estimated insurance recoveries related to recorded liabilities are reflected as current “Other receivables” or long-term “Other assets” in our Consolidated Balance Sheets when we believe that the receipt of such amounts is probable.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6" w:lineRule="exact"/>
        <w:rPr>
          <w:sz w:val="20"/>
          <w:szCs w:val="20"/>
          <w:color w:val="auto"/>
        </w:rPr>
      </w:pPr>
    </w:p>
    <w:p>
      <w:pPr>
        <w:jc w:val="both"/>
        <w:ind w:left="680" w:right="540" w:firstLine="399"/>
        <w:spacing w:after="0" w:line="264" w:lineRule="auto"/>
        <w:rPr>
          <w:sz w:val="20"/>
          <w:szCs w:val="20"/>
          <w:color w:val="auto"/>
        </w:rPr>
      </w:pPr>
      <w:r>
        <w:rPr>
          <w:rFonts w:ascii="Arial" w:cs="Arial" w:eastAsia="Arial" w:hAnsi="Arial"/>
          <w:sz w:val="13"/>
          <w:szCs w:val="13"/>
          <w:color w:val="auto"/>
        </w:rPr>
        <w:t>We have operations in Canada. The functional currency of our Canadian subsidiaries is Canadian dollars. The assets and liabilities of our foreign operations are translated to U.S. dollars using the exchange rate at the balance sheet date. Revenues and expenses are translated to U.S. dollars using the average exchange rate during the period. The resulting translation difference is reflected as a component of comprehensive income.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Our revenues are generated from the fees we charge for waste collection, transfer, disposal and recycling services and the sale of recycled commodities, electricity and steam. The fees charged for our services are generally defined in our service agreements and vary based on contract specific terms such as frequency of service, weight, volume and the general market factors influencing a region’s rates. The fees we charge for our services generally include fuel surcharges, which are intended to pass through increased direct and indirect costs incurred because of changes in market prices for fuel. We generally recognize revenue as services are performed or products are delivered. For example, revenue typically is recognized as waste is collected, tons are received at our landfills or transfer stations, recycling commodities are delivered or as kilowatts are delivered to a customer by a waste-to-energy facility or independent power production plant.</w:t>
      </w:r>
    </w:p>
    <w:p>
      <w:pPr>
        <w:spacing w:after="0" w:line="72"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Capitalized interest</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capitalize interest on certain projects under development, including internal-use software and landfill expansion projects, and on certain assets under construction, including operating landfills and waste-to-energy facilities. During 2008, 2007 and 2006, total interest costs were $472 million, $543 million and $563 million, respectively, of which $17 million for 2008, $22 million for 2007 and $18 million for 2006, were capitalized, primarily for landfill construction costs. The capitalization of interest for operating landfills is based on the costs incurred in the pursuit of probable landfill expansions and on discrete landfill cell construction projects that are expected to exceed $500,000 and require over 60 days to construct. In addition to the direct cost of the cell construction project, the calculation of capitalized interest includes an allocated portion of the common landfill site costs. The common landfill site costs include the development costs of a landfill project or the purchase price of an operating landfill, and the ongoing infrastructure costs benefiting the landfill over its useful life. These costs are amortized to expense in a manner consistent with other landfill site costs.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400" w:firstLine="399"/>
        <w:spacing w:after="0" w:line="320" w:lineRule="auto"/>
        <w:rPr>
          <w:sz w:val="20"/>
          <w:szCs w:val="20"/>
          <w:color w:val="auto"/>
        </w:rPr>
      </w:pPr>
      <w:r>
        <w:rPr>
          <w:rFonts w:ascii="Arial" w:cs="Arial" w:eastAsia="Arial" w:hAnsi="Arial"/>
          <w:sz w:val="12"/>
          <w:szCs w:val="12"/>
          <w:color w:val="auto"/>
        </w:rPr>
        <w:t>The Company is subject to income tax in the United States, Canada and Puerto Rico. Current tax obligations associated with our provision for income taxes are reflected in the accompanying Consolidated Balance Sheets as a component of “Accrued liabilities,” and the deferred tax obligations are reflected in “Deferred income taxes.”</w:t>
      </w:r>
    </w:p>
    <w:p>
      <w:pPr>
        <w:spacing w:after="0" w:line="35"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0"/>
        <w:spacing w:after="0" w:line="264" w:lineRule="auto"/>
        <w:rPr>
          <w:sz w:val="20"/>
          <w:szCs w:val="20"/>
          <w:color w:val="auto"/>
        </w:rPr>
      </w:pPr>
      <w:r>
        <w:rPr>
          <w:rFonts w:ascii="Arial" w:cs="Arial" w:eastAsia="Arial" w:hAnsi="Arial"/>
          <w:sz w:val="13"/>
          <w:szCs w:val="13"/>
          <w:color w:val="auto"/>
        </w:rPr>
        <w:t>likely than not that some portion or all of the deferred tax assets will not be realized. Significant judgment is required in assessing the timing and amounts of deductible and taxable items. We establish reserves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67"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To the extent interest and penalties may be assessed by taxing authorities on any underpayment of income tax, such amounts have been accrued and are classified as a component of income tax expense in our Consolidated Statements of Operations. We elected this accounting policy, which is a continuation of our historical policy, in connection with our adoption of FIN 48.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liabilities</w:t>
      </w:r>
    </w:p>
    <w:p>
      <w:pPr>
        <w:spacing w:after="0" w:line="96" w:lineRule="exact"/>
        <w:rPr>
          <w:sz w:val="20"/>
          <w:szCs w:val="20"/>
          <w:color w:val="auto"/>
        </w:rPr>
      </w:pPr>
    </w:p>
    <w:p>
      <w:pPr>
        <w:jc w:val="both"/>
        <w:ind w:left="680" w:right="860" w:firstLine="399"/>
        <w:spacing w:after="0" w:line="296" w:lineRule="auto"/>
        <w:rPr>
          <w:sz w:val="20"/>
          <w:szCs w:val="20"/>
          <w:color w:val="auto"/>
        </w:rPr>
      </w:pPr>
      <w:r>
        <w:rPr>
          <w:rFonts w:ascii="Arial" w:cs="Arial" w:eastAsia="Arial" w:hAnsi="Arial"/>
          <w:sz w:val="12"/>
          <w:szCs w:val="12"/>
          <w:color w:val="auto"/>
        </w:rPr>
        <w:t>We estimate the amount of potential exposure we may have with respect to claims, assessments and litigation in accordance with SFAS No. 5. We are party to pending or threatened legal proceedings covering a wide range of matters in various jurisdictions. It is not always possible to predict the outcome of litigation, as it is subject to many uncertainties. Additionally, it is not always possible for management to make a meaningful estimate of the potential loss or range of loss associated with such litigation.</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Supplemental cash flow information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200" w:type="dxa"/>
            <w:vAlign w:val="bottom"/>
          </w:tcPr>
          <w:p>
            <w:pPr>
              <w:spacing w:after="0"/>
              <w:rPr>
                <w:sz w:val="10"/>
                <w:szCs w:val="10"/>
                <w:color w:val="auto"/>
              </w:rPr>
            </w:pPr>
          </w:p>
        </w:tc>
        <w:tc>
          <w:tcPr>
            <w:tcW w:w="1780" w:type="dxa"/>
            <w:vAlign w:val="bottom"/>
            <w:gridSpan w:val="6"/>
          </w:tcPr>
          <w:p>
            <w:pPr>
              <w:jc w:val="right"/>
              <w:ind w:right="340"/>
              <w:spacing w:after="0"/>
              <w:rPr>
                <w:sz w:val="20"/>
                <w:szCs w:val="20"/>
                <w:color w:val="auto"/>
              </w:rPr>
            </w:pPr>
            <w:r>
              <w:rPr>
                <w:rFonts w:ascii="Arial" w:cs="Arial" w:eastAsia="Arial" w:hAnsi="Arial"/>
                <w:sz w:val="10"/>
                <w:szCs w:val="10"/>
                <w:b w:val="1"/>
                <w:bCs w:val="1"/>
                <w:color w:val="auto"/>
              </w:rPr>
              <w:t>Years Ended December 31,</w:t>
            </w:r>
          </w:p>
        </w:tc>
      </w:tr>
      <w:tr>
        <w:trPr>
          <w:trHeight w:val="98"/>
        </w:trPr>
        <w:tc>
          <w:tcPr>
            <w:tcW w:w="820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r>
      <w:tr>
        <w:trPr>
          <w:trHeight w:val="29"/>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paid during the year (in millions) for:</w:t>
            </w: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200" w:type="dxa"/>
            <w:vAlign w:val="bottom"/>
          </w:tcPr>
          <w:p>
            <w:pPr>
              <w:ind w:left="140"/>
              <w:spacing w:after="0"/>
              <w:rPr>
                <w:sz w:val="20"/>
                <w:szCs w:val="20"/>
                <w:color w:val="auto"/>
              </w:rPr>
            </w:pPr>
            <w:r>
              <w:rPr>
                <w:rFonts w:ascii="Arial" w:cs="Arial" w:eastAsia="Arial" w:hAnsi="Arial"/>
                <w:sz w:val="13"/>
                <w:szCs w:val="13"/>
                <w:color w:val="auto"/>
              </w:rPr>
              <w:t>Interest, net of capitalized interest and periodic settlements from interest rate swap agreements</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$ 478</w:t>
            </w:r>
          </w:p>
        </w:tc>
        <w:tc>
          <w:tcPr>
            <w:tcW w:w="700" w:type="dxa"/>
            <w:vAlign w:val="bottom"/>
            <w:gridSpan w:val="2"/>
          </w:tcPr>
          <w:p>
            <w:pPr>
              <w:jc w:val="right"/>
              <w:ind w:right="400"/>
              <w:spacing w:after="0"/>
              <w:rPr>
                <w:sz w:val="20"/>
                <w:szCs w:val="20"/>
                <w:color w:val="auto"/>
              </w:rPr>
            </w:pPr>
            <w:r>
              <w:rPr>
                <w:rFonts w:ascii="Arial" w:cs="Arial" w:eastAsia="Arial" w:hAnsi="Arial"/>
                <w:sz w:val="13"/>
                <w:szCs w:val="13"/>
                <w:color w:val="auto"/>
                <w:w w:val="85"/>
              </w:rPr>
              <w:t>$ 543</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w w:val="79"/>
              </w:rPr>
              <w:t>$ 548</w:t>
            </w:r>
          </w:p>
        </w:tc>
      </w:tr>
      <w:tr>
        <w:trPr>
          <w:trHeight w:val="157"/>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taxes</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603</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475</w:t>
            </w:r>
          </w:p>
        </w:tc>
      </w:tr>
    </w:tbl>
    <w:p>
      <w:pPr>
        <w:spacing w:after="0" w:line="80" w:lineRule="exact"/>
        <w:rPr>
          <w:sz w:val="20"/>
          <w:szCs w:val="20"/>
          <w:color w:val="auto"/>
        </w:rPr>
      </w:pPr>
    </w:p>
    <w:p>
      <w:pPr>
        <w:ind w:left="680" w:right="1260" w:firstLine="399"/>
        <w:spacing w:after="0" w:line="320" w:lineRule="auto"/>
        <w:rPr>
          <w:sz w:val="20"/>
          <w:szCs w:val="20"/>
          <w:color w:val="auto"/>
        </w:rPr>
      </w:pPr>
      <w:r>
        <w:rPr>
          <w:rFonts w:ascii="Arial" w:cs="Arial" w:eastAsia="Arial" w:hAnsi="Arial"/>
          <w:sz w:val="12"/>
          <w:szCs w:val="12"/>
          <w:color w:val="auto"/>
        </w:rPr>
        <w:t>Non-cash investing and financing activities are excluded from the Consolidated Statements of Cash Flows. For the years ended December 31, 2008, 2007 and 2006, non-cash activities included proceeds from tax-exempt borrowings, net of principal payments made directly from trust funds, of $169 million, $144 million and $157 million, respectively.</w:t>
      </w:r>
    </w:p>
    <w:p>
      <w:pPr>
        <w:spacing w:after="0" w:line="110" w:lineRule="exact"/>
        <w:rPr>
          <w:sz w:val="20"/>
          <w:szCs w:val="20"/>
          <w:color w:val="auto"/>
        </w:rPr>
      </w:pPr>
    </w:p>
    <w:p>
      <w:pPr>
        <w:ind w:left="1000" w:hanging="313"/>
        <w:spacing w:after="0"/>
        <w:tabs>
          <w:tab w:leader="none" w:pos="1000" w:val="left"/>
        </w:tabs>
        <w:numPr>
          <w:ilvl w:val="0"/>
          <w:numId w:val="70"/>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w w:val="95"/>
              </w:rPr>
              <w:t>December 31, 2008</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w w:val="93"/>
              </w:rPr>
              <w:t>December 31, 2007</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Landfill</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68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7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Landfill</w:t>
            </w:r>
          </w:p>
        </w:tc>
        <w:tc>
          <w:tcPr>
            <w:tcW w:w="100" w:type="dxa"/>
            <w:vAlign w:val="bottom"/>
          </w:tcPr>
          <w:p>
            <w:pPr>
              <w:spacing w:after="0"/>
              <w:rPr>
                <w:sz w:val="7"/>
                <w:szCs w:val="7"/>
                <w:color w:val="auto"/>
              </w:rPr>
            </w:pPr>
          </w:p>
        </w:tc>
        <w:tc>
          <w:tcPr>
            <w:tcW w:w="130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Environmental</w:t>
            </w:r>
          </w:p>
        </w:tc>
        <w:tc>
          <w:tcPr>
            <w:tcW w:w="100" w:type="dxa"/>
            <w:vAlign w:val="bottom"/>
          </w:tcPr>
          <w:p>
            <w:pPr>
              <w:spacing w:after="0"/>
              <w:rPr>
                <w:sz w:val="7"/>
                <w:szCs w:val="7"/>
                <w:color w:val="auto"/>
              </w:rPr>
            </w:pPr>
          </w:p>
        </w:tc>
        <w:tc>
          <w:tcPr>
            <w:tcW w:w="48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Remediation</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Remediation</w:t>
            </w:r>
          </w:p>
        </w:tc>
        <w:tc>
          <w:tcPr>
            <w:tcW w:w="100" w:type="dxa"/>
            <w:vAlign w:val="bottom"/>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Long-term</w:t>
            </w:r>
          </w:p>
        </w:tc>
        <w:tc>
          <w:tcPr>
            <w:tcW w:w="6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1,110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color w:val="auto"/>
              </w:rPr>
              <w:t>1,360</w:t>
            </w:r>
          </w:p>
        </w:tc>
        <w:tc>
          <w:tcPr>
            <w:tcW w:w="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1,072</w:t>
            </w:r>
          </w:p>
        </w:tc>
        <w:tc>
          <w:tcPr>
            <w:tcW w:w="100" w:type="dxa"/>
            <w:vAlign w:val="bottom"/>
          </w:tcPr>
          <w:p>
            <w:pPr>
              <w:spacing w:after="0"/>
              <w:rPr>
                <w:sz w:val="13"/>
                <w:szCs w:val="13"/>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1,312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1,517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1,178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1"/>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75</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changes to landfill and environmental remediation liabilities for the years ended December 31, 2007 and 2008 are as follows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1,121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Revisions in cost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1,178</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77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Revisions in cost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1,218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880" w:firstLine="399"/>
        <w:spacing w:after="0" w:line="264" w:lineRule="auto"/>
        <w:rPr>
          <w:sz w:val="20"/>
          <w:szCs w:val="20"/>
          <w:color w:val="auto"/>
        </w:rPr>
      </w:pPr>
      <w:r>
        <w:rPr>
          <w:rFonts w:ascii="Arial" w:cs="Arial" w:eastAsia="Arial" w:hAnsi="Arial"/>
          <w:sz w:val="13"/>
          <w:szCs w:val="13"/>
          <w:color w:val="auto"/>
        </w:rPr>
        <w:t>Our recorded liabilities as of December 31, 2008 include the impacts of inflating certain of these costs based on our expectations for the timing of cash settlement and of discounting certain of these costs to present value. Anticipated payments of currently identified environmental remediation liabilities as measured in current dollars are $49 million in 2009; $35 million in 2010; $24 million in 2011; $18 million in 2012; $15 million in 2013; and $152 million thereafter.</w:t>
      </w:r>
    </w:p>
    <w:p>
      <w:pPr>
        <w:spacing w:after="0" w:line="67" w:lineRule="exact"/>
        <w:rPr>
          <w:sz w:val="20"/>
          <w:szCs w:val="20"/>
          <w:color w:val="auto"/>
        </w:rPr>
      </w:pPr>
    </w:p>
    <w:p>
      <w:pPr>
        <w:ind w:left="680" w:right="1160" w:firstLine="399"/>
        <w:spacing w:after="0" w:line="264" w:lineRule="auto"/>
        <w:rPr>
          <w:sz w:val="20"/>
          <w:szCs w:val="20"/>
          <w:color w:val="auto"/>
        </w:rPr>
      </w:pPr>
      <w:r>
        <w:rPr>
          <w:rFonts w:ascii="Arial" w:cs="Arial" w:eastAsia="Arial" w:hAnsi="Arial"/>
          <w:sz w:val="13"/>
          <w:szCs w:val="13"/>
          <w:color w:val="auto"/>
        </w:rPr>
        <w:t>At several of our landfills, we provide financial assurance by depositing cash into restricted trust funds or escrow accounts for purposes of settling closure, post-closure and environmental remediation obligations. The fair value of these escrow accounts and trust funds was $213 million at December 31, 2008 and $231 million at December 31, 2007, and is primarily included as long-term “Other assets” in our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3"/>
                <w:szCs w:val="13"/>
                <w:b w:val="1"/>
                <w:bCs w:val="1"/>
                <w:color w:val="auto"/>
              </w:rPr>
              <w:t>5.</w:t>
            </w:r>
          </w:p>
        </w:tc>
        <w:tc>
          <w:tcPr>
            <w:tcW w:w="8140" w:type="dxa"/>
            <w:vAlign w:val="bottom"/>
            <w:gridSpan w:val="2"/>
          </w:tcPr>
          <w:p>
            <w:pPr>
              <w:jc w:val="right"/>
              <w:ind w:right="6671"/>
              <w:spacing w:after="0"/>
              <w:rPr>
                <w:sz w:val="20"/>
                <w:szCs w:val="20"/>
                <w:color w:val="auto"/>
              </w:rPr>
            </w:pPr>
            <w:r>
              <w:rPr>
                <w:rFonts w:ascii="Arial" w:cs="Arial" w:eastAsia="Arial" w:hAnsi="Arial"/>
                <w:sz w:val="13"/>
                <w:szCs w:val="13"/>
                <w:b w:val="1"/>
                <w:bCs w:val="1"/>
                <w:color w:val="auto"/>
                <w:w w:val="92"/>
              </w:rPr>
              <w:t>Property and Equipment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140" w:type="dxa"/>
            <w:vAlign w:val="bottom"/>
            <w:gridSpan w:val="2"/>
          </w:tcPr>
          <w:p>
            <w:pPr>
              <w:jc w:val="right"/>
              <w:ind w:right="3751"/>
              <w:spacing w:after="0"/>
              <w:rPr>
                <w:sz w:val="20"/>
                <w:szCs w:val="20"/>
                <w:color w:val="auto"/>
              </w:rPr>
            </w:pPr>
            <w:r>
              <w:rPr>
                <w:rFonts w:ascii="Arial" w:cs="Arial" w:eastAsia="Arial" w:hAnsi="Arial"/>
                <w:sz w:val="13"/>
                <w:szCs w:val="13"/>
                <w:color w:val="auto"/>
                <w:w w:val="94"/>
              </w:rPr>
              <w:t>Property and equipment at December 31 consisted of the following (in millions):</w:t>
            </w: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Land</w:t>
            </w:r>
          </w:p>
        </w:tc>
        <w:tc>
          <w:tcPr>
            <w:tcW w:w="814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440" w:type="dxa"/>
            <w:vAlign w:val="bottom"/>
            <w:gridSpan w:val="3"/>
          </w:tcPr>
          <w:p>
            <w:pPr>
              <w:spacing w:after="0"/>
              <w:rPr>
                <w:sz w:val="20"/>
                <w:szCs w:val="20"/>
                <w:color w:val="auto"/>
              </w:rPr>
            </w:pPr>
            <w:r>
              <w:rPr>
                <w:rFonts w:ascii="Arial" w:cs="Arial" w:eastAsia="Arial" w:hAnsi="Arial"/>
                <w:sz w:val="13"/>
                <w:szCs w:val="13"/>
                <w:color w:val="auto"/>
              </w:rPr>
              <w:t>Landfills</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11,716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11,549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Vehicles</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3,683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440" w:type="dxa"/>
            <w:vAlign w:val="bottom"/>
            <w:gridSpan w:val="3"/>
          </w:tcPr>
          <w:p>
            <w:pPr>
              <w:spacing w:after="0"/>
              <w:rPr>
                <w:sz w:val="20"/>
                <w:szCs w:val="20"/>
                <w:color w:val="auto"/>
              </w:rPr>
            </w:pPr>
            <w:r>
              <w:rPr>
                <w:rFonts w:ascii="Arial" w:cs="Arial" w:eastAsia="Arial" w:hAnsi="Arial"/>
                <w:sz w:val="13"/>
                <w:szCs w:val="13"/>
                <w:color w:val="auto"/>
              </w:rPr>
              <w:t>Machinery and equipment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3,079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2,929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Containers</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440" w:type="dxa"/>
            <w:vAlign w:val="bottom"/>
            <w:gridSpan w:val="3"/>
          </w:tcPr>
          <w:p>
            <w:pPr>
              <w:spacing w:after="0"/>
              <w:rPr>
                <w:sz w:val="20"/>
                <w:szCs w:val="20"/>
                <w:color w:val="auto"/>
              </w:rPr>
            </w:pPr>
            <w:r>
              <w:rPr>
                <w:rFonts w:ascii="Arial" w:cs="Arial" w:eastAsia="Arial" w:hAnsi="Arial"/>
                <w:sz w:val="13"/>
                <w:szCs w:val="13"/>
                <w:color w:val="auto"/>
              </w:rPr>
              <w:t>Buildings and improvements</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2,635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2,541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fixtures and office equipment</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684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24,675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24,195</w:t>
            </w:r>
          </w:p>
        </w:tc>
        <w:tc>
          <w:tcPr>
            <w:tcW w:w="800" w:type="dxa"/>
            <w:vAlign w:val="bottom"/>
          </w:tcPr>
          <w:p>
            <w:pPr>
              <w:spacing w:after="0"/>
              <w:rPr>
                <w:sz w:val="13"/>
                <w:szCs w:val="13"/>
                <w:color w:val="auto"/>
              </w:rPr>
            </w:pPr>
          </w:p>
        </w:tc>
      </w:tr>
      <w:tr>
        <w:trPr>
          <w:trHeight w:val="158"/>
        </w:trPr>
        <w:tc>
          <w:tcPr>
            <w:tcW w:w="680" w:type="dxa"/>
            <w:vAlign w:val="bottom"/>
          </w:tcPr>
          <w:p>
            <w:pPr>
              <w:spacing w:after="0"/>
              <w:rPr>
                <w:sz w:val="13"/>
                <w:szCs w:val="13"/>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Less accumulated depreciation on tangible property and equipment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(7,220)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(7,010)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300" w:type="dxa"/>
            <w:vAlign w:val="bottom"/>
            <w:gridSpan w:val="2"/>
          </w:tcPr>
          <w:p>
            <w:pPr>
              <w:spacing w:after="0"/>
              <w:rPr>
                <w:sz w:val="20"/>
                <w:szCs w:val="20"/>
                <w:color w:val="auto"/>
              </w:rPr>
            </w:pPr>
            <w:r>
              <w:rPr>
                <w:rFonts w:ascii="Arial" w:cs="Arial" w:eastAsia="Arial" w:hAnsi="Arial"/>
                <w:sz w:val="13"/>
                <w:szCs w:val="13"/>
                <w:color w:val="auto"/>
              </w:rPr>
              <w:t>Less accumulated landfill airspace amortization</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(6,053)</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(5,834)</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11,402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11,351</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0" w:type="dxa"/>
            <w:vAlign w:val="bottom"/>
          </w:tcPr>
          <w:p>
            <w:pPr>
              <w:jc w:val="right"/>
              <w:ind w:right="3174"/>
              <w:spacing w:after="0"/>
              <w:rPr>
                <w:sz w:val="20"/>
                <w:szCs w:val="20"/>
                <w:color w:val="auto"/>
              </w:rPr>
            </w:pPr>
            <w:r>
              <w:rPr>
                <w:rFonts w:ascii="Arial" w:cs="Arial" w:eastAsia="Arial" w:hAnsi="Arial"/>
                <w:sz w:val="13"/>
                <w:szCs w:val="13"/>
                <w:color w:val="auto"/>
              </w:rPr>
              <w:t>76</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80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Depreciation and amortization expense, including amortization expense for assets recorded as capital leases, was comprised of the following for the years ended December 31 (in millions):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r>
      <w:tr>
        <w:trPr>
          <w:trHeight w:val="29"/>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829</w:t>
            </w: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429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479</w:t>
            </w:r>
          </w:p>
        </w:tc>
      </w:tr>
      <w:tr>
        <w:trPr>
          <w:trHeight w:val="20"/>
        </w:trPr>
        <w:tc>
          <w:tcPr>
            <w:tcW w:w="7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1,308</w:t>
            </w:r>
          </w:p>
        </w:tc>
      </w:tr>
      <w:tr>
        <w:trPr>
          <w:trHeight w:val="29"/>
        </w:trPr>
        <w:tc>
          <w:tcPr>
            <w:tcW w:w="7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000" w:hanging="313"/>
        <w:spacing w:after="0"/>
        <w:tabs>
          <w:tab w:leader="none" w:pos="100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Other Intangible Assets</w:t>
      </w:r>
    </w:p>
    <w:p>
      <w:pPr>
        <w:spacing w:after="0" w:line="10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incurred no impairment of goodwill as a result of our annual, fourth quarter goodwill impairment tests in 2008, 2007 or 2006. Additionally, we did not encounter any events or changes in circumstances that indicated that an impairment was more likely than not during interim periods in 2008, 2007 or 2006. However, there can be no assurance that goodwill will not be impaired at any time in the future.</w:t>
      </w:r>
    </w:p>
    <w:p>
      <w:pPr>
        <w:spacing w:after="0" w:line="67"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In late 2008, our WMRA segment experienced a rapid decline in commodity prices due to a significant decrease in demand for recyclable commodities both domestically and internationally. This decline was considered in our annual impairment test for 2008. Although we currently believe that these market conditions are temporary in nature, a sustained period of depressed commodity prices and/or demand for recyclables could result in a significant decline in the estimated fair value of WMRA. Such a decline could require us to record a non-cash impairment charge to WMRA’s goodwill balance, which was $143 million at December 31, 2008. The estimated fair value of WMRA is based upon discounted cash flow analysis, and is directly impacted by our expectations for the recovery of commodity prices and the demand for recyclables, our cost of goods sold and interest rates used for discounting.</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20 for a summary of changes in our goodwill during 2008 and 2007 by reportable segment.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other intangible assets as of December 31, 2008 and 2007 were comprised of the following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4"/>
              </w:rPr>
              <w:t>Customer</w:t>
            </w:r>
          </w:p>
        </w:tc>
        <w:tc>
          <w:tcPr>
            <w:tcW w:w="100" w:type="dxa"/>
            <w:vAlign w:val="bottom"/>
          </w:tcPr>
          <w:p>
            <w:pPr>
              <w:spacing w:after="0"/>
              <w:rPr>
                <w:sz w:val="10"/>
                <w:szCs w:val="10"/>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3"/>
              </w:rPr>
              <w:t>Covenants</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87"/>
              </w:rPr>
              <w:t>Licenses,</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Contracts and</w:t>
            </w: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Customer</w:t>
            </w:r>
          </w:p>
        </w:tc>
        <w:tc>
          <w:tcPr>
            <w:tcW w:w="10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Not-to-</w:t>
            </w: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8"/>
              </w:rPr>
              <w:t>Permits</w:t>
            </w:r>
          </w:p>
        </w:tc>
        <w:tc>
          <w:tcPr>
            <w:tcW w:w="60" w:type="dxa"/>
            <w:vAlign w:val="bottom"/>
          </w:tcPr>
          <w:p>
            <w:pPr>
              <w:spacing w:after="0"/>
              <w:rPr>
                <w:sz w:val="9"/>
                <w:szCs w:val="9"/>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5"/>
        </w:trPr>
        <w:tc>
          <w:tcPr>
            <w:tcW w:w="5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Lists</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Compete</w:t>
            </w:r>
          </w:p>
        </w:tc>
        <w:tc>
          <w:tcPr>
            <w:tcW w:w="8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and Other</w:t>
            </w:r>
          </w:p>
        </w:tc>
        <w:tc>
          <w:tcPr>
            <w:tcW w:w="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9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2008</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Intangible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134</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accumulated amortization</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78</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65"/>
        </w:trPr>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00" w:type="dxa"/>
            <w:vAlign w:val="bottom"/>
          </w:tcPr>
          <w:p>
            <w:pPr>
              <w:ind w:left="140"/>
              <w:spacing w:after="0"/>
              <w:rPr>
                <w:sz w:val="20"/>
                <w:szCs w:val="20"/>
                <w:color w:val="auto"/>
              </w:rPr>
            </w:pPr>
            <w:r>
              <w:rPr>
                <w:rFonts w:ascii="Arial" w:cs="Arial" w:eastAsia="Arial" w:hAnsi="Arial"/>
                <w:sz w:val="13"/>
                <w:szCs w:val="13"/>
                <w:color w:val="auto"/>
              </w:rPr>
              <w:t>Intangible assets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57"/>
        </w:trPr>
        <w:tc>
          <w:tcPr>
            <w:tcW w:w="5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accumulated amortization</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57</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30"/>
        </w:trPr>
        <w:tc>
          <w:tcPr>
            <w:tcW w:w="5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Landfill operating permits are not presented above and are recognized on a combined basis with other landfill assets and amortized using our landfill amortization method. Amortization expense for other intangible assets was $24 million for 2008, $23 million for 2007 and $26 million for 2006. At December 31, 2008, we had $24 million of other intangible assets that are not subject to amortization. The intangible asset amortization expense estimated as of December 31, 2008 is $24 million in 2009; $21 million in 2010; $19 million in 2011; $17 million in 2012; and $14 million in 2013.</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72"/>
        </w:numPr>
        <w:rPr>
          <w:rFonts w:ascii="Arial" w:cs="Arial" w:eastAsia="Arial" w:hAnsi="Arial"/>
          <w:sz w:val="13"/>
          <w:szCs w:val="13"/>
          <w:b w:val="1"/>
          <w:bCs w:val="1"/>
          <w:color w:val="auto"/>
        </w:rPr>
      </w:pPr>
      <w:r>
        <w:rPr>
          <w:rFonts w:ascii="Arial" w:cs="Arial" w:eastAsia="Arial" w:hAnsi="Arial"/>
          <w:sz w:val="13"/>
          <w:szCs w:val="13"/>
          <w:b w:val="1"/>
          <w:bCs w:val="1"/>
          <w:color w:val="auto"/>
        </w:rPr>
        <w:t>Debt and Interest Rate Derivatives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summarizes the major components of debt at December 31 (in millions) and provides the maturities and interest rates of each major category as of December 31,</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2008:</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r>
      <w:tr>
        <w:trPr>
          <w:trHeight w:val="29"/>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 (weighted average interest rate of 2.4% at December 31, 2008 and 5.4% at December 31, 2007)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r>
      <w:tr>
        <w:trPr>
          <w:trHeight w:val="157"/>
        </w:trPr>
        <w:tc>
          <w:tcPr>
            <w:tcW w:w="8500" w:type="dxa"/>
            <w:vAlign w:val="bottom"/>
          </w:tcPr>
          <w:p>
            <w:pPr>
              <w:spacing w:after="0"/>
              <w:rPr>
                <w:sz w:val="20"/>
                <w:szCs w:val="20"/>
                <w:color w:val="auto"/>
              </w:rPr>
            </w:pPr>
            <w:r>
              <w:rPr>
                <w:rFonts w:ascii="Arial" w:cs="Arial" w:eastAsia="Arial" w:hAnsi="Arial"/>
                <w:sz w:val="13"/>
                <w:szCs w:val="13"/>
                <w:color w:val="auto"/>
              </w:rPr>
              <w:t>Letter of credit facilities</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 (weighted average interest rate of 3.3% at December 31, 2008 and 5.3% at December 31, 2007)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336</w:t>
            </w:r>
          </w:p>
        </w:tc>
      </w:tr>
      <w:tr>
        <w:trPr>
          <w:trHeight w:val="148"/>
        </w:trPr>
        <w:tc>
          <w:tcPr>
            <w:tcW w:w="8500" w:type="dxa"/>
            <w:vAlign w:val="bottom"/>
          </w:tcPr>
          <w:p>
            <w:pPr>
              <w:spacing w:after="0" w:line="149" w:lineRule="exact"/>
              <w:rPr>
                <w:sz w:val="20"/>
                <w:szCs w:val="20"/>
                <w:color w:val="auto"/>
              </w:rPr>
            </w:pPr>
            <w:r>
              <w:rPr>
                <w:rFonts w:ascii="Arial" w:cs="Arial" w:eastAsia="Arial" w:hAnsi="Arial"/>
                <w:sz w:val="13"/>
                <w:szCs w:val="13"/>
                <w:color w:val="auto"/>
                <w:w w:val="96"/>
              </w:rPr>
              <w:t>Senior notes and debentures, maturing through 2032, interest rates ranging from 5.0% to 7.75% (weighted average interest rate of 6.8% at December 31,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2008 and 7.0% at December 31, 2007)</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4,628</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4,584</w:t>
            </w:r>
          </w:p>
        </w:tc>
      </w:tr>
      <w:tr>
        <w:trPr>
          <w:trHeight w:val="149"/>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Tax-exempt bonds maturing through 2039, fixed and variable interest rates ranging from 0.9% to 7.4% (weighted average interest rate of 3.9% at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December 31, 2008 and 4.4% at December 31, 2007)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2,684</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2,533</w:t>
            </w:r>
          </w:p>
        </w:tc>
      </w:tr>
      <w:tr>
        <w:trPr>
          <w:trHeight w:val="148"/>
        </w:trPr>
        <w:tc>
          <w:tcPr>
            <w:tcW w:w="8500" w:type="dxa"/>
            <w:vAlign w:val="bottom"/>
          </w:tcPr>
          <w:p>
            <w:pPr>
              <w:spacing w:after="0" w:line="149" w:lineRule="exact"/>
              <w:rPr>
                <w:sz w:val="20"/>
                <w:szCs w:val="20"/>
                <w:color w:val="auto"/>
              </w:rPr>
            </w:pPr>
            <w:r>
              <w:rPr>
                <w:rFonts w:ascii="Arial" w:cs="Arial" w:eastAsia="Arial" w:hAnsi="Arial"/>
                <w:sz w:val="13"/>
                <w:szCs w:val="13"/>
                <w:color w:val="auto"/>
                <w:w w:val="97"/>
              </w:rPr>
              <w:t>Tax-exempt project bonds, principal payable in periodic installments, maturing through 2029, fixed and variable interest rates ranging from 1.2% to 9.3%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(weighted average interest rate of 4.9% at December 31, 2008 and 5.3% at December 31, 2007)</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290</w:t>
            </w: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w:t>
            </w: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8,326</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8,337</w:t>
            </w:r>
          </w:p>
        </w:tc>
      </w:tr>
      <w:tr>
        <w:trPr>
          <w:trHeight w:val="158"/>
        </w:trPr>
        <w:tc>
          <w:tcPr>
            <w:tcW w:w="8500" w:type="dxa"/>
            <w:vAlign w:val="bottom"/>
            <w:shd w:val="clear" w:color="auto" w:fill="CCEEFF"/>
          </w:tcPr>
          <w:p>
            <w:pPr>
              <w:spacing w:after="0"/>
              <w:rPr>
                <w:sz w:val="20"/>
                <w:szCs w:val="20"/>
                <w:color w:val="auto"/>
              </w:rPr>
            </w:pPr>
            <w:r>
              <w:rPr>
                <w:rFonts w:ascii="Arial" w:cs="Arial" w:eastAsia="Arial" w:hAnsi="Arial"/>
                <w:sz w:val="13"/>
                <w:szCs w:val="13"/>
                <w:color w:val="auto"/>
              </w:rPr>
              <w:t>Less current portion</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329</w:t>
            </w:r>
          </w:p>
        </w:tc>
      </w:tr>
      <w:tr>
        <w:trPr>
          <w:trHeight w:val="20"/>
        </w:trPr>
        <w:tc>
          <w:tcPr>
            <w:tcW w:w="8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7,491</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8,008</w:t>
            </w:r>
          </w:p>
        </w:tc>
      </w:tr>
      <w:tr>
        <w:trPr>
          <w:trHeight w:val="30"/>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Revolving credit facility </w:t>
      </w:r>
      <w:r>
        <w:rPr>
          <w:rFonts w:ascii="Arial" w:cs="Arial" w:eastAsia="Arial" w:hAnsi="Arial"/>
          <w:sz w:val="13"/>
          <w:szCs w:val="13"/>
          <w:color w:val="auto"/>
        </w:rPr>
        <w:t>— On August 17, 2006, WMI entered into a five-year, $2.4 billion revolving credit facility. This facility provides us with credit capacity to be used for either</w:t>
      </w:r>
      <w:r>
        <w:rPr>
          <w:rFonts w:ascii="Arial" w:cs="Arial" w:eastAsia="Arial" w:hAnsi="Arial"/>
          <w:sz w:val="13"/>
          <w:szCs w:val="13"/>
          <w:i w:val="1"/>
          <w:iCs w:val="1"/>
          <w:color w:val="auto"/>
        </w:rPr>
        <w:t xml:space="preserve"> </w:t>
      </w:r>
      <w:r>
        <w:rPr>
          <w:rFonts w:ascii="Arial" w:cs="Arial" w:eastAsia="Arial" w:hAnsi="Arial"/>
          <w:sz w:val="13"/>
          <w:szCs w:val="13"/>
          <w:color w:val="auto"/>
        </w:rPr>
        <w:t>cash borrowings or to support letters of credit. At December 31, 2008, we had $300 million of outstanding borrowings and $1,803 million of letters of credit issued and supported by the facility. The unused and available credit capacity of the facility was $297 million as of December 31, 2008.</w:t>
      </w:r>
    </w:p>
    <w:p>
      <w:pPr>
        <w:spacing w:after="0" w:line="67"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$300 million of outstanding borrowings at December 31, 2007 was repaid in the first quarter of 2008 with $50 million of available cash and $250 million of proceeds from the March 2008 issuance of senior notes discussed below. The current borrowing was made in November 2008 to repay a portion of the $386 million of 6.5% senior notes that matured on November 15, 2008.</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borrowing outstanding at December 31, 2008 matures in the first quarter of 2009, although we currently intend to refinance this borrowing on a long-term basis. Accordingly, this debt obligation has been reflected as long-term in our December 31, 2008 Consolidated Balance Sheet. As of December 31, 2007, $250 million of our outstanding debt obligation under the facility was reflected as long-term in our Consolidated Balance Sheet.</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Letter of credit facilities </w:t>
      </w:r>
      <w:r>
        <w:rPr>
          <w:rFonts w:ascii="Arial" w:cs="Arial" w:eastAsia="Arial" w:hAnsi="Arial"/>
          <w:sz w:val="13"/>
          <w:szCs w:val="13"/>
          <w:color w:val="auto"/>
        </w:rPr>
        <w:t>— As of December 31, 2008, we have a $175 million letter of credit and term loan agreement that expires in June 2010 and a $105 million letter of credit and</w:t>
      </w:r>
      <w:r>
        <w:rPr>
          <w:rFonts w:ascii="Arial" w:cs="Arial" w:eastAsia="Arial" w:hAnsi="Arial"/>
          <w:sz w:val="13"/>
          <w:szCs w:val="13"/>
          <w:i w:val="1"/>
          <w:iCs w:val="1"/>
          <w:color w:val="auto"/>
        </w:rPr>
        <w:t xml:space="preserve"> </w:t>
      </w:r>
      <w:r>
        <w:rPr>
          <w:rFonts w:ascii="Arial" w:cs="Arial" w:eastAsia="Arial" w:hAnsi="Arial"/>
          <w:sz w:val="13"/>
          <w:szCs w:val="13"/>
          <w:color w:val="auto"/>
        </w:rPr>
        <w:t>term loan agreement that expires in June 2013. These facilities are currently being used to back letters of credit issued to support our bonding and financial assurance needs. Our letters of credit generally have terms providing for automatic renewal after one year. In the event of an unreimbursed draw on a letter of credit, the amount of the draw paid by the letter of credit provider generally converts into a term loan for the remaining term of the respective agreement or facility. Through December 31, 2008, we had not experienced any unreimbursed draws on letters of credit under these facilities.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2008, no borrowings were outstanding under these letter of credit facilities, and we had unused and available credit capacity of $8 million.</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Canadian Credit Facility </w:t>
      </w:r>
      <w:r>
        <w:rPr>
          <w:rFonts w:ascii="Arial" w:cs="Arial" w:eastAsia="Arial" w:hAnsi="Arial"/>
          <w:sz w:val="12"/>
          <w:szCs w:val="12"/>
          <w:color w:val="auto"/>
        </w:rPr>
        <w:t>— In November 2005, Waste Management of Canada Corporation, one of our wholly-owned subsidiaries, entered into a three-year credit facility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with an initial credit capacity of up to Canadian $410 million. The agreement was entered into to facilitate WMI’s repatriation of accumulated earnings and capital from its Canadian subsidiaries. In December 2007, we amended the agreement, increasing the available capacity, which had been reduced to Canadian $305 million due to debt repayments, to Canadian $340 million, extending the maturity date to November 2012 and adding an uncommitted option to increase the capacity by an additional Canadian $25 million.</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As of December 31, 2008, we had US$247 million of principal (US$242 million net of discount) outstanding under this credit facility. Advances under the facility do not accrue interest during their terms. Accordingly, the proceeds we initially received were for the principal amount of the advances net of the total interest obligation due for the term of the advance, and the debt was initially recorded based on the net proceeds received. The advances have a weighted average effective interest rate of 3.3% at December 31, 2008, which is being amortized to interest expense with a corresponding increase in our recorded debt obligation using the effective interest method. During the year ended December 31, 2008, we increased the carrying value of the debt for the recognition of US$13 million of interest expense. A total of US$53 million of advances under the facility matured during 2008 and were repaid with available cash. Accounting for changes in the Canadian currency translation rate decreased the carrying value of these borrowings by US$54 million during 2008.</w:t>
      </w:r>
    </w:p>
    <w:p>
      <w:pPr>
        <w:spacing w:after="0" w:line="59"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Our outstanding advances mature less than one year from the date of issuance, but may be renewed under the terms of the facility, which matures in November 2012. We currently expect to repay US$33 million of our borrowings under the facility with available cash and refinance the remaining borrowings. Accordingly, US$209 million of these borrowings are classified as long-term in our December 31, 2008 Consolidated Balance Sheet based on our intent and ability to refinance the obligations under the terms of the facility. As of December 31, 2007, we had expected to repay a portion of our borrowings under the facility with available cash and refinance the remaining borrowings under the terms of the facility. Based on our expectations at that time, we classified US$55 million as current and US$281 million as long-term in our December 31, 2007 Consolidated Balance Sheet.</w:t>
      </w:r>
    </w:p>
    <w:p>
      <w:pPr>
        <w:spacing w:after="0" w:line="55"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i w:val="1"/>
          <w:iCs w:val="1"/>
          <w:color w:val="auto"/>
        </w:rPr>
        <w:t xml:space="preserve">Senior notes </w:t>
      </w:r>
      <w:r>
        <w:rPr>
          <w:rFonts w:ascii="Arial" w:cs="Arial" w:eastAsia="Arial" w:hAnsi="Arial"/>
          <w:sz w:val="12"/>
          <w:szCs w:val="12"/>
          <w:color w:val="auto"/>
        </w:rPr>
        <w:t>— In March 2008, we issued $600 million of 6.1% senior notes due March 15, 2018. The net proceeds from the debt issuance were $594 million. A portion of the</w:t>
      </w:r>
      <w:r>
        <w:rPr>
          <w:rFonts w:ascii="Arial" w:cs="Arial" w:eastAsia="Arial" w:hAnsi="Arial"/>
          <w:sz w:val="12"/>
          <w:szCs w:val="12"/>
          <w:i w:val="1"/>
          <w:iCs w:val="1"/>
          <w:color w:val="auto"/>
        </w:rPr>
        <w:t xml:space="preserve"> </w:t>
      </w:r>
      <w:r>
        <w:rPr>
          <w:rFonts w:ascii="Arial" w:cs="Arial" w:eastAsia="Arial" w:hAnsi="Arial"/>
          <w:sz w:val="12"/>
          <w:szCs w:val="12"/>
          <w:color w:val="auto"/>
        </w:rPr>
        <w:t>proceeds from this offering was used to repay $250 million of outstanding borrowings under our revolving credit facility. The remaining proceeds from the offering were used for the early redemption of $244 million of 8.75% senior notes that matured in May 2018, but became callable by us beginning in May 2008. We elected to call the notes in May 2008 due to their relatively high interest rate. As a result of the early retirement of these senior notes, we recognized a net reduction in interest expense of approximately $10 million for the immediate recognition of fair value adjustments associated with terminated interest rate swaps that had been deferred and were being amortized over the life of the debt.</w:t>
      </w:r>
    </w:p>
    <w:p>
      <w:pPr>
        <w:spacing w:after="0" w:line="55"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In connection with our March 2008 issuance of the senior notes, we executed interest rate swap contracts with a total notional value of $200 million. We designated these fixed-to-floating interest rate swap agreements as fair value hedges, resulting in all fair value adjustments being reflected as a component of the carrying value of the underlying debt.</w:t>
      </w:r>
    </w:p>
    <w:p>
      <w:pPr>
        <w:spacing w:after="0" w:line="3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On November 15, 2008, $386 million of 6.5% senior notes matured and were repaid with $300 million of borrowings under the revolving credit facility and available cash. We have $500 million of 6.875% senior notes that mature in May 2009 that we currently expect to refinance on a long-term basis by issuing new senior notes. If the credit markets are not available to us, or are not available on terms we deem acceptable, we expect to rely on our available cash and the cash we generate from our operations to repay this debt. While we intend to refinance this debt on a long-term basis, it has been classified as current in the December 31, 2008 Consolidated Balance Sheet</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because we do not have sufficient available and forecasted capacity under our $2.4 billion revolving credit facility to demonstrate our ability to do so at the balance sheet date.</w:t>
      </w:r>
    </w:p>
    <w:p>
      <w:pPr>
        <w:spacing w:after="0" w:line="108"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i w:val="1"/>
          <w:iCs w:val="1"/>
          <w:color w:val="auto"/>
        </w:rPr>
        <w:t xml:space="preserve">Tax-exempt bonds </w:t>
      </w:r>
      <w:r>
        <w:rPr>
          <w:rFonts w:ascii="Arial" w:cs="Arial" w:eastAsia="Arial" w:hAnsi="Arial"/>
          <w:sz w:val="11"/>
          <w:szCs w:val="11"/>
          <w:color w:val="auto"/>
        </w:rPr>
        <w:t>— We actively issue tax-exempt bonds as a means of accessing low-cost financing for capital expenditures. We issued $171 million of tax-exempt bonds during</w:t>
      </w:r>
      <w:r>
        <w:rPr>
          <w:rFonts w:ascii="Arial" w:cs="Arial" w:eastAsia="Arial" w:hAnsi="Arial"/>
          <w:sz w:val="11"/>
          <w:szCs w:val="11"/>
          <w:i w:val="1"/>
          <w:iCs w:val="1"/>
          <w:color w:val="auto"/>
        </w:rPr>
        <w:t xml:space="preserve"> </w:t>
      </w:r>
      <w:r>
        <w:rPr>
          <w:rFonts w:ascii="Arial" w:cs="Arial" w:eastAsia="Arial" w:hAnsi="Arial"/>
          <w:sz w:val="11"/>
          <w:szCs w:val="11"/>
          <w:color w:val="auto"/>
        </w:rPr>
        <w:t>2008. The proceeds from these debt issuances may only be used for the specific purpose for which the money was raised, which is generally to finance expenditures for landfill construction and development, equipment, vehicles and facilities in support of our operations. Proceeds from bond issues are held in trust until such time as we incur qualified expenditures, at which time we are reimbursed from the trust funds. During the year ended December 31, 2008, $20 million of our tax-exempt bonds were repaid with either available cash or debt service funds.</w:t>
      </w:r>
    </w:p>
    <w:p>
      <w:pPr>
        <w:spacing w:after="0" w:line="3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issue both fixed- and variable-rate tax-exempt obligations. Interest rates on variable-rate tax-exempt bonds are reset on either a daily or weekly basis through a remarketing process. If the remarketing agent is unable to remarket the bonds, then the remarketing agent can put the bonds to us. These bonds are supported by letters of credit guaranteeing repayment of the bonds in this event. As of December 31, 2008, we have $771 million of variable-rate tax-exempt bonds. We classified these borrowings as long-term in our Consolidated Balance Sheet at December 31, 2008 because the borrowings are supported by letters of credit issued under our five-year revolving credit facility, which is long-term.</w:t>
      </w:r>
    </w:p>
    <w:p>
      <w:pPr>
        <w:spacing w:after="0" w:line="53"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As of December 31, 2008, $347 million of fixed-rate tax-exempt bonds are subject to repricing within the next twelve months, which is prior to their scheduled maturities. If the re-offerings of the bonds are unsuccessful, then the bonds can be put to us, requiring immediate repayment. These bonds are not backed by letters of credit that would serve to guarantee repayment in the event of a failed re-offering and are, therefore, considered a current obligation for financial reporting purposes. However, $233 million of these bonds have been classified as long-term in our Consolidated Balance Sheet as of December 31, 2008.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 The classification of these obligations as long-term was limited to $233 million by the available and forecasted capacity of our $2.4 billion revolving credit facility as of December 31, 2008.</w:t>
      </w:r>
    </w:p>
    <w:p>
      <w:pPr>
        <w:spacing w:after="0" w:line="59"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i w:val="1"/>
          <w:iCs w:val="1"/>
          <w:color w:val="auto"/>
        </w:rPr>
        <w:t xml:space="preserve">Tax-exempt project bonds </w:t>
      </w:r>
      <w:r>
        <w:rPr>
          <w:rFonts w:ascii="Arial" w:cs="Arial" w:eastAsia="Arial" w:hAnsi="Arial"/>
          <w:sz w:val="13"/>
          <w:szCs w:val="13"/>
          <w:color w:val="auto"/>
        </w:rPr>
        <w:t>— Tax-exempt project bonds have been used by our Wheelabrator Group to finance the development of waste-to-energy facilities. These facilities are</w:t>
      </w:r>
      <w:r>
        <w:rPr>
          <w:rFonts w:ascii="Arial" w:cs="Arial" w:eastAsia="Arial" w:hAnsi="Arial"/>
          <w:sz w:val="13"/>
          <w:szCs w:val="13"/>
          <w:i w:val="1"/>
          <w:iCs w:val="1"/>
          <w:color w:val="auto"/>
        </w:rPr>
        <w:t xml:space="preserve"> </w:t>
      </w:r>
      <w:r>
        <w:rPr>
          <w:rFonts w:ascii="Arial" w:cs="Arial" w:eastAsia="Arial" w:hAnsi="Arial"/>
          <w:sz w:val="13"/>
          <w:szCs w:val="13"/>
          <w:color w:val="auto"/>
        </w:rPr>
        <w:t>integral to the local communities they serve, and, as such, are supported by long-term contracts with multiple municipalities. The bonds generally have periodic amortizations that are supported by the cash flow of each specific facility being financed. During the year ended December 31, 2008, we repaid $68 million of our tax-exempt project bonds with either available cash or debt service funds.</w:t>
      </w:r>
    </w:p>
    <w:p>
      <w:pPr>
        <w:spacing w:after="0" w:line="7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As of December 31, 2008, we had $46 million of tax-exempt project bonds that are remarketed either daily or weekly by a remarketing agent to effectively maintain a variable yield. If the remarketing agent is unable to remarket the bonds, then the remarketing agent can put the bonds to us. These bonds are supported by letters of credit guaranteeing repayment of the bonds in this event. We classified these borrowings as long-term in our Consolidated Balance Sheet at December 31, 2008 because the borrowings are supported by letters of credit issued under our five-year revolving credit facility, which is long-term.</w:t>
      </w:r>
    </w:p>
    <w:p>
      <w:pPr>
        <w:spacing w:after="0" w:line="7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Additionally, as of December 31, 2008, we had $40 million of fixed rate tax-exempt project bonds subject to repricing within the next twelve months, which is prior to their scheduled maturities. If the re-offerings of the bonds are unsuccessful, then the bonds can be put to us, requiring immediate repayment. These bonds are not backed by letters of credit that would serve to guarantee repayment in the event of a failed re-offering and are, therefore, considered a current obligation for financial reporting purposes.</w:t>
      </w:r>
    </w:p>
    <w:p>
      <w:pPr>
        <w:spacing w:after="0" w:line="67"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i w:val="1"/>
          <w:iCs w:val="1"/>
          <w:color w:val="auto"/>
        </w:rPr>
        <w:t xml:space="preserve">Capital leases and other </w:t>
      </w:r>
      <w:r>
        <w:rPr>
          <w:rFonts w:ascii="Arial" w:cs="Arial" w:eastAsia="Arial" w:hAnsi="Arial"/>
          <w:sz w:val="13"/>
          <w:szCs w:val="13"/>
          <w:color w:val="auto"/>
        </w:rPr>
        <w:t>— The decrease in our capital leases and other debt obligations in 2008 is primarily related to the repayment of various borrowings upon their scheduled</w:t>
      </w:r>
      <w:r>
        <w:rPr>
          <w:rFonts w:ascii="Arial" w:cs="Arial" w:eastAsia="Arial" w:hAnsi="Arial"/>
          <w:sz w:val="13"/>
          <w:szCs w:val="13"/>
          <w:i w:val="1"/>
          <w:iCs w:val="1"/>
          <w:color w:val="auto"/>
        </w:rPr>
        <w:t xml:space="preserve"> </w:t>
      </w:r>
      <w:r>
        <w:rPr>
          <w:rFonts w:ascii="Arial" w:cs="Arial" w:eastAsia="Arial" w:hAnsi="Arial"/>
          <w:sz w:val="13"/>
          <w:szCs w:val="13"/>
          <w:color w:val="auto"/>
        </w:rPr>
        <w:t>maturities.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Scheduled debt and capital lease payments </w:t>
      </w:r>
      <w:r>
        <w:rPr>
          <w:rFonts w:ascii="Arial" w:cs="Arial" w:eastAsia="Arial" w:hAnsi="Arial"/>
          <w:sz w:val="12"/>
          <w:szCs w:val="12"/>
          <w:color w:val="auto"/>
        </w:rPr>
        <w:t>— Scheduled debt and capital lease payments for the next five years are as follows: $1,184 million in 2009; $719 million in 2010;</w:t>
      </w:r>
    </w:p>
    <w:p>
      <w:pPr>
        <w:spacing w:after="0" w:line="27" w:lineRule="exact"/>
        <w:rPr>
          <w:sz w:val="20"/>
          <w:szCs w:val="20"/>
          <w:color w:val="auto"/>
        </w:rPr>
      </w:pPr>
    </w:p>
    <w:p>
      <w:pPr>
        <w:ind w:left="680" w:right="20"/>
        <w:spacing w:after="0" w:line="307" w:lineRule="auto"/>
        <w:rPr>
          <w:sz w:val="20"/>
          <w:szCs w:val="20"/>
          <w:color w:val="auto"/>
        </w:rPr>
      </w:pPr>
      <w:r>
        <w:rPr>
          <w:rFonts w:ascii="Arial" w:cs="Arial" w:eastAsia="Arial" w:hAnsi="Arial"/>
          <w:sz w:val="12"/>
          <w:szCs w:val="12"/>
          <w:color w:val="auto"/>
        </w:rPr>
        <w:t>$255 million in 2011; $583 million in 2012; and $170 million in 2013. Our recorded debt and capital lease obligations include non-cash adjustments associated with discounts, premiums and fair value adjustments for interest rate hedging activities, which have been excluded from these amounts because they will not result in cash payments.</w:t>
      </w:r>
    </w:p>
    <w:p>
      <w:pPr>
        <w:spacing w:after="0" w:line="42" w:lineRule="exact"/>
        <w:rPr>
          <w:sz w:val="20"/>
          <w:szCs w:val="20"/>
          <w:color w:val="auto"/>
        </w:rPr>
      </w:pPr>
    </w:p>
    <w:p>
      <w:pPr>
        <w:ind w:left="680" w:right="320" w:firstLine="399"/>
        <w:spacing w:after="0" w:line="280" w:lineRule="auto"/>
        <w:rPr>
          <w:sz w:val="20"/>
          <w:szCs w:val="20"/>
          <w:color w:val="auto"/>
        </w:rPr>
      </w:pPr>
      <w:r>
        <w:rPr>
          <w:rFonts w:ascii="Arial" w:cs="Arial" w:eastAsia="Arial" w:hAnsi="Arial"/>
          <w:sz w:val="12"/>
          <w:szCs w:val="12"/>
          <w:color w:val="auto"/>
        </w:rPr>
        <w:t>Scheduled debt maturities for 2009 include (i) the $300 million borrowing outstanding under the revolving credit facility; (ii) US$247 million of advances outstanding under the Canadian credit facility; (iii) $500 million of 6.875% senior notes that mature in May 2009; (iv) $41 million of tax-exempt bonds; (v) $63 million of tax-exempt project bonds; and</w:t>
      </w:r>
    </w:p>
    <w:p>
      <w:pPr>
        <w:ind w:left="680" w:right="440" w:firstLine="7"/>
        <w:spacing w:after="0" w:line="264" w:lineRule="auto"/>
        <w:tabs>
          <w:tab w:leader="none" w:pos="902" w:val="left"/>
        </w:tabs>
        <w:numPr>
          <w:ilvl w:val="0"/>
          <w:numId w:val="73"/>
        </w:numPr>
        <w:rPr>
          <w:rFonts w:ascii="Arial" w:cs="Arial" w:eastAsia="Arial" w:hAnsi="Arial"/>
          <w:sz w:val="13"/>
          <w:szCs w:val="13"/>
          <w:color w:val="auto"/>
        </w:rPr>
      </w:pPr>
      <w:r>
        <w:rPr>
          <w:rFonts w:ascii="Arial" w:cs="Arial" w:eastAsia="Arial" w:hAnsi="Arial"/>
          <w:sz w:val="13"/>
          <w:szCs w:val="13"/>
          <w:color w:val="auto"/>
        </w:rPr>
        <w:t>$33 million of capital leases and other debt obligations. As discussed above, $509 million of these borrowings have been classified as long-term based on our intent and ability to refinance the obligations on a long-term basis.</w:t>
      </w:r>
    </w:p>
    <w:p>
      <w:pPr>
        <w:spacing w:after="0" w:line="67"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Secured debt </w:t>
      </w:r>
      <w:r>
        <w:rPr>
          <w:rFonts w:ascii="Arial" w:cs="Arial" w:eastAsia="Arial" w:hAnsi="Arial"/>
          <w:sz w:val="13"/>
          <w:szCs w:val="13"/>
          <w:color w:val="auto"/>
        </w:rPr>
        <w:t>— Our debt balances are generally unsecured, except for $133 million of the tax-exempt project bonds outstanding at December 31, 2008 that were issued by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subsidiaries within our Wheelabrator Group. These bonds are secured by the related subsidiaries’ assets that have a carrying value of $439 million and the related subsidiaries’ future revenue.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Covenants</w:t>
      </w:r>
    </w:p>
    <w:p>
      <w:pPr>
        <w:spacing w:after="0" w:line="96"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Our revolving credit facility and certain other financing agreements contain financial covenants. The most restrictive of these financial covenants are contained in our revolving credit facility. The following table summarizes the requirements of these financial covenants and the results of the calculation, as defined by the revolving credit facility:</w:t>
      </w:r>
    </w:p>
    <w:p>
      <w:pPr>
        <w:spacing w:after="0" w:line="30" w:lineRule="exact"/>
        <w:rPr>
          <w:sz w:val="20"/>
          <w:szCs w:val="20"/>
          <w:color w:val="auto"/>
        </w:rPr>
      </w:pPr>
    </w:p>
    <w:tbl>
      <w:tblPr>
        <w:tblLayout w:type="fixed"/>
        <w:tblInd w:w="248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Requirement</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95"/>
              </w:rPr>
              <w:t>December 31,</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8"/>
        </w:trPr>
        <w:tc>
          <w:tcPr>
            <w:tcW w:w="3900" w:type="dxa"/>
            <w:vAlign w:val="bottom"/>
            <w:vMerge w:val="restart"/>
          </w:tcPr>
          <w:p>
            <w:pPr>
              <w:spacing w:after="0"/>
              <w:rPr>
                <w:sz w:val="20"/>
                <w:szCs w:val="20"/>
                <w:color w:val="auto"/>
              </w:rPr>
            </w:pPr>
            <w:r>
              <w:rPr>
                <w:rFonts w:ascii="Arial" w:cs="Arial" w:eastAsia="Arial" w:hAnsi="Arial"/>
                <w:sz w:val="10"/>
                <w:szCs w:val="10"/>
                <w:b w:val="1"/>
                <w:bCs w:val="1"/>
                <w:color w:val="auto"/>
              </w:rPr>
              <w:t>Covenant</w:t>
            </w:r>
          </w:p>
        </w:tc>
        <w:tc>
          <w:tcPr>
            <w:tcW w:w="92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rPr>
              <w:t>per</w:t>
            </w:r>
          </w:p>
        </w:tc>
        <w:tc>
          <w:tcPr>
            <w:tcW w:w="88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900" w:type="dxa"/>
            <w:vAlign w:val="bottom"/>
            <w:vMerge w:val="continue"/>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Facility</w:t>
            </w:r>
          </w:p>
        </w:tc>
        <w:tc>
          <w:tcPr>
            <w:tcW w:w="640" w:type="dxa"/>
            <w:vAlign w:val="bottom"/>
          </w:tcPr>
          <w:p>
            <w:pPr>
              <w:jc w:val="right"/>
              <w:ind w:right="161"/>
              <w:spacing w:after="0"/>
              <w:rPr>
                <w:sz w:val="20"/>
                <w:szCs w:val="20"/>
                <w:color w:val="auto"/>
              </w:rPr>
            </w:pPr>
            <w:r>
              <w:rPr>
                <w:rFonts w:ascii="Arial" w:cs="Arial" w:eastAsia="Arial" w:hAnsi="Arial"/>
                <w:sz w:val="10"/>
                <w:szCs w:val="10"/>
                <w:b w:val="1"/>
                <w:bCs w:val="1"/>
                <w:color w:val="auto"/>
              </w:rPr>
              <w:t>2008</w:t>
            </w:r>
          </w:p>
        </w:tc>
        <w:tc>
          <w:tcPr>
            <w:tcW w:w="240" w:type="dxa"/>
            <w:vAlign w:val="bottom"/>
          </w:tcPr>
          <w:p>
            <w:pPr>
              <w:spacing w:after="0"/>
              <w:rPr>
                <w:sz w:val="10"/>
                <w:szCs w:val="10"/>
                <w:color w:val="auto"/>
              </w:rPr>
            </w:pPr>
          </w:p>
        </w:tc>
        <w:tc>
          <w:tcPr>
            <w:tcW w:w="620" w:type="dxa"/>
            <w:vAlign w:val="bottom"/>
          </w:tcPr>
          <w:p>
            <w:pPr>
              <w:jc w:val="right"/>
              <w:ind w:right="141"/>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Interest coverage ratio</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&gt; 2.75 to 1</w:t>
            </w: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4.7 to 1</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w w:val="96"/>
              </w:rPr>
              <w:t>4.1 to 1</w:t>
            </w:r>
          </w:p>
        </w:tc>
        <w:tc>
          <w:tcPr>
            <w:tcW w:w="0" w:type="dxa"/>
            <w:vAlign w:val="bottom"/>
          </w:tcPr>
          <w:p>
            <w:pPr>
              <w:spacing w:after="0"/>
              <w:rPr>
                <w:sz w:val="1"/>
                <w:szCs w:val="1"/>
                <w:color w:val="auto"/>
              </w:rPr>
            </w:pPr>
          </w:p>
        </w:tc>
      </w:tr>
      <w:tr>
        <w:trPr>
          <w:trHeight w:val="165"/>
        </w:trPr>
        <w:tc>
          <w:tcPr>
            <w:tcW w:w="3900" w:type="dxa"/>
            <w:vAlign w:val="bottom"/>
          </w:tcPr>
          <w:p>
            <w:pPr>
              <w:spacing w:after="0"/>
              <w:rPr>
                <w:sz w:val="20"/>
                <w:szCs w:val="20"/>
                <w:color w:val="auto"/>
              </w:rPr>
            </w:pPr>
            <w:r>
              <w:rPr>
                <w:rFonts w:ascii="Arial" w:cs="Arial" w:eastAsia="Arial" w:hAnsi="Arial"/>
                <w:sz w:val="13"/>
                <w:szCs w:val="13"/>
                <w:color w:val="auto"/>
              </w:rPr>
              <w:t>Total debt to EBITDA</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&lt; 3.5 to 1</w:t>
            </w:r>
          </w:p>
        </w:tc>
        <w:tc>
          <w:tcPr>
            <w:tcW w:w="880" w:type="dxa"/>
            <w:vAlign w:val="bottom"/>
            <w:gridSpan w:val="2"/>
          </w:tcPr>
          <w:p>
            <w:pPr>
              <w:ind w:left="240"/>
              <w:spacing w:after="0"/>
              <w:rPr>
                <w:sz w:val="20"/>
                <w:szCs w:val="20"/>
                <w:color w:val="auto"/>
              </w:rPr>
            </w:pPr>
            <w:r>
              <w:rPr>
                <w:rFonts w:ascii="Arial" w:cs="Arial" w:eastAsia="Arial" w:hAnsi="Arial"/>
                <w:sz w:val="13"/>
                <w:szCs w:val="13"/>
                <w:color w:val="auto"/>
              </w:rPr>
              <w:t>2.4 to 1</w:t>
            </w:r>
          </w:p>
        </w:tc>
        <w:tc>
          <w:tcPr>
            <w:tcW w:w="680" w:type="dxa"/>
            <w:vAlign w:val="bottom"/>
            <w:gridSpan w:val="2"/>
          </w:tcPr>
          <w:p>
            <w:pPr>
              <w:ind w:left="240"/>
              <w:spacing w:after="0"/>
              <w:rPr>
                <w:sz w:val="20"/>
                <w:szCs w:val="20"/>
                <w:color w:val="auto"/>
              </w:rPr>
            </w:pPr>
            <w:r>
              <w:rPr>
                <w:rFonts w:ascii="Arial" w:cs="Arial" w:eastAsia="Arial" w:hAnsi="Arial"/>
                <w:sz w:val="13"/>
                <w:szCs w:val="13"/>
                <w:color w:val="auto"/>
                <w:w w:val="96"/>
              </w:rPr>
              <w:t>2.4 to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-234950</wp:posOffset>
            </wp:positionV>
            <wp:extent cx="2476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5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December 31, 2008, we were in compliance with the covenants and restrictions under all of our debt agreements.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swaps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manage the interest rate risk of our debt portfolio largely by using interest rate derivatives to achieve a desired position of fixed and floating rate debt. As of December 31, 2008, the interest payments on $2.0 billion of our fixed-rate debt have been swapped to variable rates, allowing us to maintain approximately 67% of our debt at fixed interest rates and approximately 33% of our debt at variable interest rates. We do not use interest rate derivatives for trading or speculative purposes. Our significant interest rate swap agreements that were outstanding as of December 31, 2008 and 2007 are set forth in the table below (dollars in millions):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w w:val="94"/>
              </w:rPr>
              <w:t>Notional</w:t>
            </w:r>
          </w:p>
        </w:tc>
        <w:tc>
          <w:tcPr>
            <w:tcW w:w="1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108"/>
        </w:trPr>
        <w:tc>
          <w:tcPr>
            <w:tcW w:w="8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As of</w:t>
            </w: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3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Receive</w:t>
            </w:r>
          </w:p>
        </w:tc>
        <w:tc>
          <w:tcPr>
            <w:tcW w:w="460" w:type="dxa"/>
            <w:vAlign w:val="bottom"/>
          </w:tcPr>
          <w:p>
            <w:pPr>
              <w:spacing w:after="0"/>
              <w:rPr>
                <w:sz w:val="9"/>
                <w:szCs w:val="9"/>
                <w:color w:val="auto"/>
              </w:rPr>
            </w:pPr>
          </w:p>
        </w:tc>
        <w:tc>
          <w:tcPr>
            <w:tcW w:w="15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Pay</w:t>
            </w:r>
          </w:p>
        </w:tc>
        <w:tc>
          <w:tcPr>
            <w:tcW w:w="460" w:type="dxa"/>
            <w:vAlign w:val="bottom"/>
          </w:tcPr>
          <w:p>
            <w:pPr>
              <w:spacing w:after="0"/>
              <w:rPr>
                <w:sz w:val="9"/>
                <w:szCs w:val="9"/>
                <w:color w:val="auto"/>
              </w:rPr>
            </w:pPr>
          </w:p>
        </w:tc>
        <w:tc>
          <w:tcPr>
            <w:tcW w:w="19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Maturity Date</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9"/>
              </w:rPr>
              <w:t>Net</w:t>
            </w:r>
          </w:p>
        </w:tc>
        <w:tc>
          <w:tcPr>
            <w:tcW w:w="0" w:type="dxa"/>
            <w:vAlign w:val="bottom"/>
          </w:tcPr>
          <w:p>
            <w:pPr>
              <w:spacing w:after="0"/>
              <w:rPr>
                <w:sz w:val="1"/>
                <w:szCs w:val="1"/>
                <w:color w:val="auto"/>
              </w:rPr>
            </w:pPr>
          </w:p>
        </w:tc>
      </w:tr>
      <w:tr>
        <w:trPr>
          <w:trHeight w:val="125"/>
        </w:trPr>
        <w:tc>
          <w:tcPr>
            <w:tcW w:w="8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5"/>
              </w:rPr>
              <w:t>Amount</w:t>
            </w:r>
          </w:p>
        </w:tc>
        <w:tc>
          <w:tcPr>
            <w:tcW w:w="13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6"/>
              </w:rPr>
              <w:t>Asset/(Liability)(a)</w:t>
            </w:r>
          </w:p>
        </w:tc>
        <w:tc>
          <w:tcPr>
            <w:tcW w:w="0" w:type="dxa"/>
            <w:vAlign w:val="bottom"/>
          </w:tcPr>
          <w:p>
            <w:pPr>
              <w:spacing w:after="0"/>
              <w:rPr>
                <w:sz w:val="1"/>
                <w:szCs w:val="1"/>
                <w:color w:val="auto"/>
              </w:rPr>
            </w:pPr>
          </w:p>
        </w:tc>
      </w:tr>
      <w:tr>
        <w:trPr>
          <w:trHeight w:val="29"/>
        </w:trPr>
        <w:tc>
          <w:tcPr>
            <w:tcW w:w="84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4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95"/>
              </w:rPr>
              <w:t>December 31, 2008</w:t>
            </w:r>
          </w:p>
        </w:tc>
        <w:tc>
          <w:tcPr>
            <w:tcW w:w="4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560"/>
              <w:spacing w:after="0" w:line="108" w:lineRule="exact"/>
              <w:rPr>
                <w:sz w:val="20"/>
                <w:szCs w:val="20"/>
                <w:color w:val="auto"/>
              </w:rPr>
            </w:pPr>
            <w:r>
              <w:rPr>
                <w:rFonts w:ascii="Arial" w:cs="Arial" w:eastAsia="Arial" w:hAnsi="Arial"/>
                <w:sz w:val="10"/>
                <w:szCs w:val="10"/>
                <w:color w:val="auto"/>
              </w:rPr>
              <w:t>1,950</w:t>
            </w:r>
          </w:p>
        </w:tc>
        <w:tc>
          <w:tcPr>
            <w:tcW w:w="138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96"/>
              </w:rPr>
              <w:t>Fixed 5.00%-7.65%</w:t>
            </w:r>
          </w:p>
        </w:tc>
        <w:tc>
          <w:tcPr>
            <w:tcW w:w="460" w:type="dxa"/>
            <w:vAlign w:val="bottom"/>
            <w:shd w:val="clear" w:color="auto" w:fill="CCEEFF"/>
          </w:tcPr>
          <w:p>
            <w:pPr>
              <w:spacing w:after="0"/>
              <w:rPr>
                <w:sz w:val="9"/>
                <w:szCs w:val="9"/>
                <w:color w:val="auto"/>
              </w:rPr>
            </w:pPr>
          </w:p>
        </w:tc>
        <w:tc>
          <w:tcPr>
            <w:tcW w:w="154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95"/>
              </w:rPr>
              <w:t>Floating 1.22%-5.82%</w:t>
            </w:r>
          </w:p>
        </w:tc>
        <w:tc>
          <w:tcPr>
            <w:tcW w:w="460" w:type="dxa"/>
            <w:vAlign w:val="bottom"/>
            <w:shd w:val="clear" w:color="auto" w:fill="CCEEFF"/>
          </w:tcPr>
          <w:p>
            <w:pPr>
              <w:spacing w:after="0"/>
              <w:rPr>
                <w:sz w:val="9"/>
                <w:szCs w:val="9"/>
                <w:color w:val="auto"/>
              </w:rPr>
            </w:pPr>
          </w:p>
        </w:tc>
        <w:tc>
          <w:tcPr>
            <w:tcW w:w="1920" w:type="dxa"/>
            <w:vAlign w:val="bottom"/>
            <w:shd w:val="clear" w:color="auto" w:fill="CCEEFF"/>
          </w:tcPr>
          <w:p>
            <w:pPr>
              <w:jc w:val="center"/>
              <w:spacing w:after="0" w:line="108" w:lineRule="exact"/>
              <w:rPr>
                <w:sz w:val="20"/>
                <w:szCs w:val="20"/>
                <w:color w:val="auto"/>
              </w:rPr>
            </w:pPr>
            <w:r>
              <w:rPr>
                <w:rFonts w:ascii="Arial" w:cs="Arial" w:eastAsia="Arial" w:hAnsi="Arial"/>
                <w:sz w:val="10"/>
                <w:szCs w:val="10"/>
                <w:color w:val="auto"/>
                <w:w w:val="96"/>
              </w:rPr>
              <w:t>Through March 15, 2018</w:t>
            </w:r>
          </w:p>
        </w:tc>
        <w:tc>
          <w:tcPr>
            <w:tcW w:w="6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280" w:type="dxa"/>
            <w:vAlign w:val="bottom"/>
            <w:gridSpan w:val="2"/>
            <w:shd w:val="clear" w:color="auto" w:fill="CCEEFF"/>
          </w:tcPr>
          <w:p>
            <w:pPr>
              <w:jc w:val="center"/>
              <w:ind w:left="928"/>
              <w:spacing w:after="0" w:line="108" w:lineRule="exact"/>
              <w:rPr>
                <w:sz w:val="20"/>
                <w:szCs w:val="20"/>
                <w:color w:val="auto"/>
              </w:rPr>
            </w:pPr>
            <w:r>
              <w:rPr>
                <w:rFonts w:ascii="Arial" w:cs="Arial" w:eastAsia="Arial" w:hAnsi="Arial"/>
                <w:sz w:val="10"/>
                <w:szCs w:val="10"/>
                <w:color w:val="auto"/>
                <w:w w:val="94"/>
              </w:rPr>
              <w:t>92(b)</w:t>
            </w:r>
          </w:p>
        </w:tc>
        <w:tc>
          <w:tcPr>
            <w:tcW w:w="0" w:type="dxa"/>
            <w:vAlign w:val="bottom"/>
          </w:tcPr>
          <w:p>
            <w:pPr>
              <w:spacing w:after="0"/>
              <w:rPr>
                <w:sz w:val="1"/>
                <w:szCs w:val="1"/>
                <w:color w:val="auto"/>
              </w:rPr>
            </w:pPr>
          </w:p>
        </w:tc>
      </w:tr>
      <w:tr>
        <w:trPr>
          <w:trHeight w:val="131"/>
        </w:trPr>
        <w:tc>
          <w:tcPr>
            <w:tcW w:w="840" w:type="dxa"/>
            <w:vAlign w:val="bottom"/>
          </w:tcPr>
          <w:p>
            <w:pPr>
              <w:jc w:val="center"/>
              <w:spacing w:after="0"/>
              <w:rPr>
                <w:sz w:val="20"/>
                <w:szCs w:val="20"/>
                <w:color w:val="auto"/>
              </w:rPr>
            </w:pPr>
            <w:r>
              <w:rPr>
                <w:rFonts w:ascii="Arial" w:cs="Arial" w:eastAsia="Arial" w:hAnsi="Arial"/>
                <w:sz w:val="10"/>
                <w:szCs w:val="10"/>
                <w:color w:val="auto"/>
                <w:w w:val="95"/>
              </w:rPr>
              <w:t>December 31, 2007</w:t>
            </w:r>
          </w:p>
        </w:tc>
        <w:tc>
          <w:tcPr>
            <w:tcW w:w="4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0"/>
                <w:szCs w:val="10"/>
                <w:color w:val="auto"/>
              </w:rPr>
              <w:t>2,100</w:t>
            </w:r>
          </w:p>
        </w:tc>
        <w:tc>
          <w:tcPr>
            <w:tcW w:w="1380" w:type="dxa"/>
            <w:vAlign w:val="bottom"/>
          </w:tcPr>
          <w:p>
            <w:pPr>
              <w:jc w:val="center"/>
              <w:spacing w:after="0"/>
              <w:rPr>
                <w:sz w:val="20"/>
                <w:szCs w:val="20"/>
                <w:color w:val="auto"/>
              </w:rPr>
            </w:pPr>
            <w:r>
              <w:rPr>
                <w:rFonts w:ascii="Arial" w:cs="Arial" w:eastAsia="Arial" w:hAnsi="Arial"/>
                <w:sz w:val="10"/>
                <w:szCs w:val="10"/>
                <w:color w:val="auto"/>
                <w:w w:val="96"/>
              </w:rPr>
              <w:t>Fixed 5.00%-7.65%</w:t>
            </w:r>
          </w:p>
        </w:tc>
        <w:tc>
          <w:tcPr>
            <w:tcW w:w="460" w:type="dxa"/>
            <w:vAlign w:val="bottom"/>
          </w:tcPr>
          <w:p>
            <w:pPr>
              <w:spacing w:after="0"/>
              <w:rPr>
                <w:sz w:val="11"/>
                <w:szCs w:val="11"/>
                <w:color w:val="auto"/>
              </w:rPr>
            </w:pPr>
          </w:p>
        </w:tc>
        <w:tc>
          <w:tcPr>
            <w:tcW w:w="1540" w:type="dxa"/>
            <w:vAlign w:val="bottom"/>
          </w:tcPr>
          <w:p>
            <w:pPr>
              <w:jc w:val="center"/>
              <w:spacing w:after="0"/>
              <w:rPr>
                <w:sz w:val="20"/>
                <w:szCs w:val="20"/>
                <w:color w:val="auto"/>
              </w:rPr>
            </w:pPr>
            <w:r>
              <w:rPr>
                <w:rFonts w:ascii="Arial" w:cs="Arial" w:eastAsia="Arial" w:hAnsi="Arial"/>
                <w:sz w:val="10"/>
                <w:szCs w:val="10"/>
                <w:color w:val="auto"/>
                <w:w w:val="95"/>
              </w:rPr>
              <w:t>Floating 4.50%-9.09%</w:t>
            </w:r>
          </w:p>
        </w:tc>
        <w:tc>
          <w:tcPr>
            <w:tcW w:w="460" w:type="dxa"/>
            <w:vAlign w:val="bottom"/>
          </w:tcPr>
          <w:p>
            <w:pPr>
              <w:spacing w:after="0"/>
              <w:rPr>
                <w:sz w:val="11"/>
                <w:szCs w:val="11"/>
                <w:color w:val="auto"/>
              </w:rPr>
            </w:pPr>
          </w:p>
        </w:tc>
        <w:tc>
          <w:tcPr>
            <w:tcW w:w="1920" w:type="dxa"/>
            <w:vAlign w:val="bottom"/>
          </w:tcPr>
          <w:p>
            <w:pPr>
              <w:jc w:val="center"/>
              <w:spacing w:after="0"/>
              <w:rPr>
                <w:sz w:val="20"/>
                <w:szCs w:val="20"/>
                <w:color w:val="auto"/>
              </w:rPr>
            </w:pPr>
            <w:r>
              <w:rPr>
                <w:rFonts w:ascii="Arial" w:cs="Arial" w:eastAsia="Arial" w:hAnsi="Arial"/>
                <w:sz w:val="10"/>
                <w:szCs w:val="10"/>
                <w:color w:val="auto"/>
                <w:w w:val="95"/>
              </w:rPr>
              <w:t>Through December 15, 2017</w:t>
            </w: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80" w:type="dxa"/>
            <w:vAlign w:val="bottom"/>
            <w:gridSpan w:val="2"/>
          </w:tcPr>
          <w:p>
            <w:pPr>
              <w:jc w:val="center"/>
              <w:ind w:left="928"/>
              <w:spacing w:after="0"/>
              <w:rPr>
                <w:sz w:val="20"/>
                <w:szCs w:val="20"/>
                <w:color w:val="auto"/>
              </w:rPr>
            </w:pPr>
            <w:r>
              <w:rPr>
                <w:rFonts w:ascii="Arial" w:cs="Arial" w:eastAsia="Arial" w:hAnsi="Arial"/>
                <w:sz w:val="10"/>
                <w:szCs w:val="10"/>
                <w:color w:val="auto"/>
              </w:rPr>
              <w:t>(28)(c)</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000" w:right="420" w:hanging="313"/>
        <w:spacing w:after="0" w:line="276" w:lineRule="auto"/>
        <w:tabs>
          <w:tab w:leader="none" w:pos="10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These interest rate derivatives qualify for hedge accounting. Therefore, the fair value adjustments to the underlying debt are deferred and recognized as an adjustment to interest expense over the remaining term of the hedged instrument.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07" w:lineRule="exact"/>
        <w:rPr>
          <w:sz w:val="20"/>
          <w:szCs w:val="20"/>
          <w:color w:val="auto"/>
        </w:rPr>
      </w:pPr>
    </w:p>
    <w:p>
      <w:pPr>
        <w:ind w:left="1000" w:hanging="313"/>
        <w:spacing w:after="0"/>
        <w:tabs>
          <w:tab w:leader="none" w:pos="10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fair value for these interest rate derivatives is comprised of $3 million of current assets and $89 million of long-term assets.</w:t>
      </w:r>
    </w:p>
    <w:p>
      <w:pPr>
        <w:spacing w:after="0" w:line="47" w:lineRule="exact"/>
        <w:rPr>
          <w:rFonts w:ascii="Arial" w:cs="Arial" w:eastAsia="Arial" w:hAnsi="Arial"/>
          <w:sz w:val="13"/>
          <w:szCs w:val="13"/>
          <w:color w:val="auto"/>
        </w:rPr>
      </w:pPr>
    </w:p>
    <w:p>
      <w:pPr>
        <w:ind w:left="1000" w:hanging="313"/>
        <w:spacing w:after="0"/>
        <w:tabs>
          <w:tab w:leader="none" w:pos="10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fair value for these interest rate derivatives is comprised of $5 million of long-term assets, $4 million of current liabilities and $29 million of long-term liabilities.</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Fair value hedge accounting for interest rate swap contracts increased the carrying value of debt instruments by $150 million as of December 31, 2008 and $72 million as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2007. The following table summarizes the accumulated fair value adjustments from interest rate swap agreements at December 31 (in millions):</w:t>
      </w:r>
    </w:p>
    <w:p>
      <w:pPr>
        <w:spacing w:after="0" w:line="123" w:lineRule="exact"/>
        <w:rPr>
          <w:sz w:val="20"/>
          <w:szCs w:val="20"/>
          <w:color w:val="auto"/>
        </w:rPr>
      </w:pPr>
    </w:p>
    <w:tbl>
      <w:tblPr>
        <w:tblLayout w:type="fixed"/>
        <w:tblInd w:w="2480" w:type="dxa"/>
        <w:tblCellMar>
          <w:top w:w="0" w:type="dxa"/>
          <w:left w:w="0" w:type="dxa"/>
          <w:bottom w:w="0" w:type="dxa"/>
          <w:right w:w="0" w:type="dxa"/>
        </w:tblCellMar>
      </w:tblPr>
      <w:tr>
        <w:trPr>
          <w:trHeight w:val="115"/>
        </w:trPr>
        <w:tc>
          <w:tcPr>
            <w:tcW w:w="5540" w:type="dxa"/>
            <w:vAlign w:val="bottom"/>
          </w:tcPr>
          <w:p>
            <w:pPr>
              <w:spacing w:after="0"/>
              <w:rPr>
                <w:sz w:val="20"/>
                <w:szCs w:val="20"/>
                <w:color w:val="auto"/>
              </w:rPr>
            </w:pPr>
            <w:r>
              <w:rPr>
                <w:rFonts w:ascii="Arial" w:cs="Arial" w:eastAsia="Arial" w:hAnsi="Arial"/>
                <w:sz w:val="10"/>
                <w:szCs w:val="10"/>
                <w:b w:val="1"/>
                <w:bCs w:val="1"/>
                <w:color w:val="auto"/>
              </w:rPr>
              <w:t>Increase (decrease) in carrying value of debt due</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5540" w:type="dxa"/>
            <w:vAlign w:val="bottom"/>
          </w:tcPr>
          <w:p>
            <w:pPr>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o hedge accounting for interest rate swaps</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2008</w:t>
            </w:r>
          </w:p>
        </w:tc>
        <w:tc>
          <w:tcPr>
            <w:tcW w:w="240" w:type="dxa"/>
            <w:vAlign w:val="bottom"/>
          </w:tcPr>
          <w:p>
            <w:pPr>
              <w:spacing w:after="0"/>
              <w:rPr>
                <w:sz w:val="11"/>
                <w:szCs w:val="11"/>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2007</w:t>
            </w:r>
          </w:p>
        </w:tc>
        <w:tc>
          <w:tcPr>
            <w:tcW w:w="60" w:type="dxa"/>
            <w:vAlign w:val="bottom"/>
          </w:tcPr>
          <w:p>
            <w:pPr>
              <w:spacing w:after="0"/>
              <w:rPr>
                <w:sz w:val="11"/>
                <w:szCs w:val="11"/>
                <w:color w:val="auto"/>
              </w:rPr>
            </w:pPr>
          </w:p>
        </w:tc>
      </w:tr>
      <w:tr>
        <w:trPr>
          <w:trHeight w:val="29"/>
        </w:trPr>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7"/>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Senior notes:</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7"/>
        </w:trPr>
        <w:tc>
          <w:tcPr>
            <w:tcW w:w="5540" w:type="dxa"/>
            <w:vAlign w:val="bottom"/>
          </w:tcPr>
          <w:p>
            <w:pPr>
              <w:spacing w:after="0"/>
              <w:rPr>
                <w:sz w:val="20"/>
                <w:szCs w:val="20"/>
                <w:color w:val="auto"/>
              </w:rPr>
            </w:pPr>
            <w:r>
              <w:rPr>
                <w:rFonts w:ascii="Arial" w:cs="Arial" w:eastAsia="Arial" w:hAnsi="Arial"/>
                <w:sz w:val="13"/>
                <w:szCs w:val="13"/>
                <w:color w:val="auto"/>
              </w:rPr>
              <w:t>Active swap agreements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92</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(28)</w:t>
            </w:r>
          </w:p>
        </w:tc>
      </w:tr>
      <w:tr>
        <w:trPr>
          <w:trHeight w:val="157"/>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Terminated swap agreements(a)</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100</w:t>
            </w:r>
          </w:p>
        </w:tc>
      </w:tr>
      <w:tr>
        <w:trPr>
          <w:trHeight w:val="20"/>
        </w:trPr>
        <w:tc>
          <w:tcPr>
            <w:tcW w:w="5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55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u w:val="single" w:color="auto"/>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w w:val="82"/>
              </w:rPr>
              <w:t>150</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72</w:t>
            </w:r>
          </w:p>
        </w:tc>
      </w:tr>
      <w:tr>
        <w:trPr>
          <w:trHeight w:val="30"/>
        </w:trPr>
        <w:tc>
          <w:tcPr>
            <w:tcW w:w="5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1000" w:right="380" w:hanging="313"/>
        <w:spacing w:after="0" w:line="276" w:lineRule="auto"/>
        <w:tabs>
          <w:tab w:leader="none" w:pos="100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At December 31, 2008, $18 million (on a pre-tax basis) of the carrying value of debt associated with terminated swap agreements is scheduled to be reclassified as a reduction in interest expense over the next twelve months.</w:t>
      </w:r>
    </w:p>
    <w:p>
      <w:pPr>
        <w:spacing w:after="0" w:line="98"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Interest rate swap agreements decreased net interest expense by $50 million for the year ended December 31, 2008 and increased net interest expense by $11 million and $4 million for the years ended December 31, 2007 and 2006, respectively. The significant increase in the benefit recognized as a result of our interest rate swap agreements is largely attributable to the decrease in short-term market interest rates, which drive our periodic interest obligations under these agreements. The benefit from our interest rate swap agreements in 2008 is also related to the $10 million net reduction in interest expense from terminated interest rate swaps associated with the early retirement of $244 million of $8.75% senior notes discussed above.</w:t>
      </w:r>
    </w:p>
    <w:p>
      <w:pPr>
        <w:spacing w:after="0" w:line="3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terms of the interest rate contracts and the underlying debt instruments are identical and therefore no ineffectiveness has been realized.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locks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the past, we have entered into cash flow hedges to secure underlying interest rates in anticipation of senior note issuances. These hedging agreements resulted in a deferred loss, net of taxes, of $20 million at December 31, 2008 and $24 million at December 31, 2007, which is included in “Accumulated other comprehensive income.” As of December 31, 2008, $7 million (on a pre-tax basis) is scheduled to be reclassified into interest expense over the next twelve months.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60" w:type="dxa"/>
            <w:vAlign w:val="bottom"/>
          </w:tcPr>
          <w:p>
            <w:pPr>
              <w:jc w:val="right"/>
              <w:spacing w:after="0"/>
              <w:rPr>
                <w:sz w:val="20"/>
                <w:szCs w:val="20"/>
                <w:color w:val="auto"/>
              </w:rPr>
            </w:pPr>
            <w:r>
              <w:rPr>
                <w:rFonts w:ascii="Arial" w:cs="Arial" w:eastAsia="Arial" w:hAnsi="Arial"/>
                <w:sz w:val="13"/>
                <w:szCs w:val="13"/>
                <w:b w:val="1"/>
                <w:bCs w:val="1"/>
                <w:color w:val="auto"/>
                <w:w w:val="73"/>
              </w:rPr>
              <w:t>8.</w:t>
            </w:r>
          </w:p>
        </w:tc>
        <w:tc>
          <w:tcPr>
            <w:tcW w:w="6260" w:type="dxa"/>
            <w:vAlign w:val="bottom"/>
            <w:gridSpan w:val="2"/>
          </w:tcPr>
          <w:p>
            <w:pPr>
              <w:ind w:left="160"/>
              <w:spacing w:after="0"/>
              <w:rPr>
                <w:sz w:val="20"/>
                <w:szCs w:val="20"/>
                <w:color w:val="auto"/>
              </w:rPr>
            </w:pPr>
            <w:r>
              <w:rPr>
                <w:rFonts w:ascii="Arial" w:cs="Arial" w:eastAsia="Arial" w:hAnsi="Arial"/>
                <w:sz w:val="13"/>
                <w:szCs w:val="13"/>
                <w:b w:val="1"/>
                <w:bCs w:val="1"/>
                <w:color w:val="auto"/>
              </w:rPr>
              <w:t>Income Taxes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46"/>
        </w:trPr>
        <w:tc>
          <w:tcPr>
            <w:tcW w:w="160" w:type="dxa"/>
            <w:vAlign w:val="bottom"/>
          </w:tcPr>
          <w:p>
            <w:pPr>
              <w:spacing w:after="0"/>
              <w:rPr>
                <w:sz w:val="21"/>
                <w:szCs w:val="21"/>
                <w:color w:val="auto"/>
              </w:rPr>
            </w:pPr>
          </w:p>
        </w:tc>
        <w:tc>
          <w:tcPr>
            <w:tcW w:w="6260" w:type="dxa"/>
            <w:vAlign w:val="bottom"/>
            <w:gridSpan w:val="2"/>
          </w:tcPr>
          <w:p>
            <w:pPr>
              <w:ind w:left="40"/>
              <w:spacing w:after="0"/>
              <w:rPr>
                <w:sz w:val="20"/>
                <w:szCs w:val="20"/>
                <w:color w:val="auto"/>
              </w:rPr>
            </w:pPr>
            <w:r>
              <w:rPr>
                <w:rFonts w:ascii="Arial" w:cs="Arial" w:eastAsia="Arial" w:hAnsi="Arial"/>
                <w:sz w:val="13"/>
                <w:szCs w:val="13"/>
                <w:b w:val="1"/>
                <w:bCs w:val="1"/>
                <w:i w:val="1"/>
                <w:iCs w:val="1"/>
                <w:color w:val="auto"/>
              </w:rPr>
              <w:t>Provision for income taxes</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160" w:type="dxa"/>
            <w:vAlign w:val="bottom"/>
          </w:tcPr>
          <w:p>
            <w:pPr>
              <w:spacing w:after="0"/>
              <w:rPr>
                <w:sz w:val="21"/>
                <w:szCs w:val="21"/>
                <w:color w:val="auto"/>
              </w:rPr>
            </w:pPr>
          </w:p>
        </w:tc>
        <w:tc>
          <w:tcPr>
            <w:tcW w:w="6260" w:type="dxa"/>
            <w:vAlign w:val="bottom"/>
            <w:gridSpan w:val="2"/>
          </w:tcPr>
          <w:p>
            <w:pPr>
              <w:ind w:left="240"/>
              <w:spacing w:after="0"/>
              <w:rPr>
                <w:sz w:val="20"/>
                <w:szCs w:val="20"/>
                <w:color w:val="auto"/>
              </w:rPr>
            </w:pPr>
            <w:r>
              <w:rPr>
                <w:rFonts w:ascii="Arial" w:cs="Arial" w:eastAsia="Arial" w:hAnsi="Arial"/>
                <w:sz w:val="13"/>
                <w:szCs w:val="13"/>
                <w:color w:val="auto"/>
              </w:rPr>
              <w:t>Our provision for income taxes consisted of the following (in millions):</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8"/>
        </w:trPr>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9"/>
          </w:tcPr>
          <w:p>
            <w:pPr>
              <w:jc w:val="right"/>
              <w:ind w:right="160"/>
              <w:spacing w:after="0"/>
              <w:rPr>
                <w:sz w:val="20"/>
                <w:szCs w:val="20"/>
                <w:color w:val="auto"/>
              </w:rPr>
            </w:pPr>
            <w:r>
              <w:rPr>
                <w:rFonts w:ascii="Arial" w:cs="Arial" w:eastAsia="Arial" w:hAnsi="Arial"/>
                <w:sz w:val="10"/>
                <w:szCs w:val="10"/>
                <w:b w:val="1"/>
                <w:bCs w:val="1"/>
                <w:color w:val="auto"/>
                <w:w w:val="96"/>
              </w:rPr>
              <w:t>Years Ended December 31,</w:t>
            </w:r>
          </w:p>
        </w:tc>
      </w:tr>
      <w:tr>
        <w:trPr>
          <w:trHeight w:val="98"/>
        </w:trPr>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0"/>
              </w:rPr>
              <w:t>2008</w:t>
            </w: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3"/>
          </w:tcPr>
          <w:p>
            <w:pPr>
              <w:jc w:val="right"/>
              <w:ind w:right="40"/>
              <w:spacing w:after="0" w:line="98" w:lineRule="exact"/>
              <w:rPr>
                <w:sz w:val="20"/>
                <w:szCs w:val="20"/>
                <w:color w:val="auto"/>
              </w:rPr>
            </w:pPr>
            <w:r>
              <w:rPr>
                <w:rFonts w:ascii="Arial" w:cs="Arial" w:eastAsia="Arial" w:hAnsi="Arial"/>
                <w:sz w:val="10"/>
                <w:szCs w:val="10"/>
                <w:b w:val="1"/>
                <w:bCs w:val="1"/>
                <w:color w:val="auto"/>
              </w:rPr>
              <w:t>2007</w:t>
            </w:r>
          </w:p>
        </w:tc>
        <w:tc>
          <w:tcPr>
            <w:tcW w:w="1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r>
      <w:tr>
        <w:trPr>
          <w:trHeight w:val="29"/>
        </w:trPr>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3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tcPr>
          <w:p>
            <w:pPr>
              <w:ind w:left="140"/>
              <w:spacing w:after="0"/>
              <w:rPr>
                <w:sz w:val="20"/>
                <w:szCs w:val="20"/>
                <w:color w:val="auto"/>
              </w:rPr>
            </w:pPr>
            <w:r>
              <w:rPr>
                <w:rFonts w:ascii="Arial" w:cs="Arial" w:eastAsia="Arial" w:hAnsi="Arial"/>
                <w:sz w:val="13"/>
                <w:szCs w:val="13"/>
                <w:color w:val="auto"/>
              </w:rPr>
              <w:t>Federal</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$436</w:t>
            </w:r>
          </w:p>
        </w:tc>
        <w:tc>
          <w:tcPr>
            <w:tcW w:w="660" w:type="dxa"/>
            <w:vAlign w:val="bottom"/>
            <w:gridSpan w:val="4"/>
          </w:tcPr>
          <w:p>
            <w:pPr>
              <w:jc w:val="right"/>
              <w:ind w:right="160"/>
              <w:spacing w:after="0"/>
              <w:rPr>
                <w:sz w:val="20"/>
                <w:szCs w:val="20"/>
                <w:color w:val="auto"/>
              </w:rPr>
            </w:pPr>
            <w:r>
              <w:rPr>
                <w:rFonts w:ascii="Arial" w:cs="Arial" w:eastAsia="Arial" w:hAnsi="Arial"/>
                <w:sz w:val="13"/>
                <w:szCs w:val="13"/>
                <w:color w:val="auto"/>
              </w:rPr>
              <w:t>$412</w:t>
            </w:r>
          </w:p>
        </w:tc>
        <w:tc>
          <w:tcPr>
            <w:tcW w:w="460" w:type="dxa"/>
            <w:vAlign w:val="bottom"/>
            <w:gridSpan w:val="3"/>
          </w:tcPr>
          <w:p>
            <w:pPr>
              <w:jc w:val="right"/>
              <w:ind w:right="60"/>
              <w:spacing w:after="0"/>
              <w:rPr>
                <w:sz w:val="20"/>
                <w:szCs w:val="20"/>
                <w:color w:val="auto"/>
              </w:rPr>
            </w:pPr>
            <w:r>
              <w:rPr>
                <w:rFonts w:ascii="Arial" w:cs="Arial" w:eastAsia="Arial" w:hAnsi="Arial"/>
                <w:sz w:val="13"/>
                <w:szCs w:val="13"/>
                <w:color w:val="auto"/>
              </w:rPr>
              <w:t>$283</w:t>
            </w: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State</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52</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33</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55</w:t>
            </w: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tcPr>
          <w:p>
            <w:pPr>
              <w:ind w:left="140"/>
              <w:spacing w:after="0"/>
              <w:rPr>
                <w:sz w:val="20"/>
                <w:szCs w:val="20"/>
                <w:color w:val="auto"/>
              </w:rPr>
            </w:pPr>
            <w:r>
              <w:rPr>
                <w:rFonts w:ascii="Arial" w:cs="Arial" w:eastAsia="Arial" w:hAnsi="Arial"/>
                <w:sz w:val="13"/>
                <w:szCs w:val="13"/>
                <w:color w:val="auto"/>
              </w:rPr>
              <w:t>Foreign</w:t>
            </w:r>
          </w:p>
        </w:tc>
        <w:tc>
          <w:tcPr>
            <w:tcW w:w="340" w:type="dxa"/>
            <w:vAlign w:val="bottom"/>
          </w:tcPr>
          <w:p>
            <w:pPr>
              <w:spacing w:after="0"/>
              <w:rPr>
                <w:sz w:val="13"/>
                <w:szCs w:val="13"/>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31</w:t>
            </w:r>
          </w:p>
        </w:tc>
        <w:tc>
          <w:tcPr>
            <w:tcW w:w="660" w:type="dxa"/>
            <w:vAlign w:val="bottom"/>
            <w:gridSpan w:val="4"/>
          </w:tcPr>
          <w:p>
            <w:pPr>
              <w:jc w:val="right"/>
              <w:ind w:right="160"/>
              <w:spacing w:after="0"/>
              <w:rPr>
                <w:sz w:val="20"/>
                <w:szCs w:val="20"/>
                <w:color w:val="auto"/>
              </w:rPr>
            </w:pPr>
            <w:r>
              <w:rPr>
                <w:rFonts w:ascii="Arial" w:cs="Arial" w:eastAsia="Arial" w:hAnsi="Arial"/>
                <w:sz w:val="13"/>
                <w:szCs w:val="13"/>
                <w:color w:val="auto"/>
              </w:rPr>
              <w:t>25</w:t>
            </w:r>
          </w:p>
        </w:tc>
        <w:tc>
          <w:tcPr>
            <w:tcW w:w="460" w:type="dxa"/>
            <w:vAlign w:val="bottom"/>
            <w:gridSpan w:val="3"/>
          </w:tcPr>
          <w:p>
            <w:pPr>
              <w:jc w:val="right"/>
              <w:ind w:right="60"/>
              <w:spacing w:after="0"/>
              <w:rPr>
                <w:sz w:val="20"/>
                <w:szCs w:val="20"/>
                <w:color w:val="auto"/>
              </w:rPr>
            </w:pPr>
            <w:r>
              <w:rPr>
                <w:rFonts w:ascii="Arial" w:cs="Arial" w:eastAsia="Arial" w:hAnsi="Arial"/>
                <w:sz w:val="13"/>
                <w:szCs w:val="13"/>
                <w:color w:val="auto"/>
              </w:rPr>
              <w:t>10</w:t>
            </w:r>
          </w:p>
        </w:tc>
      </w:tr>
      <w:tr>
        <w:trPr>
          <w:trHeight w:val="20"/>
        </w:trPr>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2"/>
              </w:rPr>
              <w:t>519</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470</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348</w:t>
            </w:r>
          </w:p>
        </w:tc>
      </w:tr>
      <w:tr>
        <w:trPr>
          <w:trHeight w:val="156"/>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Deferred:</w:t>
            </w:r>
          </w:p>
        </w:tc>
        <w:tc>
          <w:tcPr>
            <w:tcW w:w="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Federal</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126</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91</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tcPr>
          <w:p>
            <w:pPr>
              <w:ind w:left="140"/>
              <w:spacing w:after="0"/>
              <w:rPr>
                <w:sz w:val="20"/>
                <w:szCs w:val="20"/>
                <w:color w:val="auto"/>
              </w:rPr>
            </w:pPr>
            <w:r>
              <w:rPr>
                <w:rFonts w:ascii="Arial" w:cs="Arial" w:eastAsia="Arial" w:hAnsi="Arial"/>
                <w:sz w:val="13"/>
                <w:szCs w:val="13"/>
                <w:color w:val="auto"/>
              </w:rPr>
              <w:t>State</w:t>
            </w:r>
          </w:p>
        </w:tc>
        <w:tc>
          <w:tcPr>
            <w:tcW w:w="640" w:type="dxa"/>
            <w:vAlign w:val="bottom"/>
            <w:gridSpan w:val="3"/>
          </w:tcPr>
          <w:p>
            <w:pPr>
              <w:jc w:val="right"/>
              <w:ind w:right="80"/>
              <w:spacing w:after="0"/>
              <w:rPr>
                <w:sz w:val="20"/>
                <w:szCs w:val="20"/>
                <w:color w:val="auto"/>
              </w:rPr>
            </w:pPr>
            <w:r>
              <w:rPr>
                <w:rFonts w:ascii="Arial" w:cs="Arial" w:eastAsia="Arial" w:hAnsi="Arial"/>
                <w:sz w:val="13"/>
                <w:szCs w:val="13"/>
                <w:color w:val="auto"/>
              </w:rPr>
              <w:t>27</w:t>
            </w:r>
          </w:p>
        </w:tc>
        <w:tc>
          <w:tcPr>
            <w:tcW w:w="660" w:type="dxa"/>
            <w:vAlign w:val="bottom"/>
            <w:gridSpan w:val="4"/>
          </w:tcPr>
          <w:p>
            <w:pPr>
              <w:jc w:val="right"/>
              <w:ind w:right="120"/>
              <w:spacing w:after="0"/>
              <w:rPr>
                <w:sz w:val="20"/>
                <w:szCs w:val="20"/>
                <w:color w:val="auto"/>
              </w:rPr>
            </w:pPr>
            <w:r>
              <w:rPr>
                <w:rFonts w:ascii="Arial" w:cs="Arial" w:eastAsia="Arial" w:hAnsi="Arial"/>
                <w:sz w:val="13"/>
                <w:szCs w:val="13"/>
                <w:color w:val="auto"/>
              </w:rPr>
              <w:t>(3)</w:t>
            </w: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w:t>
            </w:r>
          </w:p>
        </w:tc>
        <w:tc>
          <w:tcPr>
            <w:tcW w:w="340" w:type="dxa"/>
            <w:vAlign w:val="bottom"/>
            <w:tcBorders>
              <w:right w:val="single" w:sz="8" w:color="CCEEFF"/>
            </w:tcBorders>
            <w:shd w:val="clear" w:color="auto" w:fill="CCEEFF"/>
          </w:tcPr>
          <w:p>
            <w:pPr>
              <w:spacing w:after="0"/>
              <w:rPr>
                <w:sz w:val="13"/>
                <w:szCs w:val="13"/>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w:t>
            </w: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(18)</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w:t>
            </w:r>
          </w:p>
        </w:tc>
      </w:tr>
      <w:tr>
        <w:trPr>
          <w:trHeight w:val="20"/>
        </w:trPr>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150</w:t>
            </w:r>
          </w:p>
        </w:tc>
        <w:tc>
          <w:tcPr>
            <w:tcW w:w="660" w:type="dxa"/>
            <w:vAlign w:val="bottom"/>
            <w:gridSpan w:val="4"/>
          </w:tcPr>
          <w:p>
            <w:pPr>
              <w:jc w:val="right"/>
              <w:ind w:right="160"/>
              <w:spacing w:after="0"/>
              <w:rPr>
                <w:sz w:val="20"/>
                <w:szCs w:val="20"/>
                <w:color w:val="auto"/>
              </w:rPr>
            </w:pPr>
            <w:r>
              <w:rPr>
                <w:rFonts w:ascii="Arial" w:cs="Arial" w:eastAsia="Arial" w:hAnsi="Arial"/>
                <w:sz w:val="13"/>
                <w:szCs w:val="13"/>
                <w:color w:val="auto"/>
              </w:rPr>
              <w:t>70</w:t>
            </w: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(23)</w:t>
            </w:r>
          </w:p>
        </w:tc>
      </w:tr>
      <w:tr>
        <w:trPr>
          <w:trHeight w:val="20"/>
        </w:trPr>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167"/>
        </w:trPr>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340" w:type="dxa"/>
            <w:vAlign w:val="bottom"/>
            <w:tcBorders>
              <w:right w:val="single" w:sz="8" w:color="CCEEFF"/>
            </w:tcBorders>
            <w:shd w:val="clear" w:color="auto" w:fill="CCEEFF"/>
          </w:tcPr>
          <w:p>
            <w:pPr>
              <w:spacing w:after="0"/>
              <w:rPr>
                <w:sz w:val="14"/>
                <w:szCs w:val="14"/>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u w:val="single" w:color="auto"/>
                <w:color w:val="auto"/>
                <w:w w:val="74"/>
              </w:rPr>
              <w:t>$</w:t>
            </w:r>
            <w:r>
              <w:rPr>
                <w:rFonts w:ascii="Arial" w:cs="Arial" w:eastAsia="Arial" w:hAnsi="Arial"/>
                <w:sz w:val="12"/>
                <w:szCs w:val="12"/>
                <w:color w:val="auto"/>
                <w:w w:val="74"/>
              </w:rPr>
              <w:t>669</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540</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325</w:t>
            </w:r>
          </w:p>
        </w:tc>
      </w:tr>
      <w:tr>
        <w:trPr>
          <w:trHeight w:val="254"/>
        </w:trPr>
        <w:tc>
          <w:tcPr>
            <w:tcW w:w="160" w:type="dxa"/>
            <w:vAlign w:val="bottom"/>
          </w:tcPr>
          <w:p>
            <w:pPr>
              <w:spacing w:after="0"/>
              <w:rPr>
                <w:sz w:val="22"/>
                <w:szCs w:val="22"/>
                <w:color w:val="auto"/>
              </w:rPr>
            </w:pPr>
          </w:p>
        </w:tc>
        <w:tc>
          <w:tcPr>
            <w:tcW w:w="6260" w:type="dxa"/>
            <w:vAlign w:val="bottom"/>
            <w:gridSpan w:val="2"/>
          </w:tcPr>
          <w:p>
            <w:pPr>
              <w:ind w:left="240"/>
              <w:spacing w:after="0"/>
              <w:rPr>
                <w:sz w:val="20"/>
                <w:szCs w:val="20"/>
                <w:color w:val="auto"/>
              </w:rPr>
            </w:pPr>
            <w:r>
              <w:rPr>
                <w:rFonts w:ascii="Arial" w:cs="Arial" w:eastAsia="Arial" w:hAnsi="Arial"/>
                <w:sz w:val="13"/>
                <w:szCs w:val="13"/>
                <w:color w:val="auto"/>
              </w:rPr>
              <w:t>The U.S. federal statutory income tax rate is reconciled to the effective rate as follows:</w:t>
            </w:r>
          </w:p>
        </w:tc>
        <w:tc>
          <w:tcPr>
            <w:tcW w:w="3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08"/>
        </w:trPr>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760" w:type="dxa"/>
            <w:vAlign w:val="bottom"/>
            <w:gridSpan w:val="10"/>
          </w:tcPr>
          <w:p>
            <w:pPr>
              <w:jc w:val="right"/>
              <w:ind w:right="340"/>
              <w:spacing w:after="0"/>
              <w:rPr>
                <w:sz w:val="20"/>
                <w:szCs w:val="20"/>
                <w:color w:val="auto"/>
              </w:rPr>
            </w:pPr>
            <w:r>
              <w:rPr>
                <w:rFonts w:ascii="Arial" w:cs="Arial" w:eastAsia="Arial" w:hAnsi="Arial"/>
                <w:sz w:val="10"/>
                <w:szCs w:val="10"/>
                <w:b w:val="1"/>
                <w:bCs w:val="1"/>
                <w:color w:val="auto"/>
              </w:rPr>
              <w:t>Years Ended December 31,</w:t>
            </w:r>
          </w:p>
        </w:tc>
      </w:tr>
      <w:tr>
        <w:trPr>
          <w:trHeight w:val="98"/>
        </w:trPr>
        <w:tc>
          <w:tcPr>
            <w:tcW w:w="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4620" w:type="dxa"/>
            <w:vAlign w:val="bottom"/>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2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2007</w:t>
            </w: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r>
      <w:tr>
        <w:trPr>
          <w:trHeight w:val="29"/>
        </w:trPr>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 at U.S. federal statutory rate</w:t>
            </w:r>
          </w:p>
        </w:tc>
        <w:tc>
          <w:tcPr>
            <w:tcW w:w="560" w:type="dxa"/>
            <w:vAlign w:val="bottom"/>
            <w:gridSpan w:val="2"/>
            <w:shd w:val="clear" w:color="auto" w:fill="CCEEFF"/>
          </w:tcPr>
          <w:p>
            <w:pPr>
              <w:jc w:val="right"/>
              <w:ind w:right="39"/>
              <w:spacing w:after="0"/>
              <w:rPr>
                <w:sz w:val="20"/>
                <w:szCs w:val="20"/>
                <w:color w:val="auto"/>
              </w:rPr>
            </w:pPr>
            <w:r>
              <w:rPr>
                <w:rFonts w:ascii="Arial" w:cs="Arial" w:eastAsia="Arial" w:hAnsi="Arial"/>
                <w:sz w:val="13"/>
                <w:szCs w:val="13"/>
                <w:color w:val="auto"/>
                <w:w w:val="99"/>
              </w:rPr>
              <w:t>35.00%</w:t>
            </w: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9"/>
              </w:rPr>
              <w:t>35.00%</w:t>
            </w:r>
          </w:p>
        </w:tc>
        <w:tc>
          <w:tcPr>
            <w:tcW w:w="1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9"/>
              </w:rPr>
              <w:t>35.00%</w:t>
            </w: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State and local income taxes, net of federal income tax benefit</w:t>
            </w:r>
          </w:p>
        </w:tc>
        <w:tc>
          <w:tcPr>
            <w:tcW w:w="560" w:type="dxa"/>
            <w:vAlign w:val="bottom"/>
            <w:gridSpan w:val="2"/>
          </w:tcPr>
          <w:p>
            <w:pPr>
              <w:jc w:val="right"/>
              <w:ind w:right="139"/>
              <w:spacing w:after="0"/>
              <w:rPr>
                <w:sz w:val="20"/>
                <w:szCs w:val="20"/>
                <w:color w:val="auto"/>
              </w:rPr>
            </w:pPr>
            <w:r>
              <w:rPr>
                <w:rFonts w:ascii="Arial" w:cs="Arial" w:eastAsia="Arial" w:hAnsi="Arial"/>
                <w:sz w:val="13"/>
                <w:szCs w:val="13"/>
                <w:color w:val="auto"/>
              </w:rPr>
              <w:t>3.71</w:t>
            </w:r>
          </w:p>
        </w:tc>
        <w:tc>
          <w:tcPr>
            <w:tcW w:w="80" w:type="dxa"/>
            <w:vAlign w:val="bottom"/>
          </w:tcPr>
          <w:p>
            <w:pPr>
              <w:spacing w:after="0"/>
              <w:rPr>
                <w:sz w:val="13"/>
                <w:szCs w:val="13"/>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color w:val="auto"/>
              </w:rPr>
              <w:t>2.69</w:t>
            </w:r>
          </w:p>
        </w:tc>
        <w:tc>
          <w:tcPr>
            <w:tcW w:w="1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2.81</w:t>
            </w:r>
          </w:p>
        </w:tc>
        <w:tc>
          <w:tcPr>
            <w:tcW w:w="120" w:type="dxa"/>
            <w:vAlign w:val="bottom"/>
          </w:tcPr>
          <w:p>
            <w:pPr>
              <w:spacing w:after="0"/>
              <w:rPr>
                <w:sz w:val="13"/>
                <w:szCs w:val="13"/>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Non-conventional fuel tax credits</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(2.61)</w:t>
            </w: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120" w:type="dxa"/>
            <w:vAlign w:val="bottom"/>
            <w:tcBorders>
              <w:left w:val="single" w:sz="8" w:color="CCEEFF"/>
            </w:tcBorders>
            <w:shd w:val="clear" w:color="auto" w:fill="CCEEFF"/>
          </w:tcPr>
          <w:p>
            <w:pPr>
              <w:spacing w:after="0"/>
              <w:rPr>
                <w:sz w:val="13"/>
                <w:szCs w:val="13"/>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Taxing authority audit settlements and other tax adjustments</w:t>
            </w:r>
          </w:p>
        </w:tc>
        <w:tc>
          <w:tcPr>
            <w:tcW w:w="560" w:type="dxa"/>
            <w:vAlign w:val="bottom"/>
            <w:gridSpan w:val="2"/>
          </w:tcPr>
          <w:p>
            <w:pPr>
              <w:jc w:val="right"/>
              <w:ind w:right="99"/>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3"/>
                <w:szCs w:val="13"/>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3"/>
                <w:szCs w:val="13"/>
                <w:color w:val="auto"/>
              </w:rPr>
              <w:t>(1.22)</w:t>
            </w:r>
          </w:p>
        </w:tc>
        <w:tc>
          <w:tcPr>
            <w:tcW w:w="1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(9.34)</w:t>
            </w:r>
          </w:p>
        </w:tc>
        <w:tc>
          <w:tcPr>
            <w:tcW w:w="120" w:type="dxa"/>
            <w:vAlign w:val="bottom"/>
          </w:tcPr>
          <w:p>
            <w:pPr>
              <w:spacing w:after="0"/>
              <w:rPr>
                <w:sz w:val="13"/>
                <w:szCs w:val="13"/>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Nondeductible costs relating to acquired intangibles</w:t>
            </w:r>
          </w:p>
        </w:tc>
        <w:tc>
          <w:tcPr>
            <w:tcW w:w="560" w:type="dxa"/>
            <w:vAlign w:val="bottom"/>
            <w:gridSpan w:val="2"/>
            <w:shd w:val="clear" w:color="auto" w:fill="CCEEFF"/>
          </w:tcPr>
          <w:p>
            <w:pPr>
              <w:jc w:val="right"/>
              <w:ind w:right="139"/>
              <w:spacing w:after="0"/>
              <w:rPr>
                <w:sz w:val="20"/>
                <w:szCs w:val="20"/>
                <w:color w:val="auto"/>
              </w:rPr>
            </w:pPr>
            <w:r>
              <w:rPr>
                <w:rFonts w:ascii="Arial" w:cs="Arial" w:eastAsia="Arial" w:hAnsi="Arial"/>
                <w:sz w:val="13"/>
                <w:szCs w:val="13"/>
                <w:color w:val="auto"/>
              </w:rPr>
              <w:t>0.81</w:t>
            </w: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1.11</w:t>
            </w: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Borders>
              <w:left w:val="single" w:sz="8" w:color="CCEEFF"/>
            </w:tcBorders>
            <w:shd w:val="clear" w:color="auto" w:fill="CCEEFF"/>
          </w:tcPr>
          <w:p>
            <w:pPr>
              <w:spacing w:after="0"/>
              <w:rPr>
                <w:sz w:val="13"/>
                <w:szCs w:val="13"/>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Tax rate differential on foreign income</w:t>
            </w:r>
          </w:p>
        </w:tc>
        <w:tc>
          <w:tcPr>
            <w:tcW w:w="560" w:type="dxa"/>
            <w:vAlign w:val="bottom"/>
            <w:gridSpan w:val="2"/>
          </w:tcPr>
          <w:p>
            <w:pPr>
              <w:jc w:val="right"/>
              <w:ind w:right="99"/>
              <w:spacing w:after="0"/>
              <w:rPr>
                <w:sz w:val="20"/>
                <w:szCs w:val="20"/>
                <w:color w:val="auto"/>
              </w:rPr>
            </w:pPr>
            <w:r>
              <w:rPr>
                <w:rFonts w:ascii="Arial" w:cs="Arial" w:eastAsia="Arial" w:hAnsi="Arial"/>
                <w:sz w:val="13"/>
                <w:szCs w:val="13"/>
                <w:color w:val="auto"/>
              </w:rPr>
              <w:t>(0.03)</w:t>
            </w:r>
          </w:p>
        </w:tc>
        <w:tc>
          <w:tcPr>
            <w:tcW w:w="80" w:type="dxa"/>
            <w:vAlign w:val="bottom"/>
          </w:tcPr>
          <w:p>
            <w:pPr>
              <w:spacing w:after="0"/>
              <w:rPr>
                <w:sz w:val="13"/>
                <w:szCs w:val="13"/>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color w:val="auto"/>
              </w:rPr>
              <w:t>0.04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Cumulative effect of change in tax rates</w:t>
            </w:r>
          </w:p>
        </w:tc>
        <w:tc>
          <w:tcPr>
            <w:tcW w:w="6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(1.81)</w:t>
            </w: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20" w:type="dxa"/>
            <w:vAlign w:val="bottom"/>
            <w:tcBorders>
              <w:left w:val="single" w:sz="8" w:color="CCEEFF"/>
            </w:tcBorders>
            <w:shd w:val="clear" w:color="auto" w:fill="CCEEFF"/>
          </w:tcPr>
          <w:p>
            <w:pPr>
              <w:spacing w:after="0"/>
              <w:rPr>
                <w:sz w:val="13"/>
                <w:szCs w:val="13"/>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Other</w:t>
            </w:r>
          </w:p>
        </w:tc>
        <w:tc>
          <w:tcPr>
            <w:tcW w:w="560" w:type="dxa"/>
            <w:vAlign w:val="bottom"/>
            <w:gridSpan w:val="2"/>
          </w:tcPr>
          <w:p>
            <w:pPr>
              <w:jc w:val="right"/>
              <w:ind w:right="99"/>
              <w:spacing w:after="0"/>
              <w:rPr>
                <w:sz w:val="20"/>
                <w:szCs w:val="20"/>
                <w:color w:val="auto"/>
              </w:rPr>
            </w:pPr>
            <w:r>
              <w:rPr>
                <w:rFonts w:ascii="Arial" w:cs="Arial" w:eastAsia="Arial" w:hAnsi="Arial"/>
                <w:sz w:val="13"/>
                <w:szCs w:val="13"/>
                <w:color w:val="auto"/>
              </w:rPr>
              <w:t>(0.39)</w:t>
            </w:r>
          </w:p>
        </w:tc>
        <w:tc>
          <w:tcPr>
            <w:tcW w:w="80" w:type="dxa"/>
            <w:vAlign w:val="bottom"/>
          </w:tcPr>
          <w:p>
            <w:pPr>
              <w:spacing w:after="0"/>
              <w:rPr>
                <w:sz w:val="13"/>
                <w:szCs w:val="13"/>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3"/>
                <w:szCs w:val="13"/>
                <w:color w:val="auto"/>
              </w:rPr>
              <w:t>(1.47)</w:t>
            </w:r>
          </w:p>
        </w:tc>
        <w:tc>
          <w:tcPr>
            <w:tcW w:w="1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Provision for income taxes</w:t>
            </w:r>
          </w:p>
        </w:tc>
        <w:tc>
          <w:tcPr>
            <w:tcW w:w="560" w:type="dxa"/>
            <w:vAlign w:val="bottom"/>
            <w:gridSpan w:val="2"/>
            <w:shd w:val="clear" w:color="auto" w:fill="CCEEFF"/>
          </w:tcPr>
          <w:p>
            <w:pPr>
              <w:jc w:val="right"/>
              <w:ind w:right="39"/>
              <w:spacing w:after="0"/>
              <w:rPr>
                <w:sz w:val="20"/>
                <w:szCs w:val="20"/>
                <w:color w:val="auto"/>
              </w:rPr>
            </w:pPr>
            <w:r>
              <w:rPr>
                <w:rFonts w:ascii="Arial" w:cs="Arial" w:eastAsia="Arial" w:hAnsi="Arial"/>
                <w:sz w:val="13"/>
                <w:szCs w:val="13"/>
                <w:color w:val="auto"/>
                <w:w w:val="99"/>
              </w:rPr>
              <w:t>38.10%</w:t>
            </w: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99"/>
              </w:rPr>
              <w:t>31.73%</w:t>
            </w:r>
          </w:p>
        </w:tc>
        <w:tc>
          <w:tcPr>
            <w:tcW w:w="1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9"/>
              </w:rPr>
              <w:t>22.05%</w:t>
            </w:r>
          </w:p>
        </w:tc>
      </w:tr>
      <w:tr>
        <w:trPr>
          <w:trHeight w:val="29"/>
        </w:trPr>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The comparability of our reported income taxes for the reported periods has been significantly affected by increases in our income before income taxes, tax audit settlements and non-conventional fuel tax credits, which are discussed in more detail below. For financial reporting purposes, income before income taxes showing domestic and foreign sources was as follows (in millions) for the years ended December 31, 2008, 2007 and 2006:</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4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640" w:type="dxa"/>
            <w:vAlign w:val="bottom"/>
            <w:gridSpan w:val="6"/>
          </w:tcPr>
          <w:p>
            <w:pPr>
              <w:jc w:val="right"/>
              <w:ind w:right="240"/>
              <w:spacing w:after="0"/>
              <w:rPr>
                <w:sz w:val="20"/>
                <w:szCs w:val="20"/>
                <w:color w:val="auto"/>
              </w:rPr>
            </w:pPr>
            <w:r>
              <w:rPr>
                <w:rFonts w:ascii="Arial" w:cs="Arial" w:eastAsia="Arial" w:hAnsi="Arial"/>
                <w:sz w:val="10"/>
                <w:szCs w:val="10"/>
                <w:b w:val="1"/>
                <w:bCs w:val="1"/>
                <w:color w:val="auto"/>
              </w:rPr>
              <w:t>Years Ended December 31,</w:t>
            </w:r>
          </w:p>
        </w:tc>
        <w:tc>
          <w:tcPr>
            <w:tcW w:w="2600" w:type="dxa"/>
            <w:vAlign w:val="bottom"/>
          </w:tcPr>
          <w:p>
            <w:pPr>
              <w:spacing w:after="0"/>
              <w:rPr>
                <w:sz w:val="10"/>
                <w:szCs w:val="10"/>
                <w:color w:val="auto"/>
              </w:rPr>
            </w:pPr>
          </w:p>
        </w:tc>
      </w:tr>
      <w:tr>
        <w:trPr>
          <w:trHeight w:val="98"/>
        </w:trPr>
        <w:tc>
          <w:tcPr>
            <w:tcW w:w="24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ind w:right="1"/>
              <w:spacing w:after="0" w:line="98" w:lineRule="exact"/>
              <w:rPr>
                <w:sz w:val="20"/>
                <w:szCs w:val="20"/>
                <w:color w:val="auto"/>
              </w:rPr>
            </w:pPr>
            <w:r>
              <w:rPr>
                <w:rFonts w:ascii="Arial" w:cs="Arial" w:eastAsia="Arial" w:hAnsi="Arial"/>
                <w:sz w:val="10"/>
                <w:szCs w:val="10"/>
                <w:b w:val="1"/>
                <w:bCs w:val="1"/>
                <w:color w:val="auto"/>
              </w:rPr>
              <w:t>2008</w:t>
            </w:r>
          </w:p>
        </w:tc>
        <w:tc>
          <w:tcPr>
            <w:tcW w:w="260" w:type="dxa"/>
            <w:vAlign w:val="bottom"/>
            <w:tcBorders>
              <w:top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2007</w:t>
            </w:r>
          </w:p>
        </w:tc>
        <w:tc>
          <w:tcPr>
            <w:tcW w:w="240" w:type="dxa"/>
            <w:vAlign w:val="bottom"/>
            <w:tcBorders>
              <w:top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60" w:type="dxa"/>
            <w:vAlign w:val="bottom"/>
          </w:tcPr>
          <w:p>
            <w:pPr>
              <w:spacing w:after="0"/>
              <w:rPr>
                <w:sz w:val="8"/>
                <w:szCs w:val="8"/>
                <w:color w:val="auto"/>
              </w:rPr>
            </w:pPr>
          </w:p>
        </w:tc>
        <w:tc>
          <w:tcPr>
            <w:tcW w:w="2600" w:type="dxa"/>
            <w:vAlign w:val="bottom"/>
          </w:tcPr>
          <w:p>
            <w:pPr>
              <w:spacing w:after="0"/>
              <w:rPr>
                <w:sz w:val="8"/>
                <w:szCs w:val="8"/>
                <w:color w:val="auto"/>
              </w:rPr>
            </w:pPr>
          </w:p>
        </w:tc>
      </w:tr>
      <w:tr>
        <w:trPr>
          <w:trHeight w:val="29"/>
        </w:trPr>
        <w:tc>
          <w:tcPr>
            <w:tcW w:w="2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157"/>
        </w:trPr>
        <w:tc>
          <w:tcPr>
            <w:tcW w:w="2480" w:type="dxa"/>
            <w:vAlign w:val="bottom"/>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Domestic</w:t>
            </w:r>
          </w:p>
        </w:tc>
        <w:tc>
          <w:tcPr>
            <w:tcW w:w="30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$1,652</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5"/>
              </w:rPr>
              <w:t>$1,605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5"/>
              </w:rPr>
              <w:t>$1,390</w:t>
            </w:r>
          </w:p>
        </w:tc>
        <w:tc>
          <w:tcPr>
            <w:tcW w:w="2600" w:type="dxa"/>
            <w:vAlign w:val="bottom"/>
          </w:tcPr>
          <w:p>
            <w:pPr>
              <w:spacing w:after="0"/>
              <w:rPr>
                <w:sz w:val="13"/>
                <w:szCs w:val="13"/>
                <w:color w:val="auto"/>
              </w:rPr>
            </w:pPr>
          </w:p>
        </w:tc>
      </w:tr>
      <w:tr>
        <w:trPr>
          <w:trHeight w:val="157"/>
        </w:trPr>
        <w:tc>
          <w:tcPr>
            <w:tcW w:w="248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Foreign</w:t>
            </w:r>
          </w:p>
        </w:tc>
        <w:tc>
          <w:tcPr>
            <w:tcW w:w="244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color w:val="auto"/>
              </w:rPr>
              <w:t>104</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98</w:t>
            </w:r>
          </w:p>
        </w:tc>
        <w:tc>
          <w:tcPr>
            <w:tcW w:w="420" w:type="dxa"/>
            <w:vAlign w:val="bottom"/>
            <w:gridSpan w:val="2"/>
          </w:tcPr>
          <w:p>
            <w:pPr>
              <w:jc w:val="right"/>
              <w:ind w:right="60"/>
              <w:spacing w:after="0"/>
              <w:rPr>
                <w:sz w:val="20"/>
                <w:szCs w:val="20"/>
                <w:color w:val="auto"/>
              </w:rPr>
            </w:pPr>
            <w:r>
              <w:rPr>
                <w:rFonts w:ascii="Arial" w:cs="Arial" w:eastAsia="Arial" w:hAnsi="Arial"/>
                <w:sz w:val="13"/>
                <w:szCs w:val="13"/>
                <w:color w:val="auto"/>
              </w:rPr>
              <w:t>84</w:t>
            </w:r>
          </w:p>
        </w:tc>
        <w:tc>
          <w:tcPr>
            <w:tcW w:w="260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6"/>
        </w:trPr>
        <w:tc>
          <w:tcPr>
            <w:tcW w:w="248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24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1,756</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1,703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1,474</w:t>
            </w:r>
          </w:p>
        </w:tc>
        <w:tc>
          <w:tcPr>
            <w:tcW w:w="2600" w:type="dxa"/>
            <w:vAlign w:val="bottom"/>
          </w:tcPr>
          <w:p>
            <w:pPr>
              <w:spacing w:after="0"/>
              <w:rPr>
                <w:sz w:val="14"/>
                <w:szCs w:val="14"/>
                <w:color w:val="auto"/>
              </w:rPr>
            </w:pPr>
          </w:p>
        </w:tc>
      </w:tr>
      <w:tr>
        <w:trPr>
          <w:trHeight w:val="461"/>
        </w:trPr>
        <w:tc>
          <w:tcPr>
            <w:tcW w:w="2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40" w:type="dxa"/>
            <w:vAlign w:val="bottom"/>
          </w:tcPr>
          <w:p>
            <w:pPr>
              <w:jc w:val="right"/>
              <w:ind w:right="1414"/>
              <w:spacing w:after="0"/>
              <w:rPr>
                <w:sz w:val="20"/>
                <w:szCs w:val="20"/>
                <w:color w:val="auto"/>
              </w:rPr>
            </w:pPr>
            <w:r>
              <w:rPr>
                <w:rFonts w:ascii="Arial" w:cs="Arial" w:eastAsia="Arial" w:hAnsi="Arial"/>
                <w:sz w:val="13"/>
                <w:szCs w:val="13"/>
                <w:color w:val="auto"/>
              </w:rPr>
              <w:t>83</w:t>
            </w: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63"/>
        </w:trPr>
        <w:tc>
          <w:tcPr>
            <w:tcW w:w="2480" w:type="dxa"/>
            <w:vAlign w:val="bottom"/>
            <w:tcBorders>
              <w:bottom w:val="single" w:sz="8" w:color="808080"/>
            </w:tcBorders>
          </w:tcPr>
          <w:p>
            <w:pPr>
              <w:spacing w:after="0"/>
              <w:rPr>
                <w:sz w:val="14"/>
                <w:szCs w:val="14"/>
                <w:color w:val="auto"/>
              </w:rPr>
            </w:pPr>
          </w:p>
        </w:tc>
        <w:tc>
          <w:tcPr>
            <w:tcW w:w="2300" w:type="dxa"/>
            <w:vAlign w:val="bottom"/>
            <w:tcBorders>
              <w:bottom w:val="single" w:sz="8" w:color="808080"/>
            </w:tcBorders>
          </w:tcPr>
          <w:p>
            <w:pPr>
              <w:spacing w:after="0"/>
              <w:rPr>
                <w:sz w:val="14"/>
                <w:szCs w:val="14"/>
                <w:color w:val="auto"/>
              </w:rPr>
            </w:pPr>
          </w:p>
        </w:tc>
        <w:tc>
          <w:tcPr>
            <w:tcW w:w="2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i w:val="1"/>
          <w:iCs w:val="1"/>
          <w:color w:val="auto"/>
        </w:rPr>
        <w:t xml:space="preserve">Tax audit settlements </w:t>
      </w:r>
      <w:r>
        <w:rPr>
          <w:rFonts w:ascii="Arial" w:cs="Arial" w:eastAsia="Arial" w:hAnsi="Arial"/>
          <w:sz w:val="13"/>
          <w:szCs w:val="13"/>
          <w:color w:val="auto"/>
        </w:rPr>
        <w:t>— The Company and its subsidiaries file income tax returns in the United States and Puerto Rico, as well as various state and local jurisdictions and Canada. We</w:t>
      </w:r>
      <w:r>
        <w:rPr>
          <w:rFonts w:ascii="Arial" w:cs="Arial" w:eastAsia="Arial" w:hAnsi="Arial"/>
          <w:sz w:val="13"/>
          <w:szCs w:val="13"/>
          <w:i w:val="1"/>
          <w:iCs w:val="1"/>
          <w:color w:val="auto"/>
        </w:rPr>
        <w:t xml:space="preserve"> </w:t>
      </w:r>
      <w:r>
        <w:rPr>
          <w:rFonts w:ascii="Arial" w:cs="Arial" w:eastAsia="Arial" w:hAnsi="Arial"/>
          <w:sz w:val="13"/>
          <w:szCs w:val="13"/>
          <w:color w:val="auto"/>
        </w:rPr>
        <w:t>are currently under audit by the IRS and from time to time we are audited by other taxing authorities. Our audits are in various stages of completion.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2008, we settled IRS audits for the 2006 and 2007 tax years as well as various state tax audits. In addition, we settled Canadian audits for the tax years 2002 through 2005.</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settlement of these tax audits resulted in a reduction to our provision for income taxes of $26 million, or $0.05 per diluted share, for the year ended December 31, 2008.</w:t>
      </w:r>
    </w:p>
    <w:p>
      <w:pPr>
        <w:spacing w:after="0" w:line="89" w:lineRule="exact"/>
        <w:rPr>
          <w:sz w:val="20"/>
          <w:szCs w:val="20"/>
          <w:color w:val="auto"/>
        </w:rPr>
      </w:pPr>
    </w:p>
    <w:p>
      <w:pPr>
        <w:ind w:left="680" w:right="920" w:firstLine="399"/>
        <w:spacing w:after="0" w:line="257" w:lineRule="auto"/>
        <w:rPr>
          <w:sz w:val="20"/>
          <w:szCs w:val="20"/>
          <w:color w:val="auto"/>
        </w:rPr>
      </w:pPr>
      <w:r>
        <w:rPr>
          <w:rFonts w:ascii="Arial" w:cs="Arial" w:eastAsia="Arial" w:hAnsi="Arial"/>
          <w:sz w:val="13"/>
          <w:szCs w:val="13"/>
          <w:color w:val="auto"/>
        </w:rPr>
        <w:t>During 2007, we settled an IRS audit for the tax years 2004 and 2005 and various state tax audits, resulting in a reduction in income tax expense of $40 million, or $0.08 per diluted share. Our 2007 net income was also increased by $1 million due to interest income recognized from audit settlements. During 2006, we completed the IRS audit for the years 2002 and 2003. The settlement of the IRS audit, as well as other state and foreign tax audit matters, resulted in a reduction in our 2006 provision for income taxes (excluding the effects of related interest income) of $149 million, or $0.27 per diluted share. Our 2006 net income also increased by $14 million, or $9 million net of tax, principally due to interest income from audit settlements. The reduction in income taxes recognized as a result of these settlements is primarily due to the associated reduction in our long-term accrued tax liabilities. Our recorded liabilities associated with uncertain tax positions are discussed below.</w:t>
      </w:r>
    </w:p>
    <w:p>
      <w:pPr>
        <w:spacing w:after="0" w:line="72" w:lineRule="exact"/>
        <w:rPr>
          <w:sz w:val="20"/>
          <w:szCs w:val="20"/>
          <w:color w:val="auto"/>
        </w:rPr>
      </w:pPr>
    </w:p>
    <w:p>
      <w:pPr>
        <w:ind w:left="680" w:right="1060" w:firstLine="399"/>
        <w:spacing w:after="0" w:line="276" w:lineRule="auto"/>
        <w:rPr>
          <w:sz w:val="20"/>
          <w:szCs w:val="20"/>
          <w:color w:val="auto"/>
        </w:rPr>
      </w:pPr>
      <w:r>
        <w:rPr>
          <w:rFonts w:ascii="Arial" w:cs="Arial" w:eastAsia="Arial" w:hAnsi="Arial"/>
          <w:sz w:val="13"/>
          <w:szCs w:val="13"/>
          <w:color w:val="auto"/>
        </w:rPr>
        <w:t>We are currently in the examination phase of an IRS audit for the 2008 tax year, and expect this audit to be completed within the next 12 months. Audits associated with state and local jurisdictions date back to 1999 and Canadian examinations date back to 1998.</w:t>
      </w:r>
    </w:p>
    <w:p>
      <w:pPr>
        <w:spacing w:after="0" w:line="59" w:lineRule="exact"/>
        <w:rPr>
          <w:sz w:val="20"/>
          <w:szCs w:val="20"/>
          <w:color w:val="auto"/>
        </w:rPr>
      </w:pPr>
    </w:p>
    <w:p>
      <w:pPr>
        <w:ind w:left="680" w:right="1000" w:firstLine="399"/>
        <w:spacing w:after="0" w:line="264" w:lineRule="auto"/>
        <w:rPr>
          <w:sz w:val="20"/>
          <w:szCs w:val="20"/>
          <w:color w:val="auto"/>
        </w:rPr>
      </w:pPr>
      <w:r>
        <w:rPr>
          <w:rFonts w:ascii="Arial" w:cs="Arial" w:eastAsia="Arial" w:hAnsi="Arial"/>
          <w:sz w:val="13"/>
          <w:szCs w:val="13"/>
          <w:i w:val="1"/>
          <w:iCs w:val="1"/>
          <w:color w:val="auto"/>
        </w:rPr>
        <w:t xml:space="preserve">Non-conventional fuel tax credits </w:t>
      </w:r>
      <w:r>
        <w:rPr>
          <w:rFonts w:ascii="Arial" w:cs="Arial" w:eastAsia="Arial" w:hAnsi="Arial"/>
          <w:sz w:val="13"/>
          <w:szCs w:val="13"/>
          <w:color w:val="auto"/>
        </w:rPr>
        <w:t>— The favorable impact of non-conventional fuel tax credits on our 2007 and 2006 effective tax rates was derived from our investments in two</w:t>
      </w:r>
      <w:r>
        <w:rPr>
          <w:rFonts w:ascii="Arial" w:cs="Arial" w:eastAsia="Arial" w:hAnsi="Arial"/>
          <w:sz w:val="13"/>
          <w:szCs w:val="13"/>
          <w:i w:val="1"/>
          <w:iCs w:val="1"/>
          <w:color w:val="auto"/>
        </w:rPr>
        <w:t xml:space="preserve"> </w:t>
      </w:r>
      <w:r>
        <w:rPr>
          <w:rFonts w:ascii="Arial" w:cs="Arial" w:eastAsia="Arial" w:hAnsi="Arial"/>
          <w:sz w:val="13"/>
          <w:szCs w:val="13"/>
          <w:color w:val="auto"/>
        </w:rPr>
        <w:t>coal-based, synthetic fuel production facilities and our landfill gas-to-energy projects. The fuel generated from the facilities and our landfill gas-to-energy projects qualified for tax credits through 2007 under Section 45K of the Internal Revenue Code.</w:t>
      </w:r>
    </w:p>
    <w:p>
      <w:pPr>
        <w:spacing w:after="0" w:line="67" w:lineRule="exact"/>
        <w:rPr>
          <w:sz w:val="20"/>
          <w:szCs w:val="20"/>
          <w:color w:val="auto"/>
        </w:rPr>
      </w:pPr>
    </w:p>
    <w:p>
      <w:pPr>
        <w:ind w:left="680" w:right="800" w:firstLine="399"/>
        <w:spacing w:after="0" w:line="260" w:lineRule="auto"/>
        <w:rPr>
          <w:sz w:val="20"/>
          <w:szCs w:val="20"/>
          <w:color w:val="auto"/>
        </w:rPr>
      </w:pPr>
      <w:r>
        <w:rPr>
          <w:rFonts w:ascii="Arial" w:cs="Arial" w:eastAsia="Arial" w:hAnsi="Arial"/>
          <w:sz w:val="13"/>
          <w:szCs w:val="13"/>
          <w:color w:val="auto"/>
        </w:rPr>
        <w:t>The tax credits were subject to a phase-out if the price of crude oil exceeded an annual average price threshold determined by the Internal Revenue Service. As of December 31, 2007, our estimate of the 2007 phase-out rate was 69%. In April 2008, the IRS published the phase-out percentage that must be applied to Section 45K tax credits generated in 2007, which was approximately 67%. As of December 31, 2006, we had estimated that 36% of Section 45K tax credits generated during 2006 would be phased out. In April 2007, the IRS established the final phase-out of Section 45K credits generated during 2006 at approximately 33%.</w:t>
      </w:r>
    </w:p>
    <w:p>
      <w:pPr>
        <w:spacing w:after="0" w:line="70" w:lineRule="exact"/>
        <w:rPr>
          <w:sz w:val="20"/>
          <w:szCs w:val="20"/>
          <w:color w:val="auto"/>
        </w:rPr>
      </w:pPr>
    </w:p>
    <w:p>
      <w:pPr>
        <w:ind w:left="680" w:right="920" w:firstLine="399"/>
        <w:spacing w:after="0" w:line="320" w:lineRule="auto"/>
        <w:rPr>
          <w:sz w:val="20"/>
          <w:szCs w:val="20"/>
          <w:color w:val="auto"/>
        </w:rPr>
      </w:pPr>
      <w:r>
        <w:rPr>
          <w:rFonts w:ascii="Arial" w:cs="Arial" w:eastAsia="Arial" w:hAnsi="Arial"/>
          <w:sz w:val="12"/>
          <w:szCs w:val="12"/>
          <w:color w:val="auto"/>
        </w:rPr>
        <w:t>Our minority ownership interests in the facilities resulted in the recognition of our pro-rata share of the facilities’ losses, the amortization of our investments, and additional expense associated with other estimated obligations all being recorded as “Equity in net losses of unconsolidated entities” within our Consolidated Statements of Operations.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impact of our investments in the facilities on our Consolidated Statements of Operations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4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6"/>
          </w:tcPr>
          <w:p>
            <w:pPr>
              <w:jc w:val="center"/>
              <w:ind w:right="160"/>
              <w:spacing w:after="0"/>
              <w:rPr>
                <w:sz w:val="20"/>
                <w:szCs w:val="20"/>
                <w:color w:val="auto"/>
              </w:rPr>
            </w:pPr>
            <w:r>
              <w:rPr>
                <w:rFonts w:ascii="Arial" w:cs="Arial" w:eastAsia="Arial" w:hAnsi="Arial"/>
                <w:sz w:val="10"/>
                <w:szCs w:val="10"/>
                <w:b w:val="1"/>
                <w:bCs w:val="1"/>
                <w:color w:val="auto"/>
                <w:w w:val="93"/>
              </w:rPr>
              <w:t>Years Ended December 31,</w:t>
            </w:r>
          </w:p>
        </w:tc>
        <w:tc>
          <w:tcPr>
            <w:tcW w:w="2600" w:type="dxa"/>
            <w:vAlign w:val="bottom"/>
          </w:tcPr>
          <w:p>
            <w:pPr>
              <w:spacing w:after="0"/>
              <w:rPr>
                <w:sz w:val="10"/>
                <w:szCs w:val="10"/>
                <w:color w:val="auto"/>
              </w:rPr>
            </w:pPr>
          </w:p>
        </w:tc>
      </w:tr>
      <w:tr>
        <w:trPr>
          <w:trHeight w:val="98"/>
        </w:trPr>
        <w:tc>
          <w:tcPr>
            <w:tcW w:w="24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4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2008</w:t>
            </w:r>
          </w:p>
        </w:tc>
        <w:tc>
          <w:tcPr>
            <w:tcW w:w="42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42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2006</w:t>
            </w:r>
          </w:p>
        </w:tc>
        <w:tc>
          <w:tcPr>
            <w:tcW w:w="60" w:type="dxa"/>
            <w:vAlign w:val="bottom"/>
          </w:tcPr>
          <w:p>
            <w:pPr>
              <w:spacing w:after="0"/>
              <w:rPr>
                <w:sz w:val="8"/>
                <w:szCs w:val="8"/>
                <w:color w:val="auto"/>
              </w:rPr>
            </w:pPr>
          </w:p>
        </w:tc>
        <w:tc>
          <w:tcPr>
            <w:tcW w:w="2600" w:type="dxa"/>
            <w:vAlign w:val="bottom"/>
          </w:tcPr>
          <w:p>
            <w:pPr>
              <w:spacing w:after="0"/>
              <w:rPr>
                <w:sz w:val="8"/>
                <w:szCs w:val="8"/>
                <w:color w:val="auto"/>
              </w:rPr>
            </w:pPr>
          </w:p>
        </w:tc>
      </w:tr>
      <w:tr>
        <w:trPr>
          <w:trHeight w:val="29"/>
        </w:trPr>
        <w:tc>
          <w:tcPr>
            <w:tcW w:w="2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157"/>
        </w:trPr>
        <w:tc>
          <w:tcPr>
            <w:tcW w:w="24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Equity in net losses of unconsolidated entities(a)</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86"/>
              </w:rPr>
              <w:t>$ 42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6"/>
              </w:rPr>
              <w:t>$ 41</w:t>
            </w:r>
          </w:p>
        </w:tc>
        <w:tc>
          <w:tcPr>
            <w:tcW w:w="2600" w:type="dxa"/>
            <w:vAlign w:val="bottom"/>
          </w:tcPr>
          <w:p>
            <w:pPr>
              <w:spacing w:after="0"/>
              <w:rPr>
                <w:sz w:val="13"/>
                <w:szCs w:val="13"/>
                <w:color w:val="auto"/>
              </w:rPr>
            </w:pPr>
          </w:p>
        </w:tc>
      </w:tr>
      <w:tr>
        <w:trPr>
          <w:trHeight w:val="157"/>
        </w:trPr>
        <w:tc>
          <w:tcPr>
            <w:tcW w:w="24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Interest expense</w:t>
            </w: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3"/>
                <w:szCs w:val="13"/>
                <w:color w:val="auto"/>
              </w:rPr>
              <w:t>1</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4</w:t>
            </w:r>
          </w:p>
        </w:tc>
        <w:tc>
          <w:tcPr>
            <w:tcW w:w="260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57"/>
        </w:trPr>
        <w:tc>
          <w:tcPr>
            <w:tcW w:w="2480" w:type="dxa"/>
            <w:vAlign w:val="bottom"/>
          </w:tcPr>
          <w:p>
            <w:pPr>
              <w:spacing w:after="0"/>
              <w:rPr>
                <w:sz w:val="13"/>
                <w:szCs w:val="13"/>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Loss before income taxes(a)</w:t>
            </w:r>
          </w:p>
        </w:tc>
        <w:tc>
          <w:tcPr>
            <w:tcW w:w="1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45</w:t>
            </w:r>
          </w:p>
        </w:tc>
        <w:tc>
          <w:tcPr>
            <w:tcW w:w="2600" w:type="dxa"/>
            <w:vAlign w:val="bottom"/>
          </w:tcPr>
          <w:p>
            <w:pPr>
              <w:spacing w:after="0"/>
              <w:rPr>
                <w:sz w:val="13"/>
                <w:szCs w:val="13"/>
                <w:color w:val="auto"/>
              </w:rPr>
            </w:pPr>
          </w:p>
        </w:tc>
      </w:tr>
      <w:tr>
        <w:trPr>
          <w:trHeight w:val="157"/>
        </w:trPr>
        <w:tc>
          <w:tcPr>
            <w:tcW w:w="2480" w:type="dxa"/>
            <w:vAlign w:val="bottom"/>
          </w:tcPr>
          <w:p>
            <w:pPr>
              <w:spacing w:after="0"/>
              <w:rPr>
                <w:sz w:val="13"/>
                <w:szCs w:val="13"/>
                <w:color w:val="auto"/>
              </w:rPr>
            </w:pPr>
          </w:p>
        </w:tc>
        <w:tc>
          <w:tcPr>
            <w:tcW w:w="2840" w:type="dxa"/>
            <w:vAlign w:val="bottom"/>
          </w:tcPr>
          <w:p>
            <w:pPr>
              <w:spacing w:after="0"/>
              <w:rPr>
                <w:sz w:val="20"/>
                <w:szCs w:val="20"/>
                <w:color w:val="auto"/>
              </w:rPr>
            </w:pPr>
            <w:r>
              <w:rPr>
                <w:rFonts w:ascii="Arial" w:cs="Arial" w:eastAsia="Arial" w:hAnsi="Arial"/>
                <w:sz w:val="13"/>
                <w:szCs w:val="13"/>
                <w:color w:val="auto"/>
              </w:rPr>
              <w:t>Benefit from income taxes(a), (b)</w:t>
            </w: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3"/>
                <w:szCs w:val="13"/>
                <w:color w:val="auto"/>
              </w:rPr>
              <w:t>4</w:t>
            </w:r>
          </w:p>
        </w:tc>
        <w:tc>
          <w:tcPr>
            <w:tcW w:w="660" w:type="dxa"/>
            <w:vAlign w:val="bottom"/>
            <w:gridSpan w:val="2"/>
          </w:tcPr>
          <w:p>
            <w:pPr>
              <w:jc w:val="right"/>
              <w:ind w:right="420"/>
              <w:spacing w:after="0"/>
              <w:rPr>
                <w:sz w:val="20"/>
                <w:szCs w:val="20"/>
                <w:color w:val="auto"/>
              </w:rPr>
            </w:pPr>
            <w:r>
              <w:rPr>
                <w:rFonts w:ascii="Arial" w:cs="Arial" w:eastAsia="Arial" w:hAnsi="Arial"/>
                <w:sz w:val="13"/>
                <w:szCs w:val="13"/>
                <w:color w:val="auto"/>
              </w:rPr>
              <w:t>53</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64</w:t>
            </w:r>
          </w:p>
        </w:tc>
        <w:tc>
          <w:tcPr>
            <w:tcW w:w="2600" w:type="dxa"/>
            <w:vAlign w:val="bottom"/>
          </w:tcPr>
          <w:p>
            <w:pPr>
              <w:spacing w:after="0"/>
              <w:rPr>
                <w:sz w:val="13"/>
                <w:szCs w:val="13"/>
                <w:color w:val="auto"/>
              </w:rPr>
            </w:pPr>
          </w:p>
        </w:tc>
      </w:tr>
      <w:tr>
        <w:trPr>
          <w:trHeight w:val="20"/>
        </w:trPr>
        <w:tc>
          <w:tcPr>
            <w:tcW w:w="2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6"/>
        </w:trPr>
        <w:tc>
          <w:tcPr>
            <w:tcW w:w="2480" w:type="dxa"/>
            <w:vAlign w:val="bottom"/>
          </w:tcPr>
          <w:p>
            <w:pPr>
              <w:spacing w:after="0"/>
              <w:rPr>
                <w:sz w:val="14"/>
                <w:szCs w:val="14"/>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3"/>
                <w:szCs w:val="13"/>
                <w:color w:val="auto"/>
              </w:rPr>
              <w:t>Net income(a)</w:t>
            </w: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w w:val="86"/>
              </w:rPr>
              <w:t>$ 10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6"/>
              </w:rPr>
              <w:t>$ 19</w:t>
            </w:r>
          </w:p>
        </w:tc>
        <w:tc>
          <w:tcPr>
            <w:tcW w:w="2600" w:type="dxa"/>
            <w:vAlign w:val="bottom"/>
          </w:tcPr>
          <w:p>
            <w:pPr>
              <w:spacing w:after="0"/>
              <w:rPr>
                <w:sz w:val="14"/>
                <w:szCs w:val="14"/>
                <w:color w:val="auto"/>
              </w:rPr>
            </w:pPr>
          </w:p>
        </w:tc>
      </w:tr>
      <w:tr>
        <w:trPr>
          <w:trHeight w:val="461"/>
        </w:trPr>
        <w:tc>
          <w:tcPr>
            <w:tcW w:w="2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920" w:type="dxa"/>
            <w:vAlign w:val="bottom"/>
          </w:tcPr>
          <w:p>
            <w:pPr>
              <w:jc w:val="right"/>
              <w:ind w:right="1434"/>
              <w:spacing w:after="0"/>
              <w:rPr>
                <w:sz w:val="20"/>
                <w:szCs w:val="20"/>
                <w:color w:val="auto"/>
              </w:rPr>
            </w:pPr>
            <w:r>
              <w:rPr>
                <w:rFonts w:ascii="Arial" w:cs="Arial" w:eastAsia="Arial" w:hAnsi="Arial"/>
                <w:sz w:val="13"/>
                <w:szCs w:val="13"/>
                <w:color w:val="auto"/>
              </w:rPr>
              <w:t>84</w:t>
            </w: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63"/>
        </w:trPr>
        <w:tc>
          <w:tcPr>
            <w:tcW w:w="2480" w:type="dxa"/>
            <w:vAlign w:val="bottom"/>
            <w:tcBorders>
              <w:bottom w:val="single" w:sz="8" w:color="808080"/>
            </w:tcBorders>
          </w:tcPr>
          <w:p>
            <w:pPr>
              <w:spacing w:after="0"/>
              <w:rPr>
                <w:sz w:val="14"/>
                <w:szCs w:val="14"/>
                <w:color w:val="auto"/>
              </w:rPr>
            </w:pPr>
          </w:p>
        </w:tc>
        <w:tc>
          <w:tcPr>
            <w:tcW w:w="2840" w:type="dxa"/>
            <w:vAlign w:val="bottom"/>
            <w:tcBorders>
              <w:bottom w:val="single" w:sz="8" w:color="808080"/>
            </w:tcBorders>
          </w:tcPr>
          <w:p>
            <w:pPr>
              <w:spacing w:after="0"/>
              <w:rPr>
                <w:sz w:val="14"/>
                <w:szCs w:val="14"/>
                <w:color w:val="auto"/>
              </w:rPr>
            </w:pPr>
          </w:p>
        </w:tc>
        <w:tc>
          <w:tcPr>
            <w:tcW w:w="19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6" w:lineRule="exact"/>
        <w:rPr>
          <w:sz w:val="20"/>
          <w:szCs w:val="20"/>
          <w:color w:val="auto"/>
        </w:rPr>
      </w:pPr>
    </w:p>
    <w:p>
      <w:pPr>
        <w:ind w:left="1000" w:right="100" w:hanging="313"/>
        <w:spacing w:after="0" w:line="282" w:lineRule="auto"/>
        <w:tabs>
          <w:tab w:leader="none" w:pos="100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As discussed above, the comparison of the impacts of our investments in the facilities during the periods presented have been significantly affected by (i) the phase-out of 69% of Section 45K tax credits in 2007 and 36% in 2006; and (ii) the expiration of our investments and the Section 45K tax credits at the end of 2007. In addition, for the year ended December 31, 2006, our “Equity in net losses of unconsolidated entities” was reduced by a cumulative adjustment recorded during the second quarter of 2006, which was necessary to appropriately reflect our life-to-date obligations to fund the costs of operating the facilities and the value of our investment. We determined that the recognition of the cumulative adjustment was not material to our financial statements presented herein. Equity losses for our estimate of contractual obligations associated with the facilities’ operations and associated tax benefits were also relatively lower in 2006 due to the suspension of operations of the facilities from May 2006 to late September 2006.</w:t>
      </w:r>
    </w:p>
    <w:p>
      <w:pPr>
        <w:spacing w:after="0" w:line="10" w:lineRule="exact"/>
        <w:rPr>
          <w:rFonts w:ascii="Arial" w:cs="Arial" w:eastAsia="Arial" w:hAnsi="Arial"/>
          <w:sz w:val="12"/>
          <w:szCs w:val="12"/>
          <w:color w:val="auto"/>
        </w:rPr>
      </w:pPr>
    </w:p>
    <w:p>
      <w:pPr>
        <w:ind w:left="1000" w:right="360" w:hanging="313"/>
        <w:spacing w:after="0" w:line="276" w:lineRule="auto"/>
        <w:tabs>
          <w:tab w:leader="none" w:pos="10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benefit from income taxes attributable to the facilities includes tax credits of $3 million, $37 million and $47 million for the years ended December 31, 2008, 2007 and 2006, respectively.</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In 2006 and 2007, we also generated Section 45K tax credits through our Renewable Energy Program, under which we develop, operate and promote the beneficial use of landfill gas. Our recorded taxes include benefits of $13 million and $24 million for the years ended December 31, 2007 and 2006, respectively, from tax credits generated by our landfill gas-to-energy projects.</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Effective state tax rate change </w:t>
      </w:r>
      <w:r>
        <w:rPr>
          <w:rFonts w:ascii="Arial" w:cs="Arial" w:eastAsia="Arial" w:hAnsi="Arial"/>
          <w:sz w:val="13"/>
          <w:szCs w:val="13"/>
          <w:color w:val="auto"/>
        </w:rPr>
        <w:t>— During 2008, our current state tax rate increased from 5.5% to 6.0% primarily due to changes in state law. The increase in our effective tax rate</w:t>
      </w:r>
      <w:r>
        <w:rPr>
          <w:rFonts w:ascii="Arial" w:cs="Arial" w:eastAsia="Arial" w:hAnsi="Arial"/>
          <w:sz w:val="13"/>
          <w:szCs w:val="13"/>
          <w:i w:val="1"/>
          <w:iCs w:val="1"/>
          <w:color w:val="auto"/>
        </w:rPr>
        <w:t xml:space="preserve"> </w:t>
      </w:r>
      <w:r>
        <w:rPr>
          <w:rFonts w:ascii="Arial" w:cs="Arial" w:eastAsia="Arial" w:hAnsi="Arial"/>
          <w:sz w:val="13"/>
          <w:szCs w:val="13"/>
          <w:color w:val="auto"/>
        </w:rPr>
        <w:t>attributable to state income taxes when comparing 2008 with 2007 and 2006 was primarily a result of this rate increase. The comparison of our effective state tax rate during the reported periods has also been affected by return-to-accrual adjustments, which reduced our “Provision for income taxes” in both 2007 and 2006. Our estimated effective state tax rate declined during 2006, resulting in a net benefit of $9 million related to the revaluation of net accumulated deferred tax liabilities. Our state estimated effective tax rate did not change in 2007; therefore no revaluation of net accumulated deferred tax liabilities was necessary.</w:t>
      </w:r>
    </w:p>
    <w:p>
      <w:pPr>
        <w:spacing w:after="0" w:line="71"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i w:val="1"/>
          <w:iCs w:val="1"/>
          <w:color w:val="auto"/>
        </w:rPr>
        <w:t xml:space="preserve">Canada statutory tax rate change </w:t>
      </w:r>
      <w:r>
        <w:rPr>
          <w:rFonts w:ascii="Arial" w:cs="Arial" w:eastAsia="Arial" w:hAnsi="Arial"/>
          <w:sz w:val="12"/>
          <w:szCs w:val="12"/>
          <w:color w:val="auto"/>
        </w:rPr>
        <w:t>— During 2007, the Canadian federal government enacted tax rate reductions, which resulted in a $30 million tax benefit for the revaluation of our</w:t>
      </w:r>
      <w:r>
        <w:rPr>
          <w:rFonts w:ascii="Arial" w:cs="Arial" w:eastAsia="Arial" w:hAnsi="Arial"/>
          <w:sz w:val="12"/>
          <w:szCs w:val="12"/>
          <w:i w:val="1"/>
          <w:iCs w:val="1"/>
          <w:color w:val="auto"/>
        </w:rPr>
        <w:t xml:space="preserve"> </w:t>
      </w:r>
      <w:r>
        <w:rPr>
          <w:rFonts w:ascii="Arial" w:cs="Arial" w:eastAsia="Arial" w:hAnsi="Arial"/>
          <w:sz w:val="12"/>
          <w:szCs w:val="12"/>
          <w:color w:val="auto"/>
        </w:rPr>
        <w:t>deferred tax balances. During 2006, both the Canadian federal government and several provinces enacted tax rate reductions. The revaluation of our deferred tax balances for these rate changes resulted in a $20 million tax benefit for the year ended December 31, 2006. We did not have any comparable adjustments during the year ended December 31, 2008.</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Repatriation of earnings in foreign subsidiaries </w:t>
      </w:r>
      <w:r>
        <w:rPr>
          <w:rFonts w:ascii="Arial" w:cs="Arial" w:eastAsia="Arial" w:hAnsi="Arial"/>
          <w:sz w:val="12"/>
          <w:szCs w:val="12"/>
          <w:color w:val="auto"/>
        </w:rPr>
        <w:t>— During 2006, we repatriated $12 million of our accumulated foreign earnings, resulting in an increase in tax expense of $3 million.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 foreign earnings were repatriated during 2007 or 2008.</w:t>
      </w:r>
    </w:p>
    <w:p>
      <w:pPr>
        <w:spacing w:after="0" w:line="8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At December 31, 2008, remaining unremitted earnings in foreign operations were approximately $500 million, which are considered permanently invested and, therefore, no provision for U.S. income taxes has been accrued for these unremitted earnings.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Deferred tax assets (liabilities)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the net deferred tax assets (liabilities) at December 31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Net operating loss, capital loss and tax credit carryforwards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Landfill and environmental remediation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Miscellaneous and other reserves</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249</w:t>
            </w: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Subtotal</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Valuation allowance</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(135)</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300" w:type="dxa"/>
            <w:vAlign w:val="bottom"/>
          </w:tcPr>
          <w:p>
            <w:pPr>
              <w:ind w:left="140"/>
              <w:spacing w:after="0"/>
              <w:rPr>
                <w:sz w:val="20"/>
                <w:szCs w:val="20"/>
                <w:color w:val="auto"/>
              </w:rPr>
            </w:pPr>
            <w:r>
              <w:rPr>
                <w:rFonts w:ascii="Arial" w:cs="Arial" w:eastAsia="Arial" w:hAnsi="Arial"/>
                <w:sz w:val="13"/>
                <w:szCs w:val="13"/>
                <w:color w:val="auto"/>
              </w:rPr>
              <w:t>Property and equipment</w:t>
            </w:r>
          </w:p>
        </w:tc>
        <w:tc>
          <w:tcPr>
            <w:tcW w:w="14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(1,012)</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(957)</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Goodwill and other intangibles</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(736)</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(689)</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280"/>
              <w:spacing w:after="0"/>
              <w:rPr>
                <w:sz w:val="20"/>
                <w:szCs w:val="20"/>
                <w:color w:val="auto"/>
              </w:rPr>
            </w:pPr>
            <w:r>
              <w:rPr>
                <w:rFonts w:ascii="Arial" w:cs="Arial" w:eastAsia="Arial" w:hAnsi="Arial"/>
                <w:sz w:val="13"/>
                <w:szCs w:val="13"/>
                <w:color w:val="auto"/>
              </w:rPr>
              <w:t>Net deferred tax liabilities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(1,445)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(1,360)</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At December 31, 2008, we had $29 million of federal net operating loss, or NOL, carryforwards, $1.1 billion of state NOL carryforwards, and $15 million of Canadian NOL carryforwards. The federal and state NOL carryforwards have expiration dates through the year 2028. The Canadian NOL carryforwards have the following expiry: $13 million in 2009 and $2 million in 2016. In addition, we have $40 million of state tax credit carryforwards at December 31, 2008.</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have established valuation allowances for uncertainties in realizing the benefit of tax loss and credit carryforwards and other deferred tax assets. While we expect to realize the deferred tax assets, net of the valuation allowances, changes in estimates of future taxable income or in tax laws may alter this expectation. The valuation allowance decreased $33 million in 2008. We realized a $3 million state tax benefit due to a reduction in the valuation allowance related to the expected utilization of state NOL and credit carryforwards. The remaining reduction in our valuation allowance was offset by changes in our gross deferred tax assets due to changes in state NOL and credit carryforwards.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Liabilities for uncertain tax positions</w:t>
      </w:r>
    </w:p>
    <w:p>
      <w:pPr>
        <w:spacing w:after="0" w:line="96"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As discussed in Note 2, we adopted FIN 48 and FSP No. 48-1 effective January 1, 2007. As a result of both of these adoptions, we recognized, as a cumulative effect of change in accounting principle, a $28 million increase in our liabilities for unrecognized tax benefits, a $32 million increase in our non-current deferred tax assets and a $4 million increase in our beginning retained earnings.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Upon adoption of FIN 48 and FSP No. 48-1, our income tax liabilities as of January 1, 2007 included a total of $101 million for unrecognized tax benefits and $16 million of related accrued interest. A reconciliation of the beginning and ending amount of unrecognized tax benefits, including accrued interest for 2008 and 2007 is as follows (in millions):</w:t>
      </w:r>
    </w:p>
    <w:p>
      <w:pPr>
        <w:spacing w:after="0" w:line="37" w:lineRule="exact"/>
        <w:rPr>
          <w:sz w:val="20"/>
          <w:szCs w:val="20"/>
          <w:color w:val="auto"/>
        </w:rPr>
      </w:pPr>
    </w:p>
    <w:tbl>
      <w:tblPr>
        <w:tblLayout w:type="fixed"/>
        <w:tblInd w:w="2480" w:type="dxa"/>
        <w:tblCellMar>
          <w:top w:w="0" w:type="dxa"/>
          <w:left w:w="0" w:type="dxa"/>
          <w:bottom w:w="0" w:type="dxa"/>
          <w:right w:w="0" w:type="dxa"/>
        </w:tblCellMar>
      </w:tblPr>
      <w:tr>
        <w:trPr>
          <w:trHeight w:val="125"/>
        </w:trPr>
        <w:tc>
          <w:tcPr>
            <w:tcW w:w="5540" w:type="dxa"/>
            <w:vAlign w:val="bottom"/>
          </w:tcPr>
          <w:p>
            <w:pPr>
              <w:spacing w:after="0"/>
              <w:rPr>
                <w:sz w:val="10"/>
                <w:szCs w:val="10"/>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8"/>
              </w:rPr>
              <w:t>2008</w:t>
            </w:r>
          </w:p>
        </w:tc>
        <w:tc>
          <w:tcPr>
            <w:tcW w:w="240" w:type="dxa"/>
            <w:vAlign w:val="bottom"/>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54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2"/>
              </w:rPr>
              <w:t>102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$117</w:t>
            </w:r>
          </w:p>
        </w:tc>
        <w:tc>
          <w:tcPr>
            <w:tcW w:w="0" w:type="dxa"/>
            <w:vAlign w:val="bottom"/>
          </w:tcPr>
          <w:p>
            <w:pPr>
              <w:spacing w:after="0"/>
              <w:rPr>
                <w:sz w:val="1"/>
                <w:szCs w:val="1"/>
                <w:color w:val="auto"/>
              </w:rPr>
            </w:pPr>
          </w:p>
        </w:tc>
      </w:tr>
      <w:tr>
        <w:trPr>
          <w:trHeight w:val="157"/>
        </w:trPr>
        <w:tc>
          <w:tcPr>
            <w:tcW w:w="5540" w:type="dxa"/>
            <w:vAlign w:val="bottom"/>
          </w:tcPr>
          <w:p>
            <w:pPr>
              <w:ind w:left="140"/>
              <w:spacing w:after="0"/>
              <w:rPr>
                <w:sz w:val="20"/>
                <w:szCs w:val="20"/>
                <w:color w:val="auto"/>
              </w:rPr>
            </w:pPr>
            <w:r>
              <w:rPr>
                <w:rFonts w:ascii="Arial" w:cs="Arial" w:eastAsia="Arial" w:hAnsi="Arial"/>
                <w:sz w:val="13"/>
                <w:szCs w:val="13"/>
                <w:color w:val="auto"/>
              </w:rPr>
              <w:t>Additions based on tax positions related to the current year</w:t>
            </w:r>
          </w:p>
        </w:tc>
        <w:tc>
          <w:tcPr>
            <w:tcW w:w="80" w:type="dxa"/>
            <w:vAlign w:val="bottom"/>
          </w:tcPr>
          <w:p>
            <w:pPr>
              <w:spacing w:after="0"/>
              <w:rPr>
                <w:sz w:val="13"/>
                <w:szCs w:val="1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9</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5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Additions related to tax positions of prior years</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5540" w:type="dxa"/>
            <w:vAlign w:val="bottom"/>
          </w:tcPr>
          <w:p>
            <w:pPr>
              <w:ind w:left="140"/>
              <w:spacing w:after="0"/>
              <w:rPr>
                <w:sz w:val="20"/>
                <w:szCs w:val="20"/>
                <w:color w:val="auto"/>
              </w:rPr>
            </w:pPr>
            <w:r>
              <w:rPr>
                <w:rFonts w:ascii="Arial" w:cs="Arial" w:eastAsia="Arial" w:hAnsi="Arial"/>
                <w:sz w:val="13"/>
                <w:szCs w:val="13"/>
                <w:color w:val="auto"/>
              </w:rPr>
              <w:t>Accrued interest</w:t>
            </w:r>
          </w:p>
        </w:tc>
        <w:tc>
          <w:tcPr>
            <w:tcW w:w="80" w:type="dxa"/>
            <w:vAlign w:val="bottom"/>
          </w:tcPr>
          <w:p>
            <w:pPr>
              <w:spacing w:after="0"/>
              <w:rPr>
                <w:sz w:val="13"/>
                <w:szCs w:val="1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3"/>
                <w:szCs w:val="13"/>
                <w:color w:val="auto"/>
              </w:rPr>
              <w:t>4</w:t>
            </w: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5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Reductions for tax positions of prior years</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5540" w:type="dxa"/>
            <w:vAlign w:val="bottom"/>
          </w:tcPr>
          <w:p>
            <w:pPr>
              <w:ind w:left="140"/>
              <w:spacing w:after="0"/>
              <w:rPr>
                <w:sz w:val="20"/>
                <w:szCs w:val="20"/>
                <w:color w:val="auto"/>
              </w:rPr>
            </w:pPr>
            <w:r>
              <w:rPr>
                <w:rFonts w:ascii="Arial" w:cs="Arial" w:eastAsia="Arial" w:hAnsi="Arial"/>
                <w:sz w:val="13"/>
                <w:szCs w:val="13"/>
                <w:color w:val="auto"/>
              </w:rPr>
              <w:t>Settlements</w:t>
            </w:r>
          </w:p>
        </w:tc>
        <w:tc>
          <w:tcPr>
            <w:tcW w:w="80" w:type="dxa"/>
            <w:vAlign w:val="bottom"/>
          </w:tcPr>
          <w:p>
            <w:pPr>
              <w:spacing w:after="0"/>
              <w:rPr>
                <w:sz w:val="13"/>
                <w:szCs w:val="13"/>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w w:val="94"/>
              </w:rPr>
              <w:t>(36)</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55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Lapse of statute of limitations</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3"/>
                <w:szCs w:val="13"/>
                <w:color w:val="auto"/>
              </w:rPr>
              <w:t>Balance at December 31</w:t>
            </w: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4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84</w:t>
            </w:r>
          </w:p>
        </w:tc>
        <w:tc>
          <w:tcPr>
            <w:tcW w:w="24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u w:val="single" w:color="auto"/>
                <w:color w:val="auto"/>
                <w:w w:val="82"/>
              </w:rPr>
              <w:t>$</w:t>
            </w:r>
            <w:r>
              <w:rPr>
                <w:rFonts w:ascii="Arial" w:cs="Arial" w:eastAsia="Arial" w:hAnsi="Arial"/>
                <w:sz w:val="13"/>
                <w:szCs w:val="13"/>
                <w:color w:val="auto"/>
                <w:w w:val="82"/>
              </w:rPr>
              <w:t>102</w:t>
            </w:r>
          </w:p>
        </w:tc>
        <w:tc>
          <w:tcPr>
            <w:tcW w:w="0" w:type="dxa"/>
            <w:vAlign w:val="bottom"/>
          </w:tcPr>
          <w:p>
            <w:pPr>
              <w:spacing w:after="0"/>
              <w:rPr>
                <w:sz w:val="1"/>
                <w:szCs w:val="1"/>
                <w:color w:val="auto"/>
              </w:rPr>
            </w:pPr>
          </w:p>
        </w:tc>
      </w:tr>
      <w:tr>
        <w:trPr>
          <w:trHeight w:val="30"/>
        </w:trPr>
        <w:tc>
          <w:tcPr>
            <w:tcW w:w="5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These liabilities are primarily included as a component of long-term “Other liabilities” in our Consolidated Balance Sheet because the Company generally does not anticipate that settlement of the liabilities will require payment of cash within the next twelve months. As of December 31, 2008, $58 million of unrecognized tax benefits, if recognized in future periods, would impact our effective tax rate.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recognize interest expense related to unrecognized tax benefits in tax expense. During the years ended December 31, 2008, 2007 and 2006 we recognized approximately</w:t>
      </w:r>
    </w:p>
    <w:p>
      <w:pPr>
        <w:spacing w:after="0" w:line="27"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$4 million, $7 million and $7 million, respectively, of such interest expense as a component of our “Provision for income taxes.” We had approximately $9 million and $13 million of accrued interest in our Consolidated Balance Sheet as of December 31, 2008 and 2007, respectively. We do not have any accrued liabilities or expense for penalties related to unrecognized tax benefits for the years ended December 31, 2008, 2007 and 2006.</w:t>
      </w:r>
    </w:p>
    <w:p>
      <w:pPr>
        <w:spacing w:after="0" w:line="71"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We anticipate that approximately $20 million of liabilities for unrecognized tax benefits, including accrued interest, and $4 million of related deferred tax assets may be reversed within the next 12 months. The anticipated reversals are related to various federal and state tax items, none of which are material, and are expected to result from audit settlements or the expiration of the applicable statute of limitations period.</w:t>
      </w:r>
    </w:p>
    <w:p>
      <w:pPr>
        <w:spacing w:after="0" w:line="142" w:lineRule="exact"/>
        <w:rPr>
          <w:sz w:val="20"/>
          <w:szCs w:val="20"/>
          <w:color w:val="auto"/>
        </w:rPr>
      </w:pPr>
    </w:p>
    <w:p>
      <w:pPr>
        <w:ind w:left="1000" w:hanging="313"/>
        <w:spacing w:after="0"/>
        <w:tabs>
          <w:tab w:leader="none" w:pos="100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Employee Benefit Plans</w:t>
      </w:r>
    </w:p>
    <w:p>
      <w:pPr>
        <w:spacing w:after="0" w:line="100"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i w:val="1"/>
          <w:iCs w:val="1"/>
          <w:color w:val="auto"/>
        </w:rPr>
        <w:t xml:space="preserve">Defined contribution plans — </w:t>
      </w:r>
      <w:r>
        <w:rPr>
          <w:rFonts w:ascii="Arial" w:cs="Arial" w:eastAsia="Arial" w:hAnsi="Arial"/>
          <w:sz w:val="13"/>
          <w:szCs w:val="13"/>
          <w:color w:val="auto"/>
        </w:rPr>
        <w:t>Our Waste Management Retirement Savings Plan covers employees (except those working subject to collective bargaining agreements, which do not</w:t>
      </w:r>
      <w:r>
        <w:rPr>
          <w:rFonts w:ascii="Arial" w:cs="Arial" w:eastAsia="Arial" w:hAnsi="Arial"/>
          <w:sz w:val="13"/>
          <w:szCs w:val="13"/>
          <w:i w:val="1"/>
          <w:iCs w:val="1"/>
          <w:color w:val="auto"/>
        </w:rPr>
        <w:t xml:space="preserve"> </w:t>
      </w:r>
      <w:r>
        <w:rPr>
          <w:rFonts w:ascii="Arial" w:cs="Arial" w:eastAsia="Arial" w:hAnsi="Arial"/>
          <w:sz w:val="13"/>
          <w:szCs w:val="13"/>
          <w:color w:val="auto"/>
        </w:rPr>
        <w:t>provide for coverage under such plans) following a 90-day waiting period after hire. Eligible employees may contribute as much as 25% of their annual compensation under the Savings Plan, subject to annual contribution limitations established by the IRS. Under the Savings Plan, we match, in cash, 100% of employee contributions on the first 3% of their eligible compensation and match 50% of employee contributions on the next 3% of their eligible compensation, resulting in a maximum match of 4.5%. Both employee and Company contributions vest immediately. Charges to “Operating” and “Selling, general and administrative” expenses for our defined contribution plans were $59 million in 2008, $54 million in 2007 and $51 million in 2006.</w:t>
      </w:r>
    </w:p>
    <w:p>
      <w:pPr>
        <w:spacing w:after="0" w:line="72"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i w:val="1"/>
          <w:iCs w:val="1"/>
          <w:color w:val="auto"/>
        </w:rPr>
        <w:t xml:space="preserve">Defined benefit plans — </w:t>
      </w:r>
      <w:r>
        <w:rPr>
          <w:rFonts w:ascii="Arial" w:cs="Arial" w:eastAsia="Arial" w:hAnsi="Arial"/>
          <w:sz w:val="13"/>
          <w:szCs w:val="13"/>
          <w:color w:val="auto"/>
        </w:rPr>
        <w:t>Certain of the Company’s subsidiaries sponsor pension plans that cover employees not covered by the Savings Plan. These employees are members of</w:t>
      </w:r>
      <w:r>
        <w:rPr>
          <w:rFonts w:ascii="Arial" w:cs="Arial" w:eastAsia="Arial" w:hAnsi="Arial"/>
          <w:sz w:val="13"/>
          <w:szCs w:val="13"/>
          <w:i w:val="1"/>
          <w:iCs w:val="1"/>
          <w:color w:val="auto"/>
        </w:rPr>
        <w:t xml:space="preserve"> </w:t>
      </w:r>
      <w:r>
        <w:rPr>
          <w:rFonts w:ascii="Arial" w:cs="Arial" w:eastAsia="Arial" w:hAnsi="Arial"/>
          <w:sz w:val="13"/>
          <w:szCs w:val="13"/>
          <w:color w:val="auto"/>
        </w:rPr>
        <w:t>collective bargaining units. In addition, Wheelabrator Technologies Inc., a wholly-owned subsidiary, sponsors a pension plan for its former executives and former Board members. As of December 31, 2008, the combined benefit obligation of these pension plans was $66 million, and the plans had $41 million of plan assets, resulting in an unfunded benefit obligation for these plans of $25 million.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addition, Waste Management Holdings, Inc. and certain of its subsidiaries provided post-retirement health care and other benefits to eligible employees. In conjunction with our acquisition of WM Holdings in July 1998, we limited participation in these plans to participating retired employees as of December 31, 1998. The unfunded benefit obligation for these plans was $52 million at December 31, 2008.</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accrued benefit liabilities for our defined benefit pension and other post-retirement plans are $77 million as of December 31, 2008 and are included as a component of “Accrued liabilities” in our Consolidated Balance Sheet.</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are a participating employer in a number of trustee-managed multi-employer, defined benefit pension plans for employees who participate in collective bargaining agreements. Contributions of $35 million in 2008, $33 million in 2007 and $37 million in 2006 were charged to operations for our subsidiaries’ ongoing participation in these defined benefit plans. Our portion of the projected benefit obligation, plan assets and unfunded liability of the multi-employer pension plans are not material to our financial position. Specific benefit levels provided by union pension plans are not negotiated with or known by the employer contributors.</w:t>
      </w:r>
    </w:p>
    <w:p>
      <w:pPr>
        <w:spacing w:after="0" w:line="70" w:lineRule="exact"/>
        <w:rPr>
          <w:sz w:val="20"/>
          <w:szCs w:val="20"/>
          <w:color w:val="auto"/>
        </w:rPr>
      </w:pPr>
    </w:p>
    <w:p>
      <w:pPr>
        <w:jc w:val="both"/>
        <w:ind w:left="680" w:right="60" w:firstLine="399"/>
        <w:spacing w:after="0" w:line="334" w:lineRule="auto"/>
        <w:rPr>
          <w:sz w:val="20"/>
          <w:szCs w:val="20"/>
          <w:color w:val="auto"/>
        </w:rPr>
      </w:pPr>
      <w:r>
        <w:rPr>
          <w:rFonts w:ascii="Arial" w:cs="Arial" w:eastAsia="Arial" w:hAnsi="Arial"/>
          <w:sz w:val="11"/>
          <w:szCs w:val="11"/>
          <w:color w:val="auto"/>
        </w:rPr>
        <w:t>Based on our negotiations with collective bargaining units and our review of the plans in which they participate, we may negotiate for the complete or partial withdrawal from one or more of these pension plans. If we elect to withdraw from these plans, we may incur expenses associated with our obligations for unfunded vested benefits at the time of the withdrawal. As discussed in Note 10, in 2008, we recognized an aggregate charge of $39 million to “Operating” expenses for the withdrawal of certain bargaining units from multi-employer pension plans.</w:t>
      </w:r>
    </w:p>
    <w:p>
      <w:pPr>
        <w:spacing w:after="0" w:line="107" w:lineRule="exact"/>
        <w:rPr>
          <w:sz w:val="20"/>
          <w:szCs w:val="20"/>
          <w:color w:val="auto"/>
        </w:rPr>
      </w:pPr>
    </w:p>
    <w:p>
      <w:pPr>
        <w:ind w:left="1180" w:hanging="493"/>
        <w:spacing w:after="0"/>
        <w:tabs>
          <w:tab w:leader="none" w:pos="1180" w:val="left"/>
        </w:tabs>
        <w:numPr>
          <w:ilvl w:val="0"/>
          <w:numId w:val="79"/>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Financial instruments </w:t>
      </w:r>
      <w:r>
        <w:rPr>
          <w:rFonts w:ascii="Arial" w:cs="Arial" w:eastAsia="Arial" w:hAnsi="Arial"/>
          <w:sz w:val="13"/>
          <w:szCs w:val="13"/>
          <w:color w:val="auto"/>
        </w:rPr>
        <w:t>— We have obtained letters of credit, performance bonds and insurance policies and have established trust funds and issued financial guarantees to support tax-exempt bonds, contracts, performance of landfill closure and post-closure requirements, environmental remediation, and other obligations.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Historically, our revolving credit facilities have been used to obtain letters of credit to support our bonding and financial assurance needs. We also have two letter of credit and term loan agreements that were established to provide us with additional sources of capacity from which we may obtain letters of credit. These facilities are discussed further in Note 7. We obtain surety bonds and insurance policies from an entity in which we have a non-controlling financial interest. We also 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7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70"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40"/>
        <w:spacing w:after="0" w:line="257" w:lineRule="auto"/>
        <w:rPr>
          <w:sz w:val="20"/>
          <w:szCs w:val="20"/>
          <w:color w:val="auto"/>
        </w:rPr>
      </w:pPr>
      <w:r>
        <w:rPr>
          <w:rFonts w:ascii="Arial" w:cs="Arial" w:eastAsia="Arial" w:hAnsi="Arial"/>
          <w:sz w:val="13"/>
          <w:szCs w:val="13"/>
          <w:color w:val="auto"/>
        </w:rPr>
        <w:t>estimated accruals for these liabilities could be affected if future occurrences or loss development significantly differ from the assumptions used. As of December 31, 2008, our general liability insurance program carried self-insurance exposures of up to $2.5 million per incident and our workers’ compensation insurance program carried self-insurance exposures of up to $5 million per incident. As of December 31, 2008, our auto liability insurance program included a per-incident base deductible of $1 million, subject to additional aggregate deductibles in the $1 million to $5 million layer and the $5 million to $10 million layer of $2.4 million and $2.5 million, respectively. Self-insurance claims reserves acquired as part of our acquisition of WM Holdings in July 1998 were discounted at 2.25% at December 31, 2008 and 4.0% at December 31, 2007. The changes to our net insurance liabilities for the years ended December 31, 2007 and 2008 are summarized below (in millions):</w:t>
      </w:r>
    </w:p>
    <w:p>
      <w:pPr>
        <w:spacing w:after="0" w:line="6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Gross Claims</w:t>
            </w:r>
          </w:p>
        </w:tc>
        <w:tc>
          <w:tcPr>
            <w:tcW w:w="200" w:type="dxa"/>
            <w:vAlign w:val="bottom"/>
          </w:tcPr>
          <w:p>
            <w:pPr>
              <w:spacing w:after="0"/>
              <w:rPr>
                <w:sz w:val="10"/>
                <w:szCs w:val="10"/>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Estimated Insurance</w:t>
            </w:r>
          </w:p>
        </w:tc>
        <w:tc>
          <w:tcPr>
            <w:tcW w:w="120" w:type="dxa"/>
            <w:vAlign w:val="bottom"/>
          </w:tcPr>
          <w:p>
            <w:pPr>
              <w:spacing w:after="0"/>
              <w:rPr>
                <w:sz w:val="10"/>
                <w:szCs w:val="1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Net Claims</w:t>
            </w:r>
          </w:p>
        </w:tc>
        <w:tc>
          <w:tcPr>
            <w:tcW w:w="0" w:type="dxa"/>
            <w:vAlign w:val="bottom"/>
          </w:tcPr>
          <w:p>
            <w:pPr>
              <w:spacing w:after="0"/>
              <w:rPr>
                <w:sz w:val="1"/>
                <w:szCs w:val="1"/>
                <w:color w:val="auto"/>
              </w:rPr>
            </w:pPr>
          </w:p>
        </w:tc>
      </w:tr>
      <w:tr>
        <w:trPr>
          <w:trHeight w:val="125"/>
        </w:trPr>
        <w:tc>
          <w:tcPr>
            <w:tcW w:w="5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Liability</w:t>
            </w:r>
          </w:p>
        </w:tc>
        <w:tc>
          <w:tcPr>
            <w:tcW w:w="200" w:type="dxa"/>
            <w:vAlign w:val="bottom"/>
          </w:tcPr>
          <w:p>
            <w:pPr>
              <w:spacing w:after="0"/>
              <w:rPr>
                <w:sz w:val="10"/>
                <w:szCs w:val="10"/>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rPr>
              <w:t>Recoveries(a)</w:t>
            </w:r>
          </w:p>
        </w:tc>
        <w:tc>
          <w:tcPr>
            <w:tcW w:w="120" w:type="dxa"/>
            <w:vAlign w:val="bottom"/>
          </w:tcPr>
          <w:p>
            <w:pPr>
              <w:spacing w:after="0"/>
              <w:rPr>
                <w:sz w:val="10"/>
                <w:szCs w:val="1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Liability</w:t>
            </w:r>
          </w:p>
        </w:tc>
        <w:tc>
          <w:tcPr>
            <w:tcW w:w="0" w:type="dxa"/>
            <w:vAlign w:val="bottom"/>
          </w:tcPr>
          <w:p>
            <w:pPr>
              <w:spacing w:after="0"/>
              <w:rPr>
                <w:sz w:val="1"/>
                <w:szCs w:val="1"/>
                <w:color w:val="auto"/>
              </w:rPr>
            </w:pPr>
          </w:p>
        </w:tc>
      </w:tr>
      <w:tr>
        <w:trPr>
          <w:trHeight w:val="29"/>
        </w:trPr>
        <w:tc>
          <w:tcPr>
            <w:tcW w:w="57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660</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(311)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233</w:t>
            </w:r>
          </w:p>
        </w:tc>
        <w:tc>
          <w:tcPr>
            <w:tcW w:w="20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(241)</w:t>
            </w: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Balance, December 31, 2006</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(267)</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58"/>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144</w:t>
            </w: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(225)</w:t>
            </w:r>
          </w:p>
        </w:tc>
        <w:tc>
          <w:tcPr>
            <w:tcW w:w="200" w:type="dxa"/>
            <w:vAlign w:val="bottom"/>
          </w:tcPr>
          <w:p>
            <w:pPr>
              <w:spacing w:after="0"/>
              <w:rPr>
                <w:sz w:val="13"/>
                <w:szCs w:val="13"/>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2007</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57"/>
        </w:trPr>
        <w:tc>
          <w:tcPr>
            <w:tcW w:w="5700" w:type="dxa"/>
            <w:vAlign w:val="bottom"/>
          </w:tcPr>
          <w:p>
            <w:pPr>
              <w:ind w:left="140"/>
              <w:spacing w:after="0"/>
              <w:rPr>
                <w:sz w:val="20"/>
                <w:szCs w:val="20"/>
                <w:color w:val="auto"/>
              </w:rPr>
            </w:pPr>
            <w:r>
              <w:rPr>
                <w:rFonts w:ascii="Arial" w:cs="Arial" w:eastAsia="Arial" w:hAnsi="Arial"/>
                <w:sz w:val="13"/>
                <w:szCs w:val="13"/>
                <w:color w:val="auto"/>
              </w:rPr>
              <w:t>Self-insurance expense (benefit)</w:t>
            </w: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169</w:t>
            </w:r>
          </w:p>
        </w:tc>
        <w:tc>
          <w:tcPr>
            <w:tcW w:w="200" w:type="dxa"/>
            <w:vAlign w:val="bottom"/>
          </w:tcPr>
          <w:p>
            <w:pPr>
              <w:spacing w:after="0"/>
              <w:rPr>
                <w:sz w:val="13"/>
                <w:szCs w:val="13"/>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57"/>
        </w:trPr>
        <w:tc>
          <w:tcPr>
            <w:tcW w:w="5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(paid) received</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(209)</w:t>
            </w:r>
          </w:p>
        </w:tc>
        <w:tc>
          <w:tcPr>
            <w:tcW w:w="2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3"/>
                <w:szCs w:val="13"/>
                <w:color w:val="auto"/>
              </w:rPr>
              <w:t>Balance, December 31, 2008</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531</w:t>
            </w:r>
          </w:p>
        </w:tc>
        <w:tc>
          <w:tcPr>
            <w:tcW w:w="38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(191)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7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at December 31, 2008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5"/>
        </w:trPr>
        <w:tc>
          <w:tcPr>
            <w:tcW w:w="5700" w:type="dxa"/>
            <w:vAlign w:val="bottom"/>
          </w:tcPr>
          <w:p>
            <w:pPr>
              <w:spacing w:after="0"/>
              <w:rPr>
                <w:sz w:val="20"/>
                <w:szCs w:val="20"/>
                <w:color w:val="auto"/>
              </w:rPr>
            </w:pPr>
            <w:r>
              <w:rPr>
                <w:rFonts w:ascii="Arial" w:cs="Arial" w:eastAsia="Arial" w:hAnsi="Arial"/>
                <w:sz w:val="13"/>
                <w:szCs w:val="13"/>
                <w:color w:val="auto"/>
              </w:rPr>
              <w:t>Long-term portion at December 31, 2008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389</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780" w:type="dxa"/>
            <w:vAlign w:val="bottom"/>
            <w:gridSpan w:val="2"/>
          </w:tcPr>
          <w:p>
            <w:pPr>
              <w:jc w:val="right"/>
              <w:ind w:right="340"/>
              <w:spacing w:after="0"/>
              <w:rPr>
                <w:sz w:val="20"/>
                <w:szCs w:val="20"/>
                <w:color w:val="auto"/>
              </w:rPr>
            </w:pPr>
            <w:r>
              <w:rPr>
                <w:rFonts w:ascii="Arial" w:cs="Arial" w:eastAsia="Arial" w:hAnsi="Arial"/>
                <w:sz w:val="13"/>
                <w:szCs w:val="13"/>
                <w:color w:val="auto"/>
              </w:rPr>
              <w:t>(128)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313"/>
        <w:spacing w:after="0"/>
        <w:tabs>
          <w:tab w:leader="none" w:pos="10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Amounts reported as estimated insurance recoveries are related to both paid and unpaid claims liabilities.</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probable recoveries from the liquidation, currently estimated to be $15 million, it is unlikely that events relating to Reliance will have a material adverse impact on our financial statements.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do not expect the impact of any known casualty, property, environmental or other contingency to have a material impact on our financial condition, results of operations or cash</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flows.</w:t>
      </w:r>
    </w:p>
    <w:p>
      <w:pPr>
        <w:spacing w:after="0" w:line="8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Operating leases </w:t>
      </w:r>
      <w:r>
        <w:rPr>
          <w:rFonts w:ascii="Arial" w:cs="Arial" w:eastAsia="Arial" w:hAnsi="Arial"/>
          <w:sz w:val="13"/>
          <w:szCs w:val="13"/>
          <w:color w:val="auto"/>
        </w:rPr>
        <w:t>— Rental expense for leased properties was $114 million, $135 million and $122 million during 2008, 2007 and 2006, respectively. These amounts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include rents under operating leases. Minimum contractual payments due for our operating lease obligations are $81 million in 2009, $71 million in 2010, $58 million in 2011, $57 million in 2012 and $46 million in 2013.</w:t>
      </w:r>
    </w:p>
    <w:p>
      <w:pPr>
        <w:spacing w:after="0" w:line="67"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Our minimum contractual payments for lease agreements during future periods is significantly less than current year rent expense because our significant lease agreements at landfills have variable terms based either on a percentage of revenue or a rate per ton of waste received.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commitments </w:t>
      </w:r>
      <w:r>
        <w:rPr>
          <w:rFonts w:ascii="Arial" w:cs="Arial" w:eastAsia="Arial" w:hAnsi="Arial"/>
          <w:sz w:val="13"/>
          <w:szCs w:val="13"/>
          <w:color w:val="auto"/>
        </w:rPr>
        <w:t>— We have the following unconditional obligations:</w:t>
      </w:r>
    </w:p>
    <w:p>
      <w:pPr>
        <w:spacing w:after="0" w:line="96" w:lineRule="exact"/>
        <w:rPr>
          <w:sz w:val="20"/>
          <w:szCs w:val="20"/>
          <w:color w:val="auto"/>
        </w:rPr>
      </w:pPr>
    </w:p>
    <w:p>
      <w:pPr>
        <w:ind w:left="1280" w:right="140" w:hanging="190"/>
        <w:spacing w:after="0" w:line="276" w:lineRule="auto"/>
        <w:tabs>
          <w:tab w:leader="none" w:pos="1280" w:val="left"/>
        </w:tabs>
        <w:numPr>
          <w:ilvl w:val="0"/>
          <w:numId w:val="81"/>
        </w:numPr>
        <w:rPr>
          <w:rFonts w:ascii="Arial" w:cs="Arial" w:eastAsia="Arial" w:hAnsi="Arial"/>
          <w:sz w:val="13"/>
          <w:szCs w:val="13"/>
          <w:color w:val="auto"/>
        </w:rPr>
      </w:pPr>
      <w:r>
        <w:rPr>
          <w:rFonts w:ascii="Arial" w:cs="Arial" w:eastAsia="Arial" w:hAnsi="Arial"/>
          <w:sz w:val="13"/>
          <w:szCs w:val="13"/>
          <w:i w:val="1"/>
          <w:iCs w:val="1"/>
          <w:color w:val="auto"/>
        </w:rPr>
        <w:t xml:space="preserve">Fuel Supply </w:t>
      </w:r>
      <w:r>
        <w:rPr>
          <w:rFonts w:ascii="Arial" w:cs="Arial" w:eastAsia="Arial" w:hAnsi="Arial"/>
          <w:sz w:val="13"/>
          <w:szCs w:val="13"/>
          <w:color w:val="auto"/>
        </w:rPr>
        <w:t>— We have purchase agreements expiring at various dates through 2011 that require us to purchase minimum amounts of wood waste, anthracite coal waste (culm)</w:t>
      </w:r>
      <w:r>
        <w:rPr>
          <w:rFonts w:ascii="Arial" w:cs="Arial" w:eastAsia="Arial" w:hAnsi="Arial"/>
          <w:sz w:val="13"/>
          <w:szCs w:val="13"/>
          <w:i w:val="1"/>
          <w:iCs w:val="1"/>
          <w:color w:val="auto"/>
        </w:rPr>
        <w:t xml:space="preserve"> </w:t>
      </w:r>
      <w:r>
        <w:rPr>
          <w:rFonts w:ascii="Arial" w:cs="Arial" w:eastAsia="Arial" w:hAnsi="Arial"/>
          <w:sz w:val="13"/>
          <w:szCs w:val="13"/>
          <w:color w:val="auto"/>
        </w:rPr>
        <w:t>and conventional fuels at our independent power production plants. These fuel supplies are used to produce steam that is sold to industrial</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280" w:right="60"/>
        <w:spacing w:after="0" w:line="260" w:lineRule="auto"/>
        <w:rPr>
          <w:sz w:val="20"/>
          <w:szCs w:val="20"/>
          <w:color w:val="auto"/>
        </w:rPr>
      </w:pPr>
      <w:r>
        <w:rPr>
          <w:rFonts w:ascii="Arial" w:cs="Arial" w:eastAsia="Arial" w:hAnsi="Arial"/>
          <w:sz w:val="13"/>
          <w:szCs w:val="13"/>
          <w:color w:val="auto"/>
        </w:rPr>
        <w:t>and commercial users and electricity that is sold to electric utilities, which is generally subject to the terms and conditions of long-term contracts. Our purchase agreements have been established based on the plants’ anticipated fuel supply needs to meet the demands of our customers under these long-term electricity sale contracts. Under our fuel supply take-or-pay contracts, we are generally obligated to pay for a minimum amount of waste or conventional fuel at a stated rate even if such quantities are not required in our operations.</w:t>
      </w:r>
    </w:p>
    <w:p>
      <w:pPr>
        <w:spacing w:after="0" w:line="70" w:lineRule="exact"/>
        <w:rPr>
          <w:sz w:val="20"/>
          <w:szCs w:val="20"/>
          <w:color w:val="auto"/>
        </w:rPr>
      </w:pPr>
    </w:p>
    <w:p>
      <w:pPr>
        <w:ind w:left="1280" w:right="120" w:hanging="190"/>
        <w:spacing w:after="0" w:line="320" w:lineRule="auto"/>
        <w:tabs>
          <w:tab w:leader="none" w:pos="1280" w:val="left"/>
        </w:tabs>
        <w:numPr>
          <w:ilvl w:val="0"/>
          <w:numId w:val="82"/>
        </w:numPr>
        <w:rPr>
          <w:rFonts w:ascii="Arial" w:cs="Arial" w:eastAsia="Arial" w:hAnsi="Arial"/>
          <w:sz w:val="12"/>
          <w:szCs w:val="12"/>
          <w:color w:val="auto"/>
        </w:rPr>
      </w:pPr>
      <w:r>
        <w:rPr>
          <w:rFonts w:ascii="Arial" w:cs="Arial" w:eastAsia="Arial" w:hAnsi="Arial"/>
          <w:sz w:val="12"/>
          <w:szCs w:val="12"/>
          <w:i w:val="1"/>
          <w:iCs w:val="1"/>
          <w:color w:val="auto"/>
        </w:rPr>
        <w:t xml:space="preserve">Disposal </w:t>
      </w:r>
      <w:r>
        <w:rPr>
          <w:rFonts w:ascii="Arial" w:cs="Arial" w:eastAsia="Arial" w:hAnsi="Arial"/>
          <w:sz w:val="12"/>
          <w:szCs w:val="12"/>
          <w:color w:val="auto"/>
        </w:rPr>
        <w:t>— We have several agreements expiring at various dates through 2024 that require us to dispose of a minimum number of tons at third-party disposal facilities. Under</w:t>
      </w:r>
      <w:r>
        <w:rPr>
          <w:rFonts w:ascii="Arial" w:cs="Arial" w:eastAsia="Arial" w:hAnsi="Arial"/>
          <w:sz w:val="12"/>
          <w:szCs w:val="12"/>
          <w:i w:val="1"/>
          <w:iCs w:val="1"/>
          <w:color w:val="auto"/>
        </w:rPr>
        <w:t xml:space="preserve"> </w:t>
      </w:r>
      <w:r>
        <w:rPr>
          <w:rFonts w:ascii="Arial" w:cs="Arial" w:eastAsia="Arial" w:hAnsi="Arial"/>
          <w:sz w:val="12"/>
          <w:szCs w:val="12"/>
          <w:color w:val="auto"/>
        </w:rPr>
        <w:t>these put-or-pay agreements, we are required to pay for the agreed upon minimum volumes regardless of the actual number of tons placed at the facilities.</w:t>
      </w:r>
    </w:p>
    <w:p>
      <w:pPr>
        <w:spacing w:after="0" w:line="25" w:lineRule="exact"/>
        <w:rPr>
          <w:rFonts w:ascii="Arial" w:cs="Arial" w:eastAsia="Arial" w:hAnsi="Arial"/>
          <w:sz w:val="12"/>
          <w:szCs w:val="12"/>
          <w:color w:val="auto"/>
        </w:rPr>
      </w:pPr>
    </w:p>
    <w:p>
      <w:pPr>
        <w:ind w:left="1280" w:right="180" w:hanging="190"/>
        <w:spacing w:after="0" w:line="276" w:lineRule="auto"/>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i w:val="1"/>
          <w:iCs w:val="1"/>
          <w:color w:val="auto"/>
        </w:rPr>
        <w:t xml:space="preserve">Waste Paper </w:t>
      </w:r>
      <w:r>
        <w:rPr>
          <w:rFonts w:ascii="Arial" w:cs="Arial" w:eastAsia="Arial" w:hAnsi="Arial"/>
          <w:sz w:val="13"/>
          <w:szCs w:val="13"/>
          <w:color w:val="auto"/>
        </w:rPr>
        <w:t>— We are party to a waste paper purchase agreement that requires us to purchase a minimum number of tons of waste paper. The cost per ton we pay is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market prices plus the cost of delivery to our customers. We currently expect to fulfill our purchase obligations by 2012.</w:t>
      </w:r>
    </w:p>
    <w:p>
      <w:pPr>
        <w:spacing w:after="0" w:line="49"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i w:val="1"/>
          <w:iCs w:val="1"/>
          <w:color w:val="auto"/>
        </w:rPr>
        <w:t xml:space="preserve">Royalties </w:t>
      </w:r>
      <w:r>
        <w:rPr>
          <w:rFonts w:ascii="Arial" w:cs="Arial" w:eastAsia="Arial" w:hAnsi="Arial"/>
          <w:sz w:val="13"/>
          <w:szCs w:val="13"/>
          <w:color w:val="auto"/>
        </w:rPr>
        <w:t>— At some of our landfills, we are required to make minimum royalty payments to the prior land owners, lessors or host communities where the landfills are located.</w:t>
      </w:r>
      <w:r>
        <w:rPr>
          <w:rFonts w:ascii="Arial" w:cs="Arial" w:eastAsia="Arial" w:hAnsi="Arial"/>
          <w:sz w:val="13"/>
          <w:szCs w:val="13"/>
          <w:i w:val="1"/>
          <w:iCs w:val="1"/>
          <w:color w:val="auto"/>
        </w:rPr>
        <w:t xml:space="preserve"> </w:t>
      </w:r>
      <w:r>
        <w:rPr>
          <w:rFonts w:ascii="Arial" w:cs="Arial" w:eastAsia="Arial" w:hAnsi="Arial"/>
          <w:sz w:val="13"/>
          <w:szCs w:val="13"/>
          <w:color w:val="auto"/>
        </w:rPr>
        <w:t>Our obligations expire at various dates through 2023. Although we have an obligation to make minimum payments, actual payments are based on per ton rates for waste received at the landfill and are significantly higher.</w:t>
      </w:r>
    </w:p>
    <w:p>
      <w:pPr>
        <w:spacing w:after="0" w:line="57" w:lineRule="exact"/>
        <w:rPr>
          <w:rFonts w:ascii="Arial" w:cs="Arial" w:eastAsia="Arial" w:hAnsi="Arial"/>
          <w:sz w:val="13"/>
          <w:szCs w:val="13"/>
          <w:color w:val="auto"/>
        </w:rPr>
      </w:pPr>
    </w:p>
    <w:p>
      <w:pPr>
        <w:ind w:left="1280" w:right="40" w:hanging="190"/>
        <w:spacing w:after="0" w:line="264" w:lineRule="auto"/>
        <w:tabs>
          <w:tab w:leader="none" w:pos="1280" w:val="left"/>
        </w:tabs>
        <w:numPr>
          <w:ilvl w:val="0"/>
          <w:numId w:val="82"/>
        </w:numPr>
        <w:rPr>
          <w:rFonts w:ascii="Arial" w:cs="Arial" w:eastAsia="Arial" w:hAnsi="Arial"/>
          <w:sz w:val="13"/>
          <w:szCs w:val="13"/>
          <w:color w:val="auto"/>
        </w:rPr>
      </w:pPr>
      <w:r>
        <w:rPr>
          <w:rFonts w:ascii="Arial" w:cs="Arial" w:eastAsia="Arial" w:hAnsi="Arial"/>
          <w:sz w:val="13"/>
          <w:szCs w:val="13"/>
          <w:i w:val="1"/>
          <w:iCs w:val="1"/>
          <w:color w:val="auto"/>
        </w:rPr>
        <w:t xml:space="preserve">Property </w:t>
      </w:r>
      <w:r>
        <w:rPr>
          <w:rFonts w:ascii="Arial" w:cs="Arial" w:eastAsia="Arial" w:hAnsi="Arial"/>
          <w:sz w:val="13"/>
          <w:szCs w:val="13"/>
          <w:color w:val="auto"/>
        </w:rPr>
        <w:t>— From time to time, we make commitments to purchase assets that we expect to use in our operations. We are currently party to an agreement to purchase a corporate</w:t>
      </w:r>
      <w:r>
        <w:rPr>
          <w:rFonts w:ascii="Arial" w:cs="Arial" w:eastAsia="Arial" w:hAnsi="Arial"/>
          <w:sz w:val="13"/>
          <w:szCs w:val="13"/>
          <w:i w:val="1"/>
          <w:iCs w:val="1"/>
          <w:color w:val="auto"/>
        </w:rPr>
        <w:t xml:space="preserve"> </w:t>
      </w:r>
      <w:r>
        <w:rPr>
          <w:rFonts w:ascii="Arial" w:cs="Arial" w:eastAsia="Arial" w:hAnsi="Arial"/>
          <w:sz w:val="13"/>
          <w:szCs w:val="13"/>
          <w:color w:val="auto"/>
        </w:rPr>
        <w:t>aircraft to replace an existing aircraft, the lease for which is expiring in early 2011. The agreement requires that we make installment payments between now and delivery, expected in 2010, based on the total purchase price for the aircraft.</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Our unconditional obligations are established in the ordinary course of our business and are structured in a manner that provides us with access to important resources at competitive, market-driven rates. Our actual future obligations under these outstanding agreements are generally quantity driven, and, as a result, our associated financial obligations are not fixed as of December 31, 2008. We currently expect the products and services provided by these agreements to continue to meet the needs of our ongoing operations. Therefore, we do not expect these established arrangements to materially impact our future financial position, results of operations or cash flows.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We have entered into the following guarantee agreements associated with our operations:</w:t>
      </w:r>
    </w:p>
    <w:p>
      <w:pPr>
        <w:spacing w:after="0" w:line="96" w:lineRule="exact"/>
        <w:rPr>
          <w:sz w:val="20"/>
          <w:szCs w:val="20"/>
          <w:color w:val="auto"/>
        </w:rPr>
      </w:pPr>
    </w:p>
    <w:p>
      <w:pPr>
        <w:ind w:left="1280" w:right="180" w:hanging="190"/>
        <w:spacing w:after="0" w:line="260" w:lineRule="auto"/>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As of December 31, 2008, WM Holdings has fully and unconditionally guaranteed all of WMI’s senior indebtedness, which matures through 2032. WMI has fully and unconditionally guaranteed all of the senior indebtedness of WM Holdings, which matures through 2026. Performance under these guarantee agreements would be required if either party defaulted on their respective obligations. No additional liabilities have been recorded for these guarantees because the underlying obligations are reflected in our Consolidated Balance Sheets. See Note 22 for further information.</w:t>
      </w:r>
    </w:p>
    <w:p>
      <w:pPr>
        <w:spacing w:after="0" w:line="59" w:lineRule="exact"/>
        <w:rPr>
          <w:rFonts w:ascii="Arial" w:cs="Arial" w:eastAsia="Arial" w:hAnsi="Arial"/>
          <w:sz w:val="13"/>
          <w:szCs w:val="13"/>
          <w:color w:val="auto"/>
        </w:rPr>
      </w:pPr>
    </w:p>
    <w:p>
      <w:pPr>
        <w:ind w:left="1280" w:hanging="190"/>
        <w:spacing w:after="0" w:line="260" w:lineRule="auto"/>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WMI and WM Holdings have guaranteed the tax-exempt bonds and other debt obligations of their subsidiaries. If a subsidiary fails to meet its obligations associated with its debt agreements as they come due, WMI or WM Holdings will be required to perform under the related guarantee agreement. No additional liabilities have been recorded for these guarantees because the underlying obligations are reflected in our Consolidated Balance Sheets. See Note 7 for information related to the balances and maturities of our tax-exempt bonds.</w:t>
      </w:r>
    </w:p>
    <w:p>
      <w:pPr>
        <w:spacing w:after="0" w:line="59" w:lineRule="exact"/>
        <w:rPr>
          <w:rFonts w:ascii="Arial" w:cs="Arial" w:eastAsia="Arial" w:hAnsi="Arial"/>
          <w:sz w:val="13"/>
          <w:szCs w:val="13"/>
          <w:color w:val="auto"/>
        </w:rPr>
      </w:pPr>
    </w:p>
    <w:p>
      <w:pPr>
        <w:ind w:left="1280" w:right="60" w:hanging="190"/>
        <w:spacing w:after="0" w:line="264" w:lineRule="auto"/>
        <w:tabs>
          <w:tab w:leader="none" w:pos="1280" w:val="left"/>
        </w:tabs>
        <w:numPr>
          <w:ilvl w:val="0"/>
          <w:numId w:val="83"/>
        </w:numPr>
        <w:rPr>
          <w:rFonts w:ascii="Arial" w:cs="Arial" w:eastAsia="Arial" w:hAnsi="Arial"/>
          <w:sz w:val="13"/>
          <w:szCs w:val="13"/>
          <w:color w:val="auto"/>
        </w:rPr>
      </w:pPr>
      <w:r>
        <w:rPr>
          <w:rFonts w:ascii="Arial" w:cs="Arial" w:eastAsia="Arial" w:hAnsi="Arial"/>
          <w:sz w:val="13"/>
          <w:szCs w:val="13"/>
          <w:color w:val="auto"/>
        </w:rPr>
        <w:t>We have guaranteed certain financial obligations of unconsolidated entities. The related obligations, which mature through 2020, are not recorded on our Consolidated Balance Sheets. As of December 31, 2008, our maximum future payments associated with these guarantees are approximately $10 million. We do not believe that it is likely that we will be required to perform under these guarantees.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280" w:hanging="190"/>
        <w:spacing w:after="0" w:line="264" w:lineRule="auto"/>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WM Holdings has guaranteed all reimbursement obligations of WMI under its $280 million letter of credit and term loan agreements. Under those facilities, WMI must reimburse the entities funding the facilities for any draw on a letter of credit supported by the facilities. As of December 31, 2008, we had $272 million in outstanding letters of credit under these facilities.</w:t>
      </w:r>
    </w:p>
    <w:p>
      <w:pPr>
        <w:spacing w:after="0" w:line="57" w:lineRule="exact"/>
        <w:rPr>
          <w:rFonts w:ascii="Arial" w:cs="Arial" w:eastAsia="Arial" w:hAnsi="Arial"/>
          <w:sz w:val="13"/>
          <w:szCs w:val="13"/>
          <w:color w:val="auto"/>
        </w:rPr>
      </w:pPr>
    </w:p>
    <w:p>
      <w:pPr>
        <w:ind w:left="1280" w:right="200" w:hanging="190"/>
        <w:spacing w:after="0" w:line="322" w:lineRule="auto"/>
        <w:tabs>
          <w:tab w:leader="none" w:pos="1280" w:val="left"/>
        </w:tabs>
        <w:numPr>
          <w:ilvl w:val="0"/>
          <w:numId w:val="84"/>
        </w:numPr>
        <w:rPr>
          <w:rFonts w:ascii="Arial" w:cs="Arial" w:eastAsia="Arial" w:hAnsi="Arial"/>
          <w:sz w:val="11"/>
          <w:szCs w:val="11"/>
          <w:color w:val="auto"/>
        </w:rPr>
      </w:pPr>
      <w:r>
        <w:rPr>
          <w:rFonts w:ascii="Arial" w:cs="Arial" w:eastAsia="Arial" w:hAnsi="Arial"/>
          <w:sz w:val="11"/>
          <w:szCs w:val="11"/>
          <w:color w:val="auto"/>
        </w:rPr>
        <w:t>Certain of our subsidiaries have guaranteed the market or contractually determined value of certain homeowners’ properties that are adjacent to certain of our landfills. These guarantee agreements extend over the life of the respective landfill. Under these agreements, we would be responsible for the difference, if any, between the sale value and the guaranteed market or contractually determined value of the homeowners’ properties.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28" w:lineRule="exact"/>
        <w:rPr>
          <w:rFonts w:ascii="Arial" w:cs="Arial" w:eastAsia="Arial" w:hAnsi="Arial"/>
          <w:sz w:val="11"/>
          <w:szCs w:val="11"/>
          <w:color w:val="auto"/>
        </w:rPr>
      </w:pPr>
    </w:p>
    <w:p>
      <w:pPr>
        <w:ind w:left="1280" w:right="60" w:hanging="190"/>
        <w:spacing w:after="0" w:line="260" w:lineRule="auto"/>
        <w:tabs>
          <w:tab w:leader="none" w:pos="12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have been accounted for as incurred.</w:t>
      </w:r>
    </w:p>
    <w:p>
      <w:pPr>
        <w:spacing w:after="0" w:line="59" w:lineRule="exact"/>
        <w:rPr>
          <w:rFonts w:ascii="Arial" w:cs="Arial" w:eastAsia="Arial" w:hAnsi="Arial"/>
          <w:sz w:val="13"/>
          <w:szCs w:val="13"/>
          <w:color w:val="auto"/>
        </w:rPr>
      </w:pPr>
    </w:p>
    <w:p>
      <w:pPr>
        <w:ind w:left="1280" w:right="100" w:hanging="190"/>
        <w:spacing w:after="0" w:line="322" w:lineRule="auto"/>
        <w:tabs>
          <w:tab w:leader="none" w:pos="1280" w:val="left"/>
        </w:tabs>
        <w:numPr>
          <w:ilvl w:val="0"/>
          <w:numId w:val="84"/>
        </w:numPr>
        <w:rPr>
          <w:rFonts w:ascii="Arial" w:cs="Arial" w:eastAsia="Arial" w:hAnsi="Arial"/>
          <w:sz w:val="11"/>
          <w:szCs w:val="11"/>
          <w:color w:val="auto"/>
        </w:rPr>
      </w:pPr>
      <w:r>
        <w:rPr>
          <w:rFonts w:ascii="Arial" w:cs="Arial" w:eastAsia="Arial" w:hAnsi="Arial"/>
          <w:sz w:val="11"/>
          <w:szCs w:val="11"/>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39"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currently do not believe it is reasonably likely that we would be called upon to perform under these guarantees and do not believe that any of the obligations would have a material effect on our financial position, results of operations and cash flows.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Our business is intrinsically connected with the protection of the environment. As such, a significant portion of our operating costs and capital expenditures</w:t>
      </w:r>
      <w:r>
        <w:rPr>
          <w:rFonts w:ascii="Arial" w:cs="Arial" w:eastAsia="Arial" w:hAnsi="Arial"/>
          <w:sz w:val="13"/>
          <w:szCs w:val="13"/>
          <w:i w:val="1"/>
          <w:iCs w:val="1"/>
          <w:color w:val="auto"/>
        </w:rPr>
        <w:t xml:space="preserve"> </w:t>
      </w:r>
      <w:r>
        <w:rPr>
          <w:rFonts w:ascii="Arial" w:cs="Arial" w:eastAsia="Arial" w:hAnsi="Arial"/>
          <w:sz w:val="13"/>
          <w:szCs w:val="13"/>
          <w:color w:val="auto"/>
        </w:rPr>
        <w:t>could be characterized as costs of environmental protection. Such costs may increase in the future as a result of legislation or regulation. However, we generally do not believe that increases in environmental regulation negatively affect our business, because such regulations increase the demand for our services, and we have the resources and experience to manage environmental risk.</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of December 31, 2008, we had been notified that we are a PRP in connection with 74 locations listed on the EPA’s National Priorities List, or NPL. Of the 74 sites at which claims have been made against us, 16 are sites we own. Each of the NPL sites we own was initially developed by others as landfill disposal facilities. At each of these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other 58 NPL sites, which we do not own, are at various procedural stages under the Comprehensive Environmental Response, Compensation and Liability Act of 1980, as amended, known as CERCLA or Superfund.</w:t>
      </w:r>
    </w:p>
    <w:p>
      <w:pPr>
        <w:spacing w:after="0" w:line="72"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spacing w:after="0" w:line="322" w:lineRule="auto"/>
        <w:rPr>
          <w:sz w:val="20"/>
          <w:szCs w:val="20"/>
          <w:color w:val="auto"/>
        </w:rPr>
      </w:pPr>
      <w:r>
        <w:rPr>
          <w:rFonts w:ascii="Arial" w:cs="Arial" w:eastAsia="Arial" w:hAnsi="Arial"/>
          <w:sz w:val="11"/>
          <w:szCs w:val="11"/>
          <w:color w:val="auto"/>
        </w:rPr>
        <w:t>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39"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i w:val="1"/>
          <w:iCs w:val="1"/>
          <w:color w:val="auto"/>
        </w:rPr>
        <w:t xml:space="preserve">Litigation </w:t>
      </w:r>
      <w:r>
        <w:rPr>
          <w:rFonts w:ascii="Arial" w:cs="Arial" w:eastAsia="Arial" w:hAnsi="Arial"/>
          <w:sz w:val="13"/>
          <w:szCs w:val="13"/>
          <w:color w:val="auto"/>
        </w:rPr>
        <w:t>— In April 2002, two former participants in WM Holdings’ ERISA plans filed a lawsuit in the U.S. District Court for the District of Columbia in a case entitled</w:t>
      </w:r>
      <w:r>
        <w:rPr>
          <w:rFonts w:ascii="Arial" w:cs="Arial" w:eastAsia="Arial" w:hAnsi="Arial"/>
          <w:sz w:val="13"/>
          <w:szCs w:val="13"/>
          <w:i w:val="1"/>
          <w:iCs w:val="1"/>
          <w:color w:val="auto"/>
        </w:rPr>
        <w:t xml:space="preserve"> William S. Harris, et al. v. James E. Koenig, et al</w:t>
      </w:r>
      <w:r>
        <w:rPr>
          <w:rFonts w:ascii="Arial" w:cs="Arial" w:eastAsia="Arial" w:hAnsi="Arial"/>
          <w:sz w:val="13"/>
          <w:szCs w:val="13"/>
          <w:color w:val="auto"/>
        </w:rPr>
        <w:t>. The lawsuit named as defendants WM Holdings; various members of WM Holdings’ Board of Directors prior to the acquisition of WM Holdings by</w:t>
      </w:r>
      <w:r>
        <w:rPr>
          <w:rFonts w:ascii="Arial" w:cs="Arial" w:eastAsia="Arial" w:hAnsi="Arial"/>
          <w:sz w:val="13"/>
          <w:szCs w:val="13"/>
          <w:i w:val="1"/>
          <w:iCs w:val="1"/>
          <w:color w:val="auto"/>
        </w:rPr>
        <w:t xml:space="preserve"> </w:t>
      </w:r>
      <w:r>
        <w:rPr>
          <w:rFonts w:ascii="Arial" w:cs="Arial" w:eastAsia="Arial" w:hAnsi="Arial"/>
          <w:sz w:val="13"/>
          <w:szCs w:val="13"/>
          <w:color w:val="auto"/>
        </w:rPr>
        <w:t>WMI, including Pastora San Juan Cafferty, Steven Rothmeier and John C. Pope, each of whom is currently a director of WMI; the Administrative Committee of WM Holdings’ ERISA plans and its individual members, which included former officers and directors of WM Holdings; various members of the Administrative Committee of WMI’s ERISA plans, including former officers of WMI; various members of the Investment Committee of WMI’s ERISA plans, including former officers of WMI and Robert G. Simpson; and State Street Bank &amp; Trust, the trustee and investment manager of WMI’s ERISA plans. The lawsuit attempts to increase the recovery of a class of ERISA plan participants based on allegations related to both the events alleged in, and the settlements relating to, the securities class action against WM Holdings that was settled in 1998 and the securities class action against WMI that was settled in 2001. Subsequently, the issues related to the latter class action have been dropped as to WMI and all of its current and former officers and directors, including Mr. Simpson. The case is ongoing with respect to the other defendants, including Ms. Cafferty, Mr. Rothmeier and Mr. Pope, in their capacities as former directors of WM Holdings. All of the defendants intend to defend themselves vigorously.</w:t>
      </w:r>
    </w:p>
    <w:p>
      <w:pPr>
        <w:spacing w:after="0" w:line="73"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There are two separate wage and hour lawsuits pending against certain of our subsidiaries in California, each seeking class certification. The actions have recently been coordinated to proceed in San Diego County. Both lawsuits make the same general allegations that the defendants failed to comply with certain California wage and hour laws, including allegedly failing to provide meal and rest periods, and failing to properly pay hourly and overtime wages. Similarly, a purported class action lawsuit was filed against WMI in August 2008 in federal court in Minnesota alleging that we violated the Fair Labor Standards Act. The Company has filed a motion to dismiss, alleging lack of jurisdiction. We deny all of these claims and intend to vigorously defend these matters. As the litigation is in the early stages of the legal process, and given the inherent uncertainties of litigation, the ultimate outcome cannot be predicted at this time, nor can possible damages, if any, be reasonably estimated.</w:t>
      </w:r>
    </w:p>
    <w:p>
      <w:pPr>
        <w:spacing w:after="0" w:line="72"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58"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customer service agreements and purported class actions involving federal and state wage and hour and other laws. The plaintiffs in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 xml:space="preserve">WMI’s charter and bylaws currently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WMI has entered into separate indemnification agreements with each of the members of its Board of Directors as well as its Chief Executive Officer, its President and its Chief Financial Officer. The Company may incur substantial expenses in connection with the fulfillment of its advancement of costs and indemnification obligations in connection with current actions involving former officers of the Company or its subsidiaries or other actions or proceedings, including the </w:t>
      </w:r>
      <w:r>
        <w:rPr>
          <w:rFonts w:ascii="Arial" w:cs="Arial" w:eastAsia="Arial" w:hAnsi="Arial"/>
          <w:sz w:val="13"/>
          <w:szCs w:val="13"/>
          <w:i w:val="1"/>
          <w:iCs w:val="1"/>
          <w:color w:val="auto"/>
        </w:rPr>
        <w:t>Harris</w:t>
      </w:r>
      <w:r>
        <w:rPr>
          <w:rFonts w:ascii="Arial" w:cs="Arial" w:eastAsia="Arial" w:hAnsi="Arial"/>
          <w:sz w:val="13"/>
          <w:szCs w:val="13"/>
          <w:color w:val="auto"/>
        </w:rPr>
        <w:t xml:space="preserve"> lawsuit mentioned above, that may be brought against its former or current officers, directors and employees.</w:t>
      </w:r>
    </w:p>
    <w:p>
      <w:pPr>
        <w:spacing w:after="0" w:line="7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On March 20, 2008, we filed a lawsuit in state court in the Southern District of Texas against SAP AG and SAP America, Inc., alleging fraud and breach of contract. The lawsuit relates to our 2005 software license from SAP for a waste and recycling revenue management system and agreement for SAP to implement the software on a fixed-fee basis. We have alleged that SAP contracted to provide software that would not need to be customized or enhanced and that the software would be fully implemented throughout the Company in 18 months. We are pursuing all legal remedies, including recovery of all payments we have made, costs we have incurred and savings not realized. SAP filed a general denial to the suit. Discovery is ongoing and we have been assigned a trial date of October 2009. We are vigorously pursuing all claims available.</w:t>
      </w:r>
    </w:p>
    <w:p>
      <w:pPr>
        <w:spacing w:after="0" w:line="55" w:lineRule="exact"/>
        <w:rPr>
          <w:sz w:val="20"/>
          <w:szCs w:val="20"/>
          <w:color w:val="auto"/>
        </w:rPr>
      </w:pPr>
    </w:p>
    <w:p>
      <w:pPr>
        <w:ind w:left="680" w:right="100" w:firstLine="399"/>
        <w:spacing w:after="0" w:line="334" w:lineRule="auto"/>
        <w:rPr>
          <w:sz w:val="20"/>
          <w:szCs w:val="20"/>
          <w:color w:val="auto"/>
        </w:rPr>
      </w:pPr>
      <w:r>
        <w:rPr>
          <w:rFonts w:ascii="Arial" w:cs="Arial" w:eastAsia="Arial" w:hAnsi="Arial"/>
          <w:sz w:val="11"/>
          <w:szCs w:val="11"/>
          <w:color w:val="auto"/>
        </w:rPr>
        <w:t>We are still examining all of our alternatives associated with the development and implementation of a revenue management system, some of which may be affected by the ultimate resolution of the lawsuit. As we continue to assess the alternatives available to us, we may determine that the best course of action will be to move forward with another software and abandon the SAP revenue management system. If we decide to abandon the SAP software, the abandonment would result in an impairment charge of between $45 million and $55 million.</w:t>
      </w:r>
    </w:p>
    <w:p>
      <w:pPr>
        <w:spacing w:after="0" w:line="32" w:lineRule="exact"/>
        <w:rPr>
          <w:sz w:val="20"/>
          <w:szCs w:val="20"/>
          <w:color w:val="auto"/>
        </w:rPr>
      </w:pPr>
    </w:p>
    <w:p>
      <w:pPr>
        <w:ind w:left="680" w:right="100" w:firstLine="399"/>
        <w:spacing w:after="0" w:line="371" w:lineRule="auto"/>
        <w:rPr>
          <w:sz w:val="20"/>
          <w:szCs w:val="20"/>
          <w:color w:val="auto"/>
        </w:rPr>
      </w:pPr>
      <w:r>
        <w:rPr>
          <w:rFonts w:ascii="Arial" w:cs="Arial" w:eastAsia="Arial" w:hAnsi="Arial"/>
          <w:sz w:val="11"/>
          <w:szCs w:val="11"/>
          <w:color w:val="auto"/>
        </w:rPr>
        <w:t>Item 103 of the SEC’s Regulation S-K requires disclosure of certain environmental matters when a governmental authority is a party to the proceedings and the proceedings involve potential monetary sanctions that we reasonably believe could exceed $100,000. The following matter pending as of December 31, 2008 is disclosed in accordance with that requirement:</w:t>
      </w:r>
    </w:p>
    <w:p>
      <w:pPr>
        <w:spacing w:after="0" w:line="12" w:lineRule="exact"/>
        <w:rPr>
          <w:sz w:val="20"/>
          <w:szCs w:val="20"/>
          <w:color w:val="auto"/>
        </w:rPr>
      </w:pPr>
    </w:p>
    <w:p>
      <w:pPr>
        <w:jc w:val="both"/>
        <w:ind w:left="680" w:right="60" w:firstLine="399"/>
        <w:spacing w:after="0" w:line="322" w:lineRule="auto"/>
        <w:rPr>
          <w:sz w:val="20"/>
          <w:szCs w:val="20"/>
          <w:color w:val="auto"/>
        </w:rPr>
      </w:pPr>
      <w:r>
        <w:rPr>
          <w:rFonts w:ascii="Arial" w:cs="Arial" w:eastAsia="Arial" w:hAnsi="Arial"/>
          <w:sz w:val="11"/>
          <w:szCs w:val="11"/>
          <w:color w:val="auto"/>
        </w:rPr>
        <w:t>On April 4, 2006, the EPA issued a Finding and Notice of Violation (“FNOV”) to Waste Management of Hawaii, Inc., an indirect wholly-owned subsidiary of WMI,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for the Waimanalo Gulch Sanitary Landfill on Oahu. The FNOV did not propose a penalty amount and the parties have been in confidential settlement negotiations. Pursuant to an indemnity agreement, any penalty assessed will be paid by the Company, and not by the City and County of Honolulu.</w:t>
      </w:r>
    </w:p>
    <w:p>
      <w:pPr>
        <w:spacing w:after="0" w:line="3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Multi-employer, defined benefit pension plans </w:t>
      </w:r>
      <w:r>
        <w:rPr>
          <w:rFonts w:ascii="Arial" w:cs="Arial" w:eastAsia="Arial" w:hAnsi="Arial"/>
          <w:sz w:val="13"/>
          <w:szCs w:val="13"/>
          <w:color w:val="auto"/>
        </w:rPr>
        <w:t>— Over 20% of our workforce is covered by collective bargaining agreements, which are with various union locals across the United</w:t>
      </w:r>
      <w:r>
        <w:rPr>
          <w:rFonts w:ascii="Arial" w:cs="Arial" w:eastAsia="Arial" w:hAnsi="Arial"/>
          <w:sz w:val="13"/>
          <w:szCs w:val="13"/>
          <w:i w:val="1"/>
          <w:iCs w:val="1"/>
          <w:color w:val="auto"/>
        </w:rPr>
        <w:t xml:space="preserve"> </w:t>
      </w:r>
      <w:r>
        <w:rPr>
          <w:rFonts w:ascii="Arial" w:cs="Arial" w:eastAsia="Arial" w:hAnsi="Arial"/>
          <w:sz w:val="13"/>
          <w:szCs w:val="13"/>
          <w:color w:val="auto"/>
        </w:rPr>
        <w:t>States. As a result of some of these agreements, certain of our subsidiaries are participating employers in a number of trustee-managed multi-employer, defined benefit pension plans for the affected employees. One of the most significant multi-employer pension plans in which we participate is the Central States Southeast and Southwest Areas Pension Plan (“Central States Pension Plan”), which has reported that it adopted a rehabilitation plan as a result of its actuarial certification for the plan year beginning January 1, 2008. The Central States Pension Plan is in “critical status,” as defined by the Pension Protection Act of 2006.</w:t>
      </w:r>
    </w:p>
    <w:p>
      <w:pPr>
        <w:spacing w:after="0" w:line="71"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In connection with our ongoing re-negotiation of various collective bargaining agreements, we may discuss and negotiate for the complete or partial withdrawal from one or more of these pension plans. In 2008, we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20"/>
        <w:spacing w:after="0" w:line="260" w:lineRule="auto"/>
        <w:rPr>
          <w:sz w:val="20"/>
          <w:szCs w:val="20"/>
          <w:color w:val="auto"/>
        </w:rPr>
      </w:pPr>
      <w:r>
        <w:rPr>
          <w:rFonts w:ascii="Arial" w:cs="Arial" w:eastAsia="Arial" w:hAnsi="Arial"/>
          <w:sz w:val="13"/>
          <w:szCs w:val="13"/>
          <w:color w:val="auto"/>
        </w:rPr>
        <w:t>recognized an aggregate charge of $39 million to “Operating” expenses for the withdrawal of certain bargaining units from multi-employer pension plans, including a $35 million charge resulting from our partial withdrawal from the Central States Pension Plan. We do not believe that our withdrawals from the multi-employer plans, individually or in the aggregate, would have a material adverse effect on our financial condition or liquidity. However, withdrawals of other bargaining units in the future could have a material adverse effect on our results of operations for the period in which any such withdrawals were recorded.</w:t>
      </w:r>
    </w:p>
    <w:p>
      <w:pPr>
        <w:spacing w:after="0" w:line="7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i w:val="1"/>
          <w:iCs w:val="1"/>
          <w:color w:val="auto"/>
        </w:rPr>
        <w:t xml:space="preserve">Tax matters </w:t>
      </w:r>
      <w:r>
        <w:rPr>
          <w:rFonts w:ascii="Arial" w:cs="Arial" w:eastAsia="Arial" w:hAnsi="Arial"/>
          <w:sz w:val="12"/>
          <w:szCs w:val="12"/>
          <w:color w:val="auto"/>
        </w:rPr>
        <w:t>— During 2008, we settled IRS audits for the 2006 and 2007 tax years, as well as various state tax audits. In addition, we settled Canadian audits for tax years 2002</w:t>
      </w:r>
      <w:r>
        <w:rPr>
          <w:rFonts w:ascii="Arial" w:cs="Arial" w:eastAsia="Arial" w:hAnsi="Arial"/>
          <w:sz w:val="12"/>
          <w:szCs w:val="12"/>
          <w:i w:val="1"/>
          <w:iCs w:val="1"/>
          <w:color w:val="auto"/>
        </w:rPr>
        <w:t xml:space="preserve"> </w:t>
      </w:r>
      <w:r>
        <w:rPr>
          <w:rFonts w:ascii="Arial" w:cs="Arial" w:eastAsia="Arial" w:hAnsi="Arial"/>
          <w:sz w:val="12"/>
          <w:szCs w:val="12"/>
          <w:color w:val="auto"/>
        </w:rPr>
        <w:t>through 2005. As a result of these audit settlements, we recognized a $26 million net benefit as a reduction to our provision for income taxes. We are currently in the examination phase of an IRS audit for the 2008 tax year. We expect this audit to be completed within the next 12 months. Audits associated with state and local jurisdictions date back to 1999 and examinations associated with Canada date back to 1998. To provide for certain potential tax exposures, we maintain a liability for unrecognized tax benefits,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As discussed in Note 7 we have approximately $2.9 billion of tax-exempt financings as of December 31, 2008. Tax-exempt financings are structured pursuant to certain terms and conditions of the Internal Revenue Code, which exempt from taxation the interest income earned by the bondholders in the transactions. The requirements of the Code can be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and applicable regulations. It is possible that an adverse determination by the IRS could have a material adverse effect on the Company’s cash flows and results of operations.</w:t>
      </w:r>
    </w:p>
    <w:p>
      <w:pPr>
        <w:spacing w:after="0" w:line="146" w:lineRule="exact"/>
        <w:rPr>
          <w:sz w:val="20"/>
          <w:szCs w:val="20"/>
          <w:color w:val="auto"/>
        </w:rPr>
      </w:pPr>
    </w:p>
    <w:p>
      <w:pPr>
        <w:ind w:left="1180" w:hanging="493"/>
        <w:spacing w:after="0"/>
        <w:tabs>
          <w:tab w:leader="none" w:pos="1180" w:val="left"/>
        </w:tabs>
        <w:numPr>
          <w:ilvl w:val="0"/>
          <w:numId w:val="85"/>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w:t>
      </w:r>
    </w:p>
    <w:p>
      <w:pPr>
        <w:spacing w:after="0" w:line="10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2008 and 2009 Restructurings — </w:t>
      </w:r>
      <w:r>
        <w:rPr>
          <w:rFonts w:ascii="Arial" w:cs="Arial" w:eastAsia="Arial" w:hAnsi="Arial"/>
          <w:sz w:val="13"/>
          <w:szCs w:val="13"/>
          <w:color w:val="auto"/>
        </w:rPr>
        <w:t>The $2 million of restructuring expenses recognized during 2008 was related to a reorganization of customer service functions in our Western Group</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realignment of certain operations in our Southern Group. Refer to Note 24 for a discussion of our ongoing 2009 restructuring activities.</w:t>
      </w:r>
    </w:p>
    <w:p>
      <w:pPr>
        <w:spacing w:after="0" w:line="59" w:lineRule="exact"/>
        <w:rPr>
          <w:sz w:val="20"/>
          <w:szCs w:val="20"/>
          <w:color w:val="auto"/>
        </w:rPr>
      </w:pPr>
    </w:p>
    <w:p>
      <w:pPr>
        <w:ind w:left="680" w:right="440" w:firstLine="399"/>
        <w:spacing w:after="0" w:line="305" w:lineRule="auto"/>
        <w:rPr>
          <w:sz w:val="20"/>
          <w:szCs w:val="20"/>
          <w:color w:val="auto"/>
        </w:rPr>
      </w:pPr>
      <w:r>
        <w:rPr>
          <w:rFonts w:ascii="Arial" w:cs="Arial" w:eastAsia="Arial" w:hAnsi="Arial"/>
          <w:sz w:val="11"/>
          <w:szCs w:val="11"/>
          <w:i w:val="1"/>
          <w:iCs w:val="1"/>
          <w:color w:val="auto"/>
        </w:rPr>
        <w:t xml:space="preserve">2007 Restructuring and Realignment </w:t>
      </w:r>
      <w:r>
        <w:rPr>
          <w:rFonts w:ascii="Arial" w:cs="Arial" w:eastAsia="Arial" w:hAnsi="Arial"/>
          <w:sz w:val="11"/>
          <w:szCs w:val="11"/>
          <w:color w:val="auto"/>
        </w:rPr>
        <w:t>— In the first quarter of 2007, we restructured certain operations and functions, resulting in the recognition of a charge of approximately</w:t>
      </w:r>
      <w:r>
        <w:rPr>
          <w:rFonts w:ascii="Arial" w:cs="Arial" w:eastAsia="Arial" w:hAnsi="Arial"/>
          <w:sz w:val="11"/>
          <w:szCs w:val="11"/>
          <w:i w:val="1"/>
          <w:iCs w:val="1"/>
          <w:color w:val="auto"/>
        </w:rPr>
        <w:t xml:space="preserve"> </w:t>
      </w:r>
      <w:r>
        <w:rPr>
          <w:rFonts w:ascii="Arial" w:cs="Arial" w:eastAsia="Arial" w:hAnsi="Arial"/>
          <w:sz w:val="11"/>
          <w:szCs w:val="11"/>
          <w:color w:val="auto"/>
        </w:rPr>
        <w:t>$9 million. We incurred an additional $1 million of costs for this restructuring during the second quarter of 2007, increasing the costs incurred to date to $10 million. Approximately</w:t>
      </w:r>
    </w:p>
    <w:p>
      <w:pPr>
        <w:spacing w:after="0" w:line="1"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$7 million of our restructuring costs was incurred by our Corporate organization, $2 million was incurred by our Midwest Group and $1 million was incurred by our Western Group. These charges included approximately $8 million for employee severance and benefit costs and approximately $2 million related to operating lease agreements.</w:t>
      </w:r>
    </w:p>
    <w:p>
      <w:pPr>
        <w:spacing w:after="0" w:line="67"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Through December 31, 2008, we had paid approximately $8 million of the employee severance and benefit costs incurred as a result of this restructuring. The length of time we are obligated to make severance payments varies, with the longest obligation continuing through the first quarter of 2009. These first quarter 2009 payments amount to less than $1 million.</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12. (Income) Expense from Divestitures, Asset Impairments and Unusual Items</w:t>
      </w:r>
    </w:p>
    <w:p>
      <w:pPr>
        <w:spacing w:after="0" w:line="100" w:lineRule="exact"/>
        <w:rPr>
          <w:sz w:val="20"/>
          <w:szCs w:val="20"/>
          <w:color w:val="auto"/>
        </w:rPr>
      </w:pPr>
    </w:p>
    <w:p>
      <w:pPr>
        <w:ind w:left="680" w:right="1260" w:firstLine="399"/>
        <w:spacing w:after="0" w:line="276" w:lineRule="auto"/>
        <w:rPr>
          <w:sz w:val="20"/>
          <w:szCs w:val="20"/>
          <w:color w:val="auto"/>
        </w:rPr>
      </w:pPr>
      <w:r>
        <w:rPr>
          <w:rFonts w:ascii="Arial" w:cs="Arial" w:eastAsia="Arial" w:hAnsi="Arial"/>
          <w:sz w:val="13"/>
          <w:szCs w:val="13"/>
          <w:color w:val="auto"/>
        </w:rPr>
        <w:t>The following table summarizes the major components of “(Income) expense from divestitures, asset impairments and unusual items” for the year ended December 31 for the respective periods (in millions):</w:t>
      </w:r>
    </w:p>
    <w:p>
      <w:pPr>
        <w:spacing w:after="0" w:line="61" w:lineRule="exact"/>
        <w:rPr>
          <w:sz w:val="20"/>
          <w:szCs w:val="20"/>
          <w:color w:val="auto"/>
        </w:rPr>
      </w:pPr>
    </w:p>
    <w:p>
      <w:pPr>
        <w:ind w:left="9340"/>
        <w:spacing w:after="0"/>
        <w:rPr>
          <w:sz w:val="20"/>
          <w:szCs w:val="20"/>
          <w:color w:val="auto"/>
        </w:rPr>
      </w:pPr>
      <w:r>
        <w:rPr>
          <w:rFonts w:ascii="Arial" w:cs="Arial" w:eastAsia="Arial" w:hAnsi="Arial"/>
          <w:sz w:val="10"/>
          <w:szCs w:val="10"/>
          <w:b w:val="1"/>
          <w:bCs w:val="1"/>
          <w:color w:val="auto"/>
        </w:rPr>
        <w:t>Years Ended</w:t>
      </w:r>
    </w:p>
    <w:p>
      <w:pPr>
        <w:spacing w:after="0" w:line="3" w:lineRule="exact"/>
        <w:rPr>
          <w:sz w:val="20"/>
          <w:szCs w:val="20"/>
          <w:color w:val="auto"/>
        </w:rPr>
      </w:pPr>
    </w:p>
    <w:p>
      <w:pPr>
        <w:ind w:left="9320"/>
        <w:spacing w:after="0"/>
        <w:rPr>
          <w:sz w:val="20"/>
          <w:szCs w:val="20"/>
          <w:color w:val="auto"/>
        </w:rPr>
      </w:pPr>
      <w:r>
        <w:rPr>
          <w:rFonts w:ascii="Arial" w:cs="Arial" w:eastAsia="Arial" w:hAnsi="Arial"/>
          <w:sz w:val="10"/>
          <w:szCs w:val="10"/>
          <w:b w:val="1"/>
          <w:bCs w:val="1"/>
          <w:color w:val="auto"/>
        </w:rPr>
        <w:t>December 31,</w:t>
      </w:r>
    </w:p>
    <w:tbl>
      <w:tblPr>
        <w:tblLayout w:type="fixed"/>
        <w:tblInd w:w="680" w:type="dxa"/>
        <w:tblCellMar>
          <w:top w:w="0" w:type="dxa"/>
          <w:left w:w="0" w:type="dxa"/>
          <w:bottom w:w="0" w:type="dxa"/>
          <w:right w:w="0" w:type="dxa"/>
        </w:tblCellMar>
      </w:tblPr>
      <w:tr>
        <w:trPr>
          <w:trHeight w:val="98"/>
        </w:trPr>
        <w:tc>
          <w:tcPr>
            <w:tcW w:w="8000" w:type="dxa"/>
            <w:vAlign w:val="bottom"/>
          </w:tcPr>
          <w:p>
            <w:pPr>
              <w:spacing w:after="0"/>
              <w:rPr>
                <w:sz w:val="8"/>
                <w:szCs w:val="8"/>
                <w:color w:val="auto"/>
              </w:rPr>
            </w:pPr>
          </w:p>
        </w:tc>
        <w:tc>
          <w:tcPr>
            <w:tcW w:w="32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80" w:type="dxa"/>
            <w:vAlign w:val="bottom"/>
            <w:tcBorders>
              <w:top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5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r>
      <w:tr>
        <w:trPr>
          <w:trHeight w:val="29"/>
        </w:trPr>
        <w:tc>
          <w:tcPr>
            <w:tcW w:w="8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(Income) expense from divestitures (including held-for-sale impairments)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(33)</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w w:val="94"/>
              </w:rPr>
              <w:t>$ (59)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Impairments of assets held-for-use</w:t>
            </w:r>
          </w:p>
        </w:tc>
        <w:tc>
          <w:tcPr>
            <w:tcW w:w="100" w:type="dxa"/>
            <w:vAlign w:val="bottom"/>
          </w:tcPr>
          <w:p>
            <w:pPr>
              <w:spacing w:after="0"/>
              <w:rPr>
                <w:sz w:val="13"/>
                <w:szCs w:val="13"/>
                <w:color w:val="auto"/>
              </w:rPr>
            </w:pPr>
          </w:p>
        </w:tc>
        <w:tc>
          <w:tcPr>
            <w:tcW w:w="700" w:type="dxa"/>
            <w:vAlign w:val="bottom"/>
            <w:gridSpan w:val="2"/>
          </w:tcPr>
          <w:p>
            <w:pPr>
              <w:jc w:val="right"/>
              <w:ind w:right="480"/>
              <w:spacing w:after="0"/>
              <w:rPr>
                <w:sz w:val="20"/>
                <w:szCs w:val="20"/>
                <w:color w:val="auto"/>
              </w:rPr>
            </w:pPr>
            <w:r>
              <w:rPr>
                <w:rFonts w:ascii="Arial" w:cs="Arial" w:eastAsia="Arial" w:hAnsi="Arial"/>
                <w:sz w:val="13"/>
                <w:szCs w:val="13"/>
                <w:color w:val="auto"/>
              </w:rPr>
              <w:t>4</w:t>
            </w:r>
          </w:p>
        </w:tc>
        <w:tc>
          <w:tcPr>
            <w:tcW w:w="800" w:type="dxa"/>
            <w:vAlign w:val="bottom"/>
            <w:gridSpan w:val="2"/>
          </w:tcPr>
          <w:p>
            <w:pPr>
              <w:jc w:val="right"/>
              <w:ind w:right="50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0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40"/>
              <w:spacing w:after="0"/>
              <w:rPr>
                <w:sz w:val="20"/>
                <w:szCs w:val="20"/>
                <w:color w:val="auto"/>
              </w:rPr>
            </w:pPr>
            <w:r>
              <w:rPr>
                <w:rFonts w:ascii="Arial" w:cs="Arial" w:eastAsia="Arial" w:hAnsi="Arial"/>
                <w:sz w:val="13"/>
                <w:szCs w:val="13"/>
                <w:color w:val="auto"/>
              </w:rPr>
              <w:t>(29)</w:t>
            </w:r>
          </w:p>
        </w:tc>
        <w:tc>
          <w:tcPr>
            <w:tcW w:w="800" w:type="dxa"/>
            <w:vAlign w:val="bottom"/>
            <w:gridSpan w:val="2"/>
          </w:tcPr>
          <w:p>
            <w:pPr>
              <w:jc w:val="right"/>
              <w:ind w:right="460"/>
              <w:spacing w:after="0"/>
              <w:rPr>
                <w:sz w:val="20"/>
                <w:szCs w:val="20"/>
                <w:color w:val="auto"/>
              </w:rPr>
            </w:pPr>
            <w:r>
              <w:rPr>
                <w:rFonts w:ascii="Arial" w:cs="Arial" w:eastAsia="Arial" w:hAnsi="Arial"/>
                <w:sz w:val="13"/>
                <w:szCs w:val="13"/>
                <w:color w:val="auto"/>
                <w:w w:val="94"/>
              </w:rPr>
              <w:t>$ (47)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r>
      <w:tr>
        <w:trPr>
          <w:trHeight w:val="30"/>
        </w:trPr>
        <w:tc>
          <w:tcPr>
            <w:tcW w:w="8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900" w:firstLine="399"/>
        <w:spacing w:after="0" w:line="285" w:lineRule="auto"/>
        <w:rPr>
          <w:sz w:val="20"/>
          <w:szCs w:val="20"/>
          <w:color w:val="auto"/>
        </w:rPr>
      </w:pPr>
      <w:r>
        <w:rPr>
          <w:rFonts w:ascii="Arial" w:cs="Arial" w:eastAsia="Arial" w:hAnsi="Arial"/>
          <w:sz w:val="12"/>
          <w:szCs w:val="12"/>
          <w:i w:val="1"/>
          <w:iCs w:val="1"/>
          <w:color w:val="auto"/>
        </w:rPr>
        <w:t xml:space="preserve">(Income) expense from divestitures (including held-for-sale impairments) </w:t>
      </w:r>
      <w:r>
        <w:rPr>
          <w:rFonts w:ascii="Arial" w:cs="Arial" w:eastAsia="Arial" w:hAnsi="Arial"/>
          <w:sz w:val="12"/>
          <w:szCs w:val="12"/>
          <w:color w:val="auto"/>
        </w:rPr>
        <w:t>— The net gains from divestitures in all three years were a result of our fix-or-seek-exit initiative. In 2008,</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these gains were primarily related to the divestiture of underperforming collection operations in our Southern Group; in 2007, the gains were related to the divestiture of underperforming collection, transfer and recycling operations in our Eastern, Western, Southern and WMRA Groups; and in 2006, the gains were primarily related to the divestiture of underperforming collection operations in our Western Group. Gains recognized from divestitures in 2006 were partially offset by the recognition of aggregate impairment charges of $18 million, which were principally recognized by our Eastern Group, for business operations held for sale as required by SFAS No. 144, </w:t>
      </w:r>
      <w:r>
        <w:rPr>
          <w:rFonts w:ascii="Arial" w:cs="Arial" w:eastAsia="Arial" w:hAnsi="Arial"/>
          <w:sz w:val="12"/>
          <w:szCs w:val="12"/>
          <w:i w:val="1"/>
          <w:iCs w:val="1"/>
          <w:color w:val="auto"/>
        </w:rPr>
        <w:t>Accounting for the Impairment or Disposal of Long-Lived Assets</w:t>
      </w:r>
      <w:r>
        <w:rPr>
          <w:rFonts w:ascii="Arial" w:cs="Arial" w:eastAsia="Arial" w:hAnsi="Arial"/>
          <w:sz w:val="12"/>
          <w:szCs w:val="12"/>
          <w:color w:val="auto"/>
        </w:rPr>
        <w:t>.</w:t>
      </w:r>
    </w:p>
    <w:p>
      <w:pPr>
        <w:spacing w:after="0" w:line="55" w:lineRule="exact"/>
        <w:rPr>
          <w:sz w:val="20"/>
          <w:szCs w:val="20"/>
          <w:color w:val="auto"/>
        </w:rPr>
      </w:pPr>
    </w:p>
    <w:p>
      <w:pPr>
        <w:ind w:left="680" w:right="800" w:firstLine="399"/>
        <w:spacing w:after="0" w:line="258" w:lineRule="auto"/>
        <w:rPr>
          <w:sz w:val="20"/>
          <w:szCs w:val="20"/>
          <w:color w:val="auto"/>
        </w:rPr>
      </w:pPr>
      <w:r>
        <w:rPr>
          <w:rFonts w:ascii="Arial" w:cs="Arial" w:eastAsia="Arial" w:hAnsi="Arial"/>
          <w:sz w:val="13"/>
          <w:szCs w:val="13"/>
          <w:i w:val="1"/>
          <w:iCs w:val="1"/>
          <w:color w:val="auto"/>
        </w:rPr>
        <w:t xml:space="preserve">Impairments of assets held-for-use </w:t>
      </w:r>
      <w:r>
        <w:rPr>
          <w:rFonts w:ascii="Arial" w:cs="Arial" w:eastAsia="Arial" w:hAnsi="Arial"/>
          <w:sz w:val="13"/>
          <w:szCs w:val="13"/>
          <w:color w:val="auto"/>
        </w:rPr>
        <w:t>— During 2008, we recognized a $4 million impairment charge primarily as a result of a decision to close a landfill in our Southern Group. During</w:t>
      </w:r>
      <w:r>
        <w:rPr>
          <w:rFonts w:ascii="Arial" w:cs="Arial" w:eastAsia="Arial" w:hAnsi="Arial"/>
          <w:sz w:val="13"/>
          <w:szCs w:val="13"/>
          <w:i w:val="1"/>
          <w:iCs w:val="1"/>
          <w:color w:val="auto"/>
        </w:rPr>
        <w:t xml:space="preserve"> </w:t>
      </w:r>
      <w:r>
        <w:rPr>
          <w:rFonts w:ascii="Arial" w:cs="Arial" w:eastAsia="Arial" w:hAnsi="Arial"/>
          <w:sz w:val="13"/>
          <w:szCs w:val="13"/>
          <w:color w:val="auto"/>
        </w:rPr>
        <w:t>2007, we recognized $12 million in impairment charges due to impairments recognized for two landfills in our Southern Group. The impairments were necessary as a result of the re-evaluation of our business alternatives for one landfill and the expiration of a contract that we had expected would be renewed that had significantly contributed to the volumes for the second landfill. The $24 million of impairment charges recognized during 2006 was primarily related to the impairment of a landfill in our Eastern Group as a result of a change in our expectations for future expansions and the impairment of under-performing operations in our WMRA Group.</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In 2006, we recognized a $26 million charge for the impact of an arbitration ruling against us related to the termination of a joint venture relationship in 2000.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3"/>
                <w:szCs w:val="13"/>
                <w:b w:val="1"/>
                <w:bCs w:val="1"/>
                <w:color w:val="auto"/>
              </w:rPr>
              <w:t>13.</w:t>
            </w:r>
          </w:p>
        </w:tc>
        <w:tc>
          <w:tcPr>
            <w:tcW w:w="7920" w:type="dxa"/>
            <w:vAlign w:val="bottom"/>
          </w:tcPr>
          <w:p>
            <w:pPr>
              <w:jc w:val="right"/>
              <w:ind w:right="5174"/>
              <w:spacing w:after="0"/>
              <w:rPr>
                <w:sz w:val="20"/>
                <w:szCs w:val="20"/>
                <w:color w:val="auto"/>
              </w:rPr>
            </w:pPr>
            <w:r>
              <w:rPr>
                <w:rFonts w:ascii="Arial" w:cs="Arial" w:eastAsia="Arial" w:hAnsi="Arial"/>
                <w:sz w:val="13"/>
                <w:szCs w:val="13"/>
                <w:b w:val="1"/>
                <w:bCs w:val="1"/>
                <w:color w:val="auto"/>
                <w:w w:val="98"/>
              </w:rPr>
              <w:t>Accumulated Other Comprehensive Income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920" w:type="dxa"/>
            <w:vAlign w:val="bottom"/>
          </w:tcPr>
          <w:p>
            <w:pPr>
              <w:jc w:val="right"/>
              <w:ind w:right="2894"/>
              <w:spacing w:after="0"/>
              <w:rPr>
                <w:sz w:val="20"/>
                <w:szCs w:val="20"/>
                <w:color w:val="auto"/>
              </w:rPr>
            </w:pPr>
            <w:r>
              <w:rPr>
                <w:rFonts w:ascii="Arial" w:cs="Arial" w:eastAsia="Arial" w:hAnsi="Arial"/>
                <w:sz w:val="13"/>
                <w:szCs w:val="13"/>
                <w:color w:val="auto"/>
                <w:w w:val="94"/>
              </w:rPr>
              <w:t>The components of accumulated other comprehensive income were as follows (in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920" w:type="dxa"/>
            <w:vAlign w:val="bottom"/>
          </w:tcPr>
          <w:p>
            <w:pPr>
              <w:spacing w:after="0"/>
              <w:rPr>
                <w:sz w:val="8"/>
                <w:szCs w:val="8"/>
                <w:color w:val="auto"/>
              </w:rPr>
            </w:pPr>
          </w:p>
        </w:tc>
        <w:tc>
          <w:tcPr>
            <w:tcW w:w="30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40" w:type="dxa"/>
            <w:vAlign w:val="bottom"/>
          </w:tcPr>
          <w:p>
            <w:pPr>
              <w:spacing w:after="0"/>
              <w:rPr>
                <w:sz w:val="8"/>
                <w:szCs w:val="8"/>
                <w:color w:val="auto"/>
              </w:rPr>
            </w:pPr>
          </w:p>
        </w:tc>
        <w:tc>
          <w:tcPr>
            <w:tcW w:w="560" w:type="dxa"/>
            <w:vAlign w:val="bottom"/>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80" w:type="dxa"/>
            <w:vAlign w:val="bottom"/>
          </w:tcPr>
          <w:p>
            <w:pPr>
              <w:jc w:val="right"/>
              <w:spacing w:after="0" w:line="98" w:lineRule="exact"/>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 of $12 for 2008, $13 for 2007, and $21 for 2006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w:t>
            </w: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 (20)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4"/>
              </w:rPr>
              <w:t>$ (33)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200" w:type="dxa"/>
            <w:vAlign w:val="bottom"/>
            <w:gridSpan w:val="2"/>
          </w:tcPr>
          <w:p>
            <w:pPr>
              <w:spacing w:after="0"/>
              <w:rPr>
                <w:sz w:val="20"/>
                <w:szCs w:val="20"/>
                <w:color w:val="auto"/>
              </w:rPr>
            </w:pPr>
            <w:r>
              <w:rPr>
                <w:rFonts w:ascii="Arial" w:cs="Arial" w:eastAsia="Arial" w:hAnsi="Arial"/>
                <w:sz w:val="13"/>
                <w:szCs w:val="13"/>
                <w:color w:val="auto"/>
              </w:rPr>
              <w:t>Accumulated unrealized gain (loss) on marketable securities, net of taxes of $1 for 2008, $3 for 2007, and $6 for 2006</w:t>
            </w:r>
          </w:p>
        </w:tc>
        <w:tc>
          <w:tcPr>
            <w:tcW w:w="10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960" w:type="dxa"/>
            <w:vAlign w:val="bottom"/>
            <w:gridSpan w:val="3"/>
          </w:tcPr>
          <w:p>
            <w:pPr>
              <w:jc w:val="right"/>
              <w:ind w:right="400"/>
              <w:spacing w:after="0"/>
              <w:rPr>
                <w:sz w:val="20"/>
                <w:szCs w:val="20"/>
                <w:color w:val="auto"/>
              </w:rPr>
            </w:pPr>
            <w:r>
              <w:rPr>
                <w:rFonts w:ascii="Arial" w:cs="Arial" w:eastAsia="Arial" w:hAnsi="Arial"/>
                <w:sz w:val="13"/>
                <w:szCs w:val="13"/>
                <w:color w:val="auto"/>
              </w:rPr>
              <w:t>5</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Cumulative translation adjustment of foreign currency statements</w:t>
            </w: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113</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240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200" w:type="dxa"/>
            <w:vAlign w:val="bottom"/>
            <w:gridSpan w:val="2"/>
          </w:tcPr>
          <w:p>
            <w:pPr>
              <w:spacing w:after="0"/>
              <w:rPr>
                <w:sz w:val="20"/>
                <w:szCs w:val="20"/>
                <w:color w:val="auto"/>
              </w:rPr>
            </w:pPr>
            <w:r>
              <w:rPr>
                <w:rFonts w:ascii="Arial" w:cs="Arial" w:eastAsia="Arial" w:hAnsi="Arial"/>
                <w:sz w:val="13"/>
                <w:szCs w:val="13"/>
                <w:color w:val="auto"/>
              </w:rPr>
              <w:t>Underfunded post-retirement benefit obligations, net of taxes of $5 for 2008, $0 for 2007 and $3 for 2006</w:t>
            </w:r>
          </w:p>
        </w:tc>
        <w:tc>
          <w:tcPr>
            <w:tcW w:w="10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(4)</w:t>
            </w:r>
          </w:p>
        </w:tc>
        <w:tc>
          <w:tcPr>
            <w:tcW w:w="960" w:type="dxa"/>
            <w:vAlign w:val="bottom"/>
            <w:gridSpan w:val="3"/>
          </w:tcPr>
          <w:p>
            <w:pPr>
              <w:jc w:val="right"/>
              <w:ind w:right="400"/>
              <w:spacing w:after="0"/>
              <w:rPr>
                <w:sz w:val="20"/>
                <w:szCs w:val="20"/>
                <w:color w:val="auto"/>
              </w:rPr>
            </w:pPr>
            <w:r>
              <w:rPr>
                <w:rFonts w:ascii="Arial" w:cs="Arial" w:eastAsia="Arial" w:hAnsi="Arial"/>
                <w:sz w:val="13"/>
                <w:szCs w:val="13"/>
                <w:color w:val="auto"/>
              </w:rPr>
              <w:t>4</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9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88</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$ 229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$ 129</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20" w:type="dxa"/>
            <w:vAlign w:val="bottom"/>
          </w:tcPr>
          <w:p>
            <w:pPr>
              <w:jc w:val="right"/>
              <w:ind w:right="3074"/>
              <w:spacing w:after="0"/>
              <w:rPr>
                <w:sz w:val="20"/>
                <w:szCs w:val="20"/>
                <w:color w:val="auto"/>
              </w:rPr>
            </w:pPr>
            <w:r>
              <w:rPr>
                <w:rFonts w:ascii="Arial" w:cs="Arial" w:eastAsia="Arial" w:hAnsi="Arial"/>
                <w:sz w:val="13"/>
                <w:szCs w:val="13"/>
                <w:color w:val="auto"/>
              </w:rPr>
              <w:t>95</w:t>
            </w: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79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86"/>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Stock, Share Repurchases and Dividends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stock</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As of December 31, 2008, we have 490.7 million shares of common stock issued and outstanding. We have 1.5 billion shares of authorized common stock with a par value of $0.01 per common share.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ten million shares of authorized preferred stock, $0.01 par value, none of which is currently outstanding.</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2004, our Board of Directors approved a capital allocation plan that allowed for up to $1.2 billion in annual share repurchases, and dividend payments, for each of 2005, 2006 and 2007. In June 2006, our Board of Directors approved up to $350 million of additional share repurchases for 2006; in March 2007, approved up to $600 million of additional share repurchases for 2007; and in November 2007, approved up to $300 million of additional share repurchases, which was not limited to any calendar year. As a result, the maximum amount of capital allocated to our share repurchases and dividend payments in 2007 was $2.1 billion. All share repurchases in 2006 and 2007 were made pursuant to these Board authorized capital allocation plans.</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December 2007, our Board of Directors approved a capital allocation program that included the authorization for up to $1.4 billion in combined cash dividends and common stock repurchases in 2008. Approximately $184 million of the November 2007 increased authorization of $300 million remained available for repurchases at December 31, 2007. In July 2008, we suspended our share repurchases in connection with our proposal to acquire all of the outstanding stock of Republic Services, Inc. When the proposal was withdrawn in October 2008, we determined that, given the state of the financial markets, it would be prudent to suspend repurchases for the foreseeable future. As a result, the share repurchases made during 2008 are significantly less than that which was authorized.</w:t>
      </w:r>
    </w:p>
    <w:p>
      <w:pPr>
        <w:spacing w:after="0" w:line="71"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In December 2008, our Board of Directors approved a capital allocation program for the authorization of up to $1.3 billion in combined cash dividends, common stock repurchases, debt reduction and acquisitions.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activity under our stock repurchase programs for each year presented:</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00" w:type="dxa"/>
            <w:vAlign w:val="bottom"/>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w w:val="99"/>
              </w:rPr>
              <w:t>Years Ended December 31,</w:t>
            </w:r>
          </w:p>
        </w:tc>
        <w:tc>
          <w:tcPr>
            <w:tcW w:w="2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r>
        <w:trPr>
          <w:trHeight w:val="98"/>
        </w:trPr>
        <w:tc>
          <w:tcPr>
            <w:tcW w:w="5200" w:type="dxa"/>
            <w:vAlign w:val="bottom"/>
          </w:tcPr>
          <w:p>
            <w:pPr>
              <w:spacing w:after="0"/>
              <w:rPr>
                <w:sz w:val="8"/>
                <w:szCs w:val="8"/>
                <w:color w:val="auto"/>
              </w:rPr>
            </w:pPr>
          </w:p>
        </w:tc>
        <w:tc>
          <w:tcPr>
            <w:tcW w:w="140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2008</w:t>
            </w:r>
          </w:p>
        </w:tc>
        <w:tc>
          <w:tcPr>
            <w:tcW w:w="1700" w:type="dxa"/>
            <w:vAlign w:val="bottom"/>
            <w:gridSpan w:val="2"/>
          </w:tcPr>
          <w:p>
            <w:pPr>
              <w:jc w:val="center"/>
              <w:ind w:left="238"/>
              <w:spacing w:after="0" w:line="98" w:lineRule="exact"/>
              <w:rPr>
                <w:sz w:val="20"/>
                <w:szCs w:val="20"/>
                <w:color w:val="auto"/>
              </w:rPr>
            </w:pPr>
            <w:r>
              <w:rPr>
                <w:rFonts w:ascii="Arial" w:cs="Arial" w:eastAsia="Arial" w:hAnsi="Arial"/>
                <w:sz w:val="10"/>
                <w:szCs w:val="10"/>
                <w:b w:val="1"/>
                <w:bCs w:val="1"/>
                <w:color w:val="auto"/>
                <w:w w:val="89"/>
              </w:rPr>
              <w:t>2007</w:t>
            </w:r>
          </w:p>
        </w:tc>
        <w:tc>
          <w:tcPr>
            <w:tcW w:w="1680" w:type="dxa"/>
            <w:vAlign w:val="bottom"/>
            <w:gridSpan w:val="2"/>
          </w:tcPr>
          <w:p>
            <w:pPr>
              <w:jc w:val="center"/>
              <w:ind w:left="238"/>
              <w:spacing w:after="0" w:line="98" w:lineRule="exact"/>
              <w:rPr>
                <w:sz w:val="20"/>
                <w:szCs w:val="20"/>
                <w:color w:val="auto"/>
              </w:rPr>
            </w:pPr>
            <w:r>
              <w:rPr>
                <w:rFonts w:ascii="Arial" w:cs="Arial" w:eastAsia="Arial" w:hAnsi="Arial"/>
                <w:sz w:val="10"/>
                <w:szCs w:val="10"/>
                <w:b w:val="1"/>
                <w:bCs w:val="1"/>
                <w:color w:val="auto"/>
                <w:w w:val="98"/>
              </w:rPr>
              <w:t>2006</w:t>
            </w:r>
          </w:p>
        </w:tc>
      </w:tr>
      <w:tr>
        <w:trPr>
          <w:trHeight w:val="29"/>
        </w:trPr>
        <w:tc>
          <w:tcPr>
            <w:tcW w:w="52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Shares repurchased (in thousands)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12,390</w:t>
            </w:r>
          </w:p>
        </w:tc>
        <w:tc>
          <w:tcPr>
            <w:tcW w:w="17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0"/>
              </w:rPr>
              <w:t>39,946</w:t>
            </w:r>
          </w:p>
        </w:tc>
        <w:tc>
          <w:tcPr>
            <w:tcW w:w="16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0"/>
              </w:rPr>
              <w:t>30,965</w:t>
            </w: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Per share purchase price</w:t>
            </w:r>
          </w:p>
        </w:tc>
        <w:tc>
          <w:tcPr>
            <w:tcW w:w="1400" w:type="dxa"/>
            <w:vAlign w:val="bottom"/>
          </w:tcPr>
          <w:p>
            <w:pPr>
              <w:jc w:val="center"/>
              <w:spacing w:after="0"/>
              <w:rPr>
                <w:sz w:val="20"/>
                <w:szCs w:val="20"/>
                <w:color w:val="auto"/>
              </w:rPr>
            </w:pPr>
            <w:r>
              <w:rPr>
                <w:rFonts w:ascii="Arial" w:cs="Arial" w:eastAsia="Arial" w:hAnsi="Arial"/>
                <w:sz w:val="13"/>
                <w:szCs w:val="13"/>
                <w:color w:val="auto"/>
                <w:w w:val="90"/>
              </w:rPr>
              <w:t>$28.98-$38.44</w:t>
            </w:r>
          </w:p>
        </w:tc>
        <w:tc>
          <w:tcPr>
            <w:tcW w:w="1700" w:type="dxa"/>
            <w:vAlign w:val="bottom"/>
            <w:gridSpan w:val="2"/>
          </w:tcPr>
          <w:p>
            <w:pPr>
              <w:jc w:val="center"/>
              <w:ind w:left="238"/>
              <w:spacing w:after="0"/>
              <w:rPr>
                <w:sz w:val="20"/>
                <w:szCs w:val="20"/>
                <w:color w:val="auto"/>
              </w:rPr>
            </w:pPr>
            <w:r>
              <w:rPr>
                <w:rFonts w:ascii="Arial" w:cs="Arial" w:eastAsia="Arial" w:hAnsi="Arial"/>
                <w:sz w:val="13"/>
                <w:szCs w:val="13"/>
                <w:color w:val="auto"/>
                <w:w w:val="90"/>
              </w:rPr>
              <w:t>$33.00-$40.13</w:t>
            </w:r>
          </w:p>
        </w:tc>
        <w:tc>
          <w:tcPr>
            <w:tcW w:w="1680" w:type="dxa"/>
            <w:vAlign w:val="bottom"/>
            <w:gridSpan w:val="2"/>
          </w:tcPr>
          <w:p>
            <w:pPr>
              <w:jc w:val="center"/>
              <w:ind w:left="218"/>
              <w:spacing w:after="0"/>
              <w:rPr>
                <w:sz w:val="20"/>
                <w:szCs w:val="20"/>
                <w:color w:val="auto"/>
              </w:rPr>
            </w:pPr>
            <w:r>
              <w:rPr>
                <w:rFonts w:ascii="Arial" w:cs="Arial" w:eastAsia="Arial" w:hAnsi="Arial"/>
                <w:sz w:val="13"/>
                <w:szCs w:val="13"/>
                <w:color w:val="auto"/>
                <w:w w:val="90"/>
              </w:rPr>
              <w:t>$32.23-$38.49</w:t>
            </w: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Total repurchases (in millions)</w:t>
            </w:r>
          </w:p>
        </w:tc>
        <w:tc>
          <w:tcPr>
            <w:tcW w:w="1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$410</w:t>
            </w:r>
          </w:p>
        </w:tc>
        <w:tc>
          <w:tcPr>
            <w:tcW w:w="1700" w:type="dxa"/>
            <w:vAlign w:val="bottom"/>
            <w:gridSpan w:val="2"/>
            <w:shd w:val="clear" w:color="auto" w:fill="CCEEFF"/>
          </w:tcPr>
          <w:p>
            <w:pPr>
              <w:jc w:val="center"/>
              <w:ind w:left="238"/>
              <w:spacing w:after="0"/>
              <w:rPr>
                <w:sz w:val="20"/>
                <w:szCs w:val="20"/>
                <w:color w:val="auto"/>
              </w:rPr>
            </w:pPr>
            <w:r>
              <w:rPr>
                <w:rFonts w:ascii="Arial" w:cs="Arial" w:eastAsia="Arial" w:hAnsi="Arial"/>
                <w:sz w:val="13"/>
                <w:szCs w:val="13"/>
                <w:color w:val="auto"/>
                <w:w w:val="90"/>
              </w:rPr>
              <w:t>$1,421</w:t>
            </w:r>
          </w:p>
        </w:tc>
        <w:tc>
          <w:tcPr>
            <w:tcW w:w="1680" w:type="dxa"/>
            <w:vAlign w:val="bottom"/>
            <w:gridSpan w:val="2"/>
            <w:shd w:val="clear" w:color="auto" w:fill="CCEEFF"/>
          </w:tcPr>
          <w:p>
            <w:pPr>
              <w:jc w:val="center"/>
              <w:ind w:left="218"/>
              <w:spacing w:after="0"/>
              <w:rPr>
                <w:sz w:val="20"/>
                <w:szCs w:val="20"/>
                <w:color w:val="auto"/>
              </w:rPr>
            </w:pPr>
            <w:r>
              <w:rPr>
                <w:rFonts w:ascii="Arial" w:cs="Arial" w:eastAsia="Arial" w:hAnsi="Arial"/>
                <w:sz w:val="13"/>
                <w:szCs w:val="13"/>
                <w:color w:val="auto"/>
                <w:w w:val="90"/>
              </w:rPr>
              <w:t>$1,072</w:t>
            </w:r>
          </w:p>
        </w:tc>
      </w:tr>
    </w:tbl>
    <w:p>
      <w:pPr>
        <w:spacing w:after="0" w:line="80"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Our 2006 share repurchase activity included $291 million paid to repurchase our common stock through an accelerated share repurchase transaction. The number of shares we repurchased under the accelerated repurchase transaction was determined by dividing $275 million by the fair market value of our common stock on the repurchase date. At the end of the valuation period, which was in February 2006, we were required to make a settlement payment for the difference between the $275 million paid at the inception of the valuation period and the weighted average daily market price of our common stock during the valuation period times the number of shares we repurchased, or $16 million. We elected to make the required settlement payment in cash.</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quarterly dividends have been declared by our Board of Directors and paid in accordance with the capital allocation programs discussed above. The following is a summary of dividends declared and paid each year:</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5"/>
          </w:tcPr>
          <w:p>
            <w:pPr>
              <w:jc w:val="center"/>
              <w:ind w:left="259"/>
              <w:spacing w:after="0"/>
              <w:rPr>
                <w:sz w:val="20"/>
                <w:szCs w:val="20"/>
                <w:color w:val="auto"/>
              </w:rPr>
            </w:pPr>
            <w:r>
              <w:rPr>
                <w:rFonts w:ascii="Arial" w:cs="Arial" w:eastAsia="Arial" w:hAnsi="Arial"/>
                <w:sz w:val="10"/>
                <w:szCs w:val="10"/>
                <w:b w:val="1"/>
                <w:bCs w:val="1"/>
                <w:color w:val="auto"/>
                <w:w w:val="93"/>
              </w:rPr>
              <w:t>Years Ended December 31,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98"/>
              </w:rPr>
              <w:t>2008</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r>
      <w:tr>
        <w:trPr>
          <w:trHeight w:val="29"/>
        </w:trPr>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per common share:</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Declared(a)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1.08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0.96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0.66</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Paid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0.88</w:t>
            </w: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Total cash dividends (in millions):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Declared(a)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531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355</w:t>
            </w:r>
          </w:p>
        </w:tc>
      </w:tr>
      <w:tr>
        <w:trPr>
          <w:trHeight w:val="165"/>
        </w:trPr>
        <w:tc>
          <w:tcPr>
            <w:tcW w:w="7900" w:type="dxa"/>
            <w:vAlign w:val="bottom"/>
          </w:tcPr>
          <w:p>
            <w:pPr>
              <w:ind w:left="140"/>
              <w:spacing w:after="0"/>
              <w:rPr>
                <w:sz w:val="20"/>
                <w:szCs w:val="20"/>
                <w:color w:val="auto"/>
              </w:rPr>
            </w:pPr>
            <w:r>
              <w:rPr>
                <w:rFonts w:ascii="Arial" w:cs="Arial" w:eastAsia="Arial" w:hAnsi="Arial"/>
                <w:sz w:val="13"/>
                <w:szCs w:val="13"/>
                <w:color w:val="auto"/>
              </w:rPr>
              <w:t>Paid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80"/>
              <w:spacing w:after="0"/>
              <w:rPr>
                <w:sz w:val="20"/>
                <w:szCs w:val="20"/>
                <w:color w:val="auto"/>
              </w:rPr>
            </w:pPr>
            <w:r>
              <w:rPr>
                <w:rFonts w:ascii="Arial" w:cs="Arial" w:eastAsia="Arial" w:hAnsi="Arial"/>
                <w:sz w:val="13"/>
                <w:szCs w:val="13"/>
                <w:color w:val="auto"/>
              </w:rPr>
              <w:t>531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495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313"/>
        <w:spacing w:after="0"/>
        <w:tabs>
          <w:tab w:leader="none" w:pos="10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In 2006, the cash dividend declared amounts excluded the first quarterly dividend for 2006 of $0.22 per share, which was declared by the Board of Directors in 2005.</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December 2008, we announced that our Board of Directors expects to increase the per share quarterly dividend from $0.27 to $0.29 for dividends declared in 2009.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142" w:lineRule="exact"/>
        <w:rPr>
          <w:sz w:val="20"/>
          <w:szCs w:val="20"/>
          <w:color w:val="auto"/>
        </w:rPr>
      </w:pPr>
    </w:p>
    <w:p>
      <w:pPr>
        <w:ind w:left="1180" w:hanging="493"/>
        <w:spacing w:after="0"/>
        <w:tabs>
          <w:tab w:leader="none" w:pos="1180"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96" w:lineRule="exact"/>
        <w:rPr>
          <w:sz w:val="20"/>
          <w:szCs w:val="20"/>
          <w:color w:val="auto"/>
        </w:rPr>
      </w:pPr>
    </w:p>
    <w:p>
      <w:pPr>
        <w:ind w:left="680" w:right="180" w:firstLine="399"/>
        <w:spacing w:after="0" w:line="257" w:lineRule="auto"/>
        <w:rPr>
          <w:sz w:val="20"/>
          <w:szCs w:val="20"/>
          <w:color w:val="auto"/>
        </w:rPr>
      </w:pPr>
      <w:r>
        <w:rPr>
          <w:rFonts w:ascii="Arial" w:cs="Arial" w:eastAsia="Arial" w:hAnsi="Arial"/>
          <w:sz w:val="13"/>
          <w:szCs w:val="13"/>
          <w:color w:val="auto"/>
        </w:rPr>
        <w:t>We have an Employee Stock Purchase Plan under which employees that have been employed for at least 30 days may purchase shares of our common stock at a discount. The plan provides for two offering periods for purchases: January through June and July through December. At the end of each offering period, employees are able to purchase shares of common stock at a price equal to 85% of the lesser of the market value of the stock on the first and last day of such offering period. The purchases are made through payroll deductions, and the number of shares that may be purchased is limited by IRS regulations. The total number of shares issued under the plan for the offering periods in each of 2008, 2007 and 2006 was approximately 839,000, 713,000, and 644,000, respectively. Including the impact of the January 2009 issuance of shares associated with the July to December 2008 offering period, approximately 470,000 shares remain available for issuance under the plan.</w:t>
      </w:r>
    </w:p>
    <w:p>
      <w:pPr>
        <w:spacing w:after="0" w:line="72" w:lineRule="exact"/>
        <w:rPr>
          <w:sz w:val="20"/>
          <w:szCs w:val="20"/>
          <w:color w:val="auto"/>
        </w:rPr>
      </w:pPr>
    </w:p>
    <w:p>
      <w:pPr>
        <w:ind w:left="680" w:right="240" w:firstLine="399"/>
        <w:spacing w:after="0" w:line="334" w:lineRule="auto"/>
        <w:rPr>
          <w:sz w:val="20"/>
          <w:szCs w:val="20"/>
          <w:color w:val="auto"/>
        </w:rPr>
      </w:pPr>
      <w:r>
        <w:rPr>
          <w:rFonts w:ascii="Arial" w:cs="Arial" w:eastAsia="Arial" w:hAnsi="Arial"/>
          <w:sz w:val="11"/>
          <w:szCs w:val="11"/>
          <w:color w:val="auto"/>
        </w:rPr>
        <w:t xml:space="preserve">Our Employee Stock Purchase Plan is “compensatory” under the provisions of SFAS No. 123 (revised 2004), </w:t>
      </w:r>
      <w:r>
        <w:rPr>
          <w:rFonts w:ascii="Arial" w:cs="Arial" w:eastAsia="Arial" w:hAnsi="Arial"/>
          <w:sz w:val="11"/>
          <w:szCs w:val="11"/>
          <w:i w:val="1"/>
          <w:iCs w:val="1"/>
          <w:color w:val="auto"/>
        </w:rPr>
        <w:t>Share-Based Payment</w:t>
      </w:r>
      <w:r>
        <w:rPr>
          <w:rFonts w:ascii="Arial" w:cs="Arial" w:eastAsia="Arial" w:hAnsi="Arial"/>
          <w:sz w:val="11"/>
          <w:szCs w:val="11"/>
          <w:color w:val="auto"/>
        </w:rPr>
        <w:t>. Accordingly, beginning with our adoption of SFAS No. 123(R) on January 1, 2006 we recognize compensation expense associated with our employees’ participation in the Stock Purchase Plan. Our Employee Stock Purchase Plan increased annual compensation expense by approximately $6 million, or $4 million net of tax, for 2008 and approximately $5 million, or $3 million net of tax, for both 2007 and 2006.</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Incentive Plans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Pursuant to our stock incentive plan, we have the ability to issue stock options, stock awards and stock appreciation rights, all on terms and conditions determined by the Management Development and Compensation Committee of our Board of Directors.</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Since May 2004, all stock-based compensation awards described herein have been made under the Company’s 2004 Stock Incentive Plan, which authorizes the issuance of a maximum of 34 million shares of our common stock. We currently utilize treasury shares to meet the needs of our equity-based compensation programs under the 2004 Stock Incentive Plan and to settle outstanding awards granted pursuant to previous incentive plans.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As a result of both the changes in accounting required by SFAS No. 123(R) for share-based payments and a desire to design our long-term incentive plans in a manner that creates a stronger link to operating and market performance, the Management Development and Compensation Committee approved a substantial change in the form of awards that we grant. Through December 31, 2004, stock option awards were the primary form of equity-based compensation. Beginning in 2005, annual stock option grants were eliminated and, for key members of our management and operations personnel, replaced with grants of restricted stock units and performance share units. The Management Development and Compensation Committee subsequently determined that the equity-based compensation granted to the Company’s senior leadership should all be linked to the Company’s financial performance. Accordingly, beginning with the 2008 annual equity grant, the awards granted to the Company’s senior leadership team are 100% performance share units. The Company also grants restricted stock units to employees working on key initiatives and in connection with new hires and promotions.</w:t>
      </w:r>
    </w:p>
    <w:p>
      <w:pPr>
        <w:spacing w:after="0" w:line="58"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i w:val="1"/>
          <w:iCs w:val="1"/>
          <w:color w:val="auto"/>
        </w:rPr>
        <w:t xml:space="preserve">Restricted stock units — </w:t>
      </w:r>
      <w:r>
        <w:rPr>
          <w:rFonts w:ascii="Arial" w:cs="Arial" w:eastAsia="Arial" w:hAnsi="Arial"/>
          <w:sz w:val="12"/>
          <w:szCs w:val="12"/>
          <w:color w:val="auto"/>
        </w:rPr>
        <w:t>During the year ended December 31, 2008, we granted approximately 359,000 restricted stock units. Restricted stock units provide award recipients with</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 equivalents during the vesting period, but the units may not be voted or sold until time-based vesting restrictions have lapsed. Restricted stock units granted prior to 2007 vest ratably over a four-year period. In 2007, the Management Development and Compensation Committee changed the terms of the restricted stock units granted to provide for three-year cliff vesting. Unvested units are subject to forfeiture in the event of voluntary or for-cause termination. Restricted stock units are subject to pro-rata vesting upon an employee’s retirement or involuntary termination other than for cause and become immediately vested in the event of an employee’s death or disability.</w:t>
      </w:r>
    </w:p>
    <w:p>
      <w:pPr>
        <w:spacing w:after="0" w:line="55"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Compensation expense associated with restricted stock units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current period and historical forfeitures.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restricted stock units is presented in the table below (units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6"/>
          </w:tcPr>
          <w:p>
            <w:pPr>
              <w:ind w:left="60"/>
              <w:spacing w:after="0"/>
              <w:rPr>
                <w:sz w:val="20"/>
                <w:szCs w:val="20"/>
                <w:color w:val="auto"/>
              </w:rPr>
            </w:pPr>
            <w:r>
              <w:rPr>
                <w:rFonts w:ascii="Arial" w:cs="Arial" w:eastAsia="Arial" w:hAnsi="Arial"/>
                <w:sz w:val="10"/>
                <w:szCs w:val="10"/>
                <w:b w:val="1"/>
                <w:bCs w:val="1"/>
                <w:color w:val="auto"/>
              </w:rPr>
              <w:t>Years Ended December 31,</w:t>
            </w: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2007</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2006</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Fair</w:t>
            </w: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Value</w:t>
            </w:r>
          </w:p>
        </w:tc>
        <w:tc>
          <w:tcPr>
            <w:tcW w:w="5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5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Beginning of year</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32.58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30.63</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767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29.04</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359</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33.33</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324</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37.28</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755</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31.82</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Vested(a)</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30.41</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30.43</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29.11</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(24)</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33.22</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(103)</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30.94</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(29)</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30.85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End of year</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33.46</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32.58</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30.63</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60" w:hanging="313"/>
        <w:spacing w:after="0" w:line="276" w:lineRule="auto"/>
        <w:tabs>
          <w:tab w:leader="none" w:pos="10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total fair market value of the shares issued upon the vesting of restricted stock units during the years ended December 31, 2008, 2007 and 2006 was $11 million, $14 million and $7 million, respectively.</w:t>
      </w:r>
    </w:p>
    <w:p>
      <w:pPr>
        <w:spacing w:after="0" w:line="59"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i w:val="1"/>
          <w:iCs w:val="1"/>
          <w:color w:val="auto"/>
        </w:rPr>
        <w:t xml:space="preserve">Performance share units — </w:t>
      </w:r>
      <w:r>
        <w:rPr>
          <w:rFonts w:ascii="Arial" w:cs="Arial" w:eastAsia="Arial" w:hAnsi="Arial"/>
          <w:sz w:val="12"/>
          <w:szCs w:val="12"/>
          <w:color w:val="auto"/>
        </w:rPr>
        <w:t>During the year ended December 31, 2008, we granted approximately 1,169,000 performance share units. The performance share units are payable in</w:t>
      </w:r>
      <w:r>
        <w:rPr>
          <w:rFonts w:ascii="Arial" w:cs="Arial" w:eastAsia="Arial" w:hAnsi="Arial"/>
          <w:sz w:val="12"/>
          <w:szCs w:val="12"/>
          <w:i w:val="1"/>
          <w:iCs w:val="1"/>
          <w:color w:val="auto"/>
        </w:rPr>
        <w:t xml:space="preserve"> </w:t>
      </w:r>
      <w:r>
        <w:rPr>
          <w:rFonts w:ascii="Arial" w:cs="Arial" w:eastAsia="Arial" w:hAnsi="Arial"/>
          <w:sz w:val="12"/>
          <w:szCs w:val="12"/>
          <w:color w:val="auto"/>
        </w:rPr>
        <w:t>shares of common stock based on the achievement of certain financial measures, after the end of a three-year performance period. At the end of the three-year period, the number of shares awarded can range from 0% to 200% of the targeted amount. Performance share units have no voting rights and performance share units granted prior to 2007 received no dividend equivalents during the required performance period. Beginning in 2007, dividend equivalents are paid out in cash based on actual performance at the end of the awards’ performance period. Performance share units are payable to an employee (or his beneficiary) upon death or disability as if that employee had remained employed until the end of</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the performance period, are subject to pro-rata vesting upon an employee’s retirement or involuntary termination other than for cause and are subject to forfeiture in the event of voluntary or for-cause termination.</w:t>
      </w:r>
    </w:p>
    <w:p>
      <w:pPr>
        <w:spacing w:after="0" w:line="5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Compensation expense associated with performance share units that continue to vest based on future performance is measured based on the grant-date fair value of our common stock, net of the present value of expected dividend payments on our common stock during the vesting period.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current period and historical forfeitures.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performance share units is presented in the table below (units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6"/>
          </w:tcPr>
          <w:p>
            <w:pPr>
              <w:ind w:left="60"/>
              <w:spacing w:after="0"/>
              <w:rPr>
                <w:sz w:val="20"/>
                <w:szCs w:val="20"/>
                <w:color w:val="auto"/>
              </w:rPr>
            </w:pPr>
            <w:r>
              <w:rPr>
                <w:rFonts w:ascii="Arial" w:cs="Arial" w:eastAsia="Arial" w:hAnsi="Arial"/>
                <w:sz w:val="10"/>
                <w:szCs w:val="10"/>
                <w:b w:val="1"/>
                <w:bCs w:val="1"/>
                <w:color w:val="auto"/>
              </w:rPr>
              <w:t>Years Ended December 31,</w:t>
            </w: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ind w:right="60"/>
              <w:spacing w:after="0" w:line="98" w:lineRule="exact"/>
              <w:rPr>
                <w:sz w:val="20"/>
                <w:szCs w:val="20"/>
                <w:color w:val="auto"/>
              </w:rPr>
            </w:pPr>
            <w:r>
              <w:rPr>
                <w:rFonts w:ascii="Arial" w:cs="Arial" w:eastAsia="Arial" w:hAnsi="Arial"/>
                <w:sz w:val="10"/>
                <w:szCs w:val="10"/>
                <w:b w:val="1"/>
                <w:bCs w:val="1"/>
                <w:color w:val="auto"/>
              </w:rPr>
              <w:t>2007</w:t>
            </w:r>
          </w:p>
        </w:tc>
        <w:tc>
          <w:tcPr>
            <w:tcW w:w="5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2006</w:t>
            </w: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1"/>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rPr>
              <w:t>Fair</w:t>
            </w: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Fair</w:t>
            </w: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7"/>
              </w:rPr>
              <w:t>Fair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Value</w:t>
            </w:r>
          </w:p>
        </w:tc>
        <w:tc>
          <w:tcPr>
            <w:tcW w:w="5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Value</w:t>
            </w:r>
          </w:p>
        </w:tc>
        <w:tc>
          <w:tcPr>
            <w:tcW w:w="5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Beginning of year</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2,134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29.52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693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27.05</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1,169</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32.92</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907</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37.28</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724</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31.93</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Vested(a)</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(615)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27.05</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27.05</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4920" w:type="dxa"/>
            <w:vAlign w:val="bottom"/>
            <w:gridSpan w:val="2"/>
          </w:tcPr>
          <w:p>
            <w:pPr>
              <w:spacing w:after="0"/>
              <w:rPr>
                <w:sz w:val="20"/>
                <w:szCs w:val="20"/>
                <w:color w:val="auto"/>
              </w:rPr>
            </w:pPr>
            <w:r>
              <w:rPr>
                <w:rFonts w:ascii="Arial" w:cs="Arial" w:eastAsia="Arial" w:hAnsi="Arial"/>
                <w:sz w:val="13"/>
                <w:szCs w:val="13"/>
                <w:color w:val="auto"/>
              </w:rPr>
              <w:t>Forfeited</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(44)</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34.48</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(111)</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32.86</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(26)</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30.80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End of year</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2,644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34.10</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32.72</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1,391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20" w:hanging="313"/>
        <w:spacing w:after="0" w:line="322" w:lineRule="auto"/>
        <w:tabs>
          <w:tab w:leader="none" w:pos="1000" w:val="left"/>
        </w:tabs>
        <w:numPr>
          <w:ilvl w:val="0"/>
          <w:numId w:val="90"/>
        </w:numPr>
        <w:rPr>
          <w:rFonts w:ascii="Arial" w:cs="Arial" w:eastAsia="Arial" w:hAnsi="Arial"/>
          <w:sz w:val="11"/>
          <w:szCs w:val="11"/>
          <w:color w:val="auto"/>
        </w:rPr>
      </w:pPr>
      <w:r>
        <w:rPr>
          <w:rFonts w:ascii="Arial" w:cs="Arial" w:eastAsia="Arial" w:hAnsi="Arial"/>
          <w:sz w:val="11"/>
          <w:szCs w:val="11"/>
          <w:color w:val="auto"/>
        </w:rPr>
        <w:t>The units that vested in 2008 were subject to a three-year performance target that was established in 2005 when the awards were granted. The Company’s financial results for the three-year period, as measured for purposes of these awards, was lower than the target level established. Accordingly, we issued approximately 561,000 shares, or 91% of the target, upon the vesting of these awards. The shares issued upon the vesting of these awards had a fair market value of $19 million. The Company’s performance exceeded the target level established for the awards that vested in 2007. Accordingly, we issued approximately 65,000 shares with a fair market value of $2 million upon the vesting of these awards.</w:t>
      </w:r>
    </w:p>
    <w:p>
      <w:pPr>
        <w:spacing w:after="0" w:line="39"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For the years ended December 31, 2008, 2007 and 2006, we recognized $42 million, $31 million and $21 million, respectively, of compensation expense associated with restricted stock unit and performance share unit awards as a component of “Selling, general and administrative” expenses in our Consolidated Statement of Operations. Our “Provision for income taxes” for the years ended December 31, 2008, 2007 and 2006 include a related deferred income tax benefit of $16 million, $12 million and $8 million, respectively. We have not capitalized any equity-based compensation costs during the years ended December 31, 2008, 2007 and 2006. As of December 31, 2008, we estimate that a total of approximately $43 million of currently unrecognized compensation expense will be recognized in future periods for unvested restricted stock unit and performance share unit awards issued and outstanding. This expense is expected to be recognized over a weighted average period of approximately 1.7 years.</w:t>
      </w:r>
    </w:p>
    <w:p>
      <w:pPr>
        <w:spacing w:after="0" w:line="72" w:lineRule="exact"/>
        <w:rPr>
          <w:sz w:val="20"/>
          <w:szCs w:val="20"/>
          <w:color w:val="auto"/>
        </w:rPr>
      </w:pPr>
    </w:p>
    <w:p>
      <w:pPr>
        <w:ind w:left="680" w:right="480" w:firstLine="399"/>
        <w:spacing w:after="0" w:line="264" w:lineRule="auto"/>
        <w:rPr>
          <w:sz w:val="20"/>
          <w:szCs w:val="20"/>
          <w:color w:val="auto"/>
        </w:rPr>
      </w:pPr>
      <w:r>
        <w:rPr>
          <w:rFonts w:ascii="Arial" w:cs="Arial" w:eastAsia="Arial" w:hAnsi="Arial"/>
          <w:sz w:val="13"/>
          <w:szCs w:val="13"/>
          <w:i w:val="1"/>
          <w:iCs w:val="1"/>
          <w:color w:val="auto"/>
        </w:rPr>
        <w:t xml:space="preserve">Stock options — </w:t>
      </w:r>
      <w:r>
        <w:rPr>
          <w:rFonts w:ascii="Arial" w:cs="Arial" w:eastAsia="Arial" w:hAnsi="Arial"/>
          <w:sz w:val="13"/>
          <w:szCs w:val="13"/>
          <w:color w:val="auto"/>
        </w:rPr>
        <w:t>Prior to 2005, stock options were the primary form of equity-based compensation we granted to our employees. On December 16, 2005, the Management</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and Compensation Committee of our Board of Directors approved the acceleration of the vesting of all unvested stock options awarded under our stock incentive plans effective December 28, 2005.</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stock options is presented in the table below (shares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0"/>
                <w:szCs w:val="10"/>
                <w:b w:val="1"/>
                <w:bCs w:val="1"/>
                <w:color w:val="auto"/>
                <w:w w:val="93"/>
              </w:rPr>
              <w:t>Years Ended December 31,</w:t>
            </w: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2007</w:t>
            </w: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2006</w:t>
            </w: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center"/>
              <w:ind w:right="20"/>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Average</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Average</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87"/>
              </w:rPr>
              <w:t>Exercise</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2"/>
              </w:rPr>
              <w:t>Exercise</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Shares</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Price</w:t>
            </w:r>
          </w:p>
        </w:tc>
        <w:tc>
          <w:tcPr>
            <w:tcW w:w="6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7"/>
              </w:rPr>
              <w:t>Price</w:t>
            </w:r>
          </w:p>
        </w:tc>
        <w:tc>
          <w:tcPr>
            <w:tcW w:w="6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Beginning of year</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14,620</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33,004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28.06</w:t>
            </w:r>
          </w:p>
        </w:tc>
        <w:tc>
          <w:tcPr>
            <w:tcW w:w="0" w:type="dxa"/>
            <w:vAlign w:val="bottom"/>
          </w:tcPr>
          <w:p>
            <w:pPr>
              <w:spacing w:after="0"/>
              <w:rPr>
                <w:sz w:val="1"/>
                <w:szCs w:val="1"/>
                <w:color w:val="auto"/>
              </w:rPr>
            </w:pPr>
          </w:p>
        </w:tc>
      </w:tr>
      <w:tr>
        <w:trPr>
          <w:trHeight w:val="157"/>
        </w:trPr>
        <w:tc>
          <w:tcPr>
            <w:tcW w:w="4500" w:type="dxa"/>
            <w:vAlign w:val="bottom"/>
            <w:gridSpan w:val="2"/>
          </w:tcPr>
          <w:p>
            <w:pPr>
              <w:spacing w:after="0"/>
              <w:rPr>
                <w:sz w:val="20"/>
                <w:szCs w:val="20"/>
                <w:color w:val="auto"/>
              </w:rPr>
            </w:pPr>
            <w:r>
              <w:rPr>
                <w:rFonts w:ascii="Arial" w:cs="Arial" w:eastAsia="Arial" w:hAnsi="Arial"/>
                <w:sz w:val="13"/>
                <w:szCs w:val="13"/>
                <w:color w:val="auto"/>
              </w:rPr>
              <w:t>Granted(a)</w:t>
            </w:r>
          </w:p>
        </w:tc>
        <w:tc>
          <w:tcPr>
            <w:tcW w:w="5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35.27</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38.47</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88</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37.42</w:t>
            </w:r>
          </w:p>
        </w:tc>
        <w:tc>
          <w:tcPr>
            <w:tcW w:w="0" w:type="dxa"/>
            <w:vAlign w:val="bottom"/>
          </w:tcPr>
          <w:p>
            <w:pPr>
              <w:spacing w:after="0"/>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Exercised(b)</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(1,506)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24.95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(10,820)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24.47</w:t>
            </w:r>
          </w:p>
        </w:tc>
        <w:tc>
          <w:tcPr>
            <w:tcW w:w="0" w:type="dxa"/>
            <w:vAlign w:val="bottom"/>
          </w:tcPr>
          <w:p>
            <w:pPr>
              <w:spacing w:after="0"/>
              <w:rPr>
                <w:sz w:val="1"/>
                <w:szCs w:val="1"/>
                <w:color w:val="auto"/>
              </w:rPr>
            </w:pPr>
          </w:p>
        </w:tc>
      </w:tr>
      <w:tr>
        <w:trPr>
          <w:trHeight w:val="157"/>
        </w:trPr>
        <w:tc>
          <w:tcPr>
            <w:tcW w:w="4500" w:type="dxa"/>
            <w:vAlign w:val="bottom"/>
            <w:gridSpan w:val="2"/>
          </w:tcPr>
          <w:p>
            <w:pPr>
              <w:spacing w:after="0"/>
              <w:rPr>
                <w:sz w:val="20"/>
                <w:szCs w:val="20"/>
                <w:color w:val="auto"/>
              </w:rPr>
            </w:pPr>
            <w:r>
              <w:rPr>
                <w:rFonts w:ascii="Arial" w:cs="Arial" w:eastAsia="Arial" w:hAnsi="Arial"/>
                <w:sz w:val="13"/>
                <w:szCs w:val="13"/>
                <w:color w:val="auto"/>
              </w:rPr>
              <w:t>Forfeited or expired</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(2,075)</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45.09</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(1,924)</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40.75</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(493)</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43.47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End of year(c)</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11,045</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26.97</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14,620</w:t>
            </w:r>
          </w:p>
        </w:tc>
        <w:tc>
          <w:tcPr>
            <w:tcW w:w="1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21,779</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29.52</w:t>
            </w:r>
          </w:p>
        </w:tc>
        <w:tc>
          <w:tcPr>
            <w:tcW w:w="0" w:type="dxa"/>
            <w:vAlign w:val="bottom"/>
          </w:tcPr>
          <w:p>
            <w:pPr>
              <w:spacing w:after="0"/>
              <w:rPr>
                <w:sz w:val="1"/>
                <w:szCs w:val="1"/>
                <w:color w:val="auto"/>
              </w:rPr>
            </w:pPr>
          </w:p>
        </w:tc>
      </w:tr>
      <w:tr>
        <w:trPr>
          <w:trHeight w:val="29"/>
        </w:trPr>
        <w:tc>
          <w:tcPr>
            <w:tcW w:w="4500" w:type="dxa"/>
            <w:vAlign w:val="bottom"/>
            <w:gridSpan w:val="2"/>
            <w:vMerge w:val="restart"/>
          </w:tcPr>
          <w:p>
            <w:pPr>
              <w:spacing w:after="0"/>
              <w:rPr>
                <w:sz w:val="20"/>
                <w:szCs w:val="20"/>
                <w:color w:val="auto"/>
              </w:rPr>
            </w:pPr>
            <w:r>
              <w:rPr>
                <w:rFonts w:ascii="Arial" w:cs="Arial" w:eastAsia="Arial" w:hAnsi="Arial"/>
                <w:sz w:val="13"/>
                <w:szCs w:val="13"/>
                <w:color w:val="auto"/>
              </w:rPr>
              <w:t>Exercisable, End of year</w:t>
            </w: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26.97</w:t>
            </w: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29.33</w:t>
            </w: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29.49</w:t>
            </w:r>
          </w:p>
        </w:tc>
        <w:tc>
          <w:tcPr>
            <w:tcW w:w="0" w:type="dxa"/>
            <w:vAlign w:val="bottom"/>
          </w:tcPr>
          <w:p>
            <w:pPr>
              <w:spacing w:after="0" w:line="20" w:lineRule="exact"/>
              <w:rPr>
                <w:sz w:val="1"/>
                <w:szCs w:val="1"/>
                <w:color w:val="auto"/>
              </w:rPr>
            </w:pPr>
          </w:p>
        </w:tc>
      </w:tr>
      <w:tr>
        <w:trPr>
          <w:trHeight w:val="177"/>
        </w:trPr>
        <w:tc>
          <w:tcPr>
            <w:tcW w:w="4500" w:type="dxa"/>
            <w:vAlign w:val="bottom"/>
            <w:gridSpan w:val="2"/>
            <w:vMerge w:val="continue"/>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11,044</w:t>
            </w:r>
          </w:p>
        </w:tc>
        <w:tc>
          <w:tcPr>
            <w:tcW w:w="1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14,618</w:t>
            </w:r>
          </w:p>
        </w:tc>
        <w:tc>
          <w:tcPr>
            <w:tcW w:w="10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21,694</w:t>
            </w:r>
          </w:p>
        </w:tc>
        <w:tc>
          <w:tcPr>
            <w:tcW w:w="40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00" w:hanging="313"/>
        <w:spacing w:after="0" w:line="264" w:lineRule="auto"/>
        <w:tabs>
          <w:tab w:leader="none" w:pos="10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Although we stopped granting stock options in 2005, some of our outstanding options have a reload feature that provides for the automatic grant of a new stock option when the exercise price of the existing stock option is paid using already owned shares of common stock. The new option will be for the same number of shares used as payment of the exercise price.</w:t>
      </w:r>
    </w:p>
    <w:p>
      <w:pPr>
        <w:spacing w:after="0" w:line="17" w:lineRule="exact"/>
        <w:rPr>
          <w:rFonts w:ascii="Arial" w:cs="Arial" w:eastAsia="Arial" w:hAnsi="Arial"/>
          <w:sz w:val="13"/>
          <w:szCs w:val="13"/>
          <w:color w:val="auto"/>
        </w:rPr>
      </w:pPr>
    </w:p>
    <w:p>
      <w:pPr>
        <w:ind w:left="1000" w:hanging="313"/>
        <w:spacing w:after="0"/>
        <w:tabs>
          <w:tab w:leader="none" w:pos="10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The aggregate intrinsic value of stock options exercised during the years ended December 31, 2008, 2007 and 2006 was $16 million, $62 million and $112 million, respectively.</w:t>
      </w:r>
    </w:p>
    <w:p>
      <w:pPr>
        <w:spacing w:after="0" w:line="58" w:lineRule="exact"/>
        <w:rPr>
          <w:rFonts w:ascii="Arial" w:cs="Arial" w:eastAsia="Arial" w:hAnsi="Arial"/>
          <w:sz w:val="12"/>
          <w:szCs w:val="12"/>
          <w:color w:val="auto"/>
        </w:rPr>
      </w:pPr>
    </w:p>
    <w:p>
      <w:pPr>
        <w:ind w:left="1000" w:right="380" w:hanging="313"/>
        <w:spacing w:after="0" w:line="276" w:lineRule="auto"/>
        <w:tabs>
          <w:tab w:leader="none" w:pos="1000" w:val="left"/>
        </w:tabs>
        <w:numPr>
          <w:ilvl w:val="0"/>
          <w:numId w:val="91"/>
        </w:numPr>
        <w:rPr>
          <w:rFonts w:ascii="Arial" w:cs="Arial" w:eastAsia="Arial" w:hAnsi="Arial"/>
          <w:sz w:val="13"/>
          <w:szCs w:val="13"/>
          <w:color w:val="auto"/>
        </w:rPr>
      </w:pPr>
      <w:r>
        <w:rPr>
          <w:rFonts w:ascii="Arial" w:cs="Arial" w:eastAsia="Arial" w:hAnsi="Arial"/>
          <w:sz w:val="13"/>
          <w:szCs w:val="13"/>
          <w:color w:val="auto"/>
        </w:rPr>
        <w:t>Stock options outstanding as of December 31, 2008 have a weighted average remaining contractual term of 3.5 years and an aggregate intrinsic value of $80 million based on the market value of our common stock on December 31, 2008.</w:t>
      </w:r>
    </w:p>
    <w:p>
      <w:pPr>
        <w:spacing w:after="0" w:line="59"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We received cash proceeds of $37 million, $135 million and $270 million during the years ended December 31, 2008, 2007 and 2006, respectively, from our employees’ stock option exercises. We also realized tax benefits from these stock option exercises during the years ended December 31, 2008, 2007 and 2006 of $6 million, $24 million and $42 million, respectively. These amounts have been presented as cash inflows in the “Cash flows from financing activities” section of our Consolidated Statements of Cash Flows.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Exercisable stock options at December 31, 2008, were as follows (shares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60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R</w:t>
            </w:r>
            <w:r>
              <w:rPr>
                <w:rFonts w:ascii="Arial" w:cs="Arial" w:eastAsia="Arial" w:hAnsi="Arial"/>
                <w:sz w:val="10"/>
                <w:szCs w:val="10"/>
                <w:b w:val="1"/>
                <w:bCs w:val="1"/>
                <w:color w:val="auto"/>
              </w:rPr>
              <w:t>ange of Exercise Prices</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Weighted Average</w:t>
            </w:r>
          </w:p>
        </w:tc>
        <w:tc>
          <w:tcPr>
            <w:tcW w:w="13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Weighted Average</w:t>
            </w:r>
          </w:p>
        </w:tc>
        <w:tc>
          <w:tcPr>
            <w:tcW w:w="0" w:type="dxa"/>
            <w:vAlign w:val="bottom"/>
          </w:tcPr>
          <w:p>
            <w:pPr>
              <w:spacing w:after="0"/>
              <w:rPr>
                <w:sz w:val="1"/>
                <w:szCs w:val="1"/>
                <w:color w:val="auto"/>
              </w:rPr>
            </w:pPr>
          </w:p>
        </w:tc>
      </w:tr>
      <w:tr>
        <w:trPr>
          <w:trHeight w:val="125"/>
        </w:trPr>
        <w:tc>
          <w:tcPr>
            <w:tcW w:w="6000" w:type="dxa"/>
            <w:vAlign w:val="bottom"/>
            <w:vMerge w:val="continue"/>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0"/>
                <w:szCs w:val="10"/>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Exercise Price</w:t>
            </w:r>
          </w:p>
        </w:tc>
        <w:tc>
          <w:tcPr>
            <w:tcW w:w="13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Remaining Years</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$13.31-$20.00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$20.01-$30.00</w:t>
            </w:r>
          </w:p>
        </w:tc>
        <w:tc>
          <w:tcPr>
            <w:tcW w:w="520" w:type="dxa"/>
            <w:vAlign w:val="bottom"/>
          </w:tcPr>
          <w:p>
            <w:pPr>
              <w:jc w:val="right"/>
              <w:spacing w:after="0"/>
              <w:rPr>
                <w:sz w:val="20"/>
                <w:szCs w:val="20"/>
                <w:color w:val="auto"/>
              </w:rPr>
            </w:pPr>
            <w:r>
              <w:rPr>
                <w:rFonts w:ascii="Arial" w:cs="Arial" w:eastAsia="Arial" w:hAnsi="Arial"/>
                <w:sz w:val="13"/>
                <w:szCs w:val="13"/>
                <w:color w:val="auto"/>
              </w:rPr>
              <w:t>7,887</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27.09</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$30.01-$40.00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33.20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Arial" w:cs="Arial" w:eastAsia="Arial" w:hAnsi="Arial"/>
                <w:sz w:val="13"/>
                <w:szCs w:val="13"/>
                <w:color w:val="auto"/>
              </w:rPr>
              <w:t>$40.01-$50.00</w:t>
            </w:r>
          </w:p>
        </w:tc>
        <w:tc>
          <w:tcPr>
            <w:tcW w:w="520" w:type="dxa"/>
            <w:vAlign w:val="bottom"/>
          </w:tcPr>
          <w:p>
            <w:pPr>
              <w:jc w:val="right"/>
              <w:spacing w:after="0"/>
              <w:rPr>
                <w:sz w:val="20"/>
                <w:szCs w:val="20"/>
                <w:color w:val="auto"/>
              </w:rPr>
            </w:pPr>
            <w:r>
              <w:rPr>
                <w:rFonts w:ascii="Arial" w:cs="Arial" w:eastAsia="Arial" w:hAnsi="Arial"/>
                <w:sz w:val="13"/>
                <w:szCs w:val="13"/>
                <w:color w:val="auto"/>
              </w:rPr>
              <w:t>125</w:t>
            </w: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47.11</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$50.01-$56.44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51.38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20"/>
                <w:szCs w:val="20"/>
                <w:color w:val="auto"/>
              </w:rPr>
            </w:pPr>
            <w:r>
              <w:rPr>
                <w:rFonts w:ascii="Arial" w:cs="Arial" w:eastAsia="Arial" w:hAnsi="Arial"/>
                <w:sz w:val="13"/>
                <w:szCs w:val="13"/>
                <w:color w:val="auto"/>
              </w:rPr>
              <w:t>$13.31-$56.44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11,044</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400"/>
              <w:spacing w:after="0"/>
              <w:rPr>
                <w:sz w:val="20"/>
                <w:szCs w:val="20"/>
                <w:color w:val="auto"/>
              </w:rPr>
            </w:pPr>
            <w:r>
              <w:rPr>
                <w:rFonts w:ascii="Arial" w:cs="Arial" w:eastAsia="Arial" w:hAnsi="Arial"/>
                <w:sz w:val="13"/>
                <w:szCs w:val="13"/>
                <w:color w:val="auto"/>
              </w:rPr>
              <w:t>26.97</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Non-Employee Director Plans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non-employee directors receive annual grants of shares of our common stock, payable in two equal installments, under our 2004 Stock Incentive Plan. Prior to 2008, our directors received deferred stock units and were allowed to elect to defer a portion of their cash compensation in the form of deferred stock units, which were to be paid out in shares of our common stock at the termination of board service, pursuant to our 2003 Directors’ Deferred Compensation Plan. However, in late 2007, the members of the Board of Directors each elected to receive payment of</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spacing w:after="0" w:line="264" w:lineRule="auto"/>
        <w:rPr>
          <w:sz w:val="20"/>
          <w:szCs w:val="20"/>
          <w:color w:val="auto"/>
        </w:rPr>
      </w:pPr>
      <w:r>
        <w:rPr>
          <w:rFonts w:ascii="Arial" w:cs="Arial" w:eastAsia="Arial" w:hAnsi="Arial"/>
          <w:sz w:val="13"/>
          <w:szCs w:val="13"/>
          <w:color w:val="auto"/>
        </w:rPr>
        <w:t>the shares their deferred stock units represented and recognize taxable income on such payment. The payment occurred in December 2008. The 2003 Directors’ Plan is still in effect and there currently are approximately 377,000 shares remaining available for issuance under the plan. However, it is the Company’s current intent to utilize common stock grants, which will be issued under the 2004 Stock Incentive Plan or any successor plans, for director compensation.</w:t>
      </w:r>
    </w:p>
    <w:p>
      <w:pPr>
        <w:spacing w:after="0" w:line="142" w:lineRule="exact"/>
        <w:rPr>
          <w:sz w:val="20"/>
          <w:szCs w:val="20"/>
          <w:color w:val="auto"/>
        </w:rPr>
      </w:pPr>
    </w:p>
    <w:p>
      <w:pPr>
        <w:ind w:left="1180" w:hanging="493"/>
        <w:spacing w:after="0"/>
        <w:tabs>
          <w:tab w:leader="none" w:pos="1180" w:val="left"/>
        </w:tabs>
        <w:numPr>
          <w:ilvl w:val="0"/>
          <w:numId w:val="92"/>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following table reconciles the number of common shares outstanding at December 31 of each year to the number of weighted average basic common shares outstanding and the number of weighted average diluted common shares outstanding for the purposes of calculating basic and diluted earnings per common share. The table also provides the number of shares of common stock potentially issuable at the end of each period and the number of potentially issuable shares excluded from the diluted earnings per share computation for each period (shares in millions):</w:t>
      </w:r>
    </w:p>
    <w:p>
      <w:pPr>
        <w:spacing w:after="0" w:line="7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640" w:type="dxa"/>
            <w:vAlign w:val="bottom"/>
            <w:tcBorders>
              <w:bottom w:val="single" w:sz="8" w:color="auto"/>
            </w:tcBorders>
            <w:gridSpan w:val="4"/>
          </w:tcPr>
          <w:p>
            <w:pPr>
              <w:jc w:val="center"/>
              <w:ind w:left="297"/>
              <w:spacing w:after="0"/>
              <w:rPr>
                <w:sz w:val="20"/>
                <w:szCs w:val="20"/>
                <w:color w:val="auto"/>
              </w:rPr>
            </w:pPr>
            <w:r>
              <w:rPr>
                <w:rFonts w:ascii="Arial" w:cs="Arial" w:eastAsia="Arial" w:hAnsi="Arial"/>
                <w:sz w:val="10"/>
                <w:szCs w:val="10"/>
                <w:b w:val="1"/>
                <w:bCs w:val="1"/>
                <w:color w:val="auto"/>
                <w:w w:val="93"/>
              </w:rPr>
              <w:t>Years Ended December 31,</w:t>
            </w: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900" w:type="dxa"/>
            <w:vAlign w:val="bottom"/>
          </w:tcPr>
          <w:p>
            <w:pPr>
              <w:spacing w:after="0"/>
              <w:rPr>
                <w:sz w:val="8"/>
                <w:szCs w:val="8"/>
                <w:color w:val="auto"/>
              </w:rPr>
            </w:pPr>
          </w:p>
        </w:tc>
        <w:tc>
          <w:tcPr>
            <w:tcW w:w="4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8"/>
                <w:szCs w:val="8"/>
                <w:color w:val="auto"/>
              </w:rPr>
            </w:pPr>
          </w:p>
        </w:tc>
        <w:tc>
          <w:tcPr>
            <w:tcW w:w="40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rPr>
              <w:t>2007</w:t>
            </w:r>
          </w:p>
        </w:tc>
        <w:tc>
          <w:tcPr>
            <w:tcW w:w="440" w:type="dxa"/>
            <w:vAlign w:val="bottom"/>
          </w:tcPr>
          <w:p>
            <w:pPr>
              <w:spacing w:after="0"/>
              <w:rPr>
                <w:sz w:val="8"/>
                <w:szCs w:val="8"/>
                <w:color w:val="auto"/>
              </w:rPr>
            </w:pPr>
          </w:p>
        </w:tc>
        <w:tc>
          <w:tcPr>
            <w:tcW w:w="340" w:type="dxa"/>
            <w:vAlign w:val="bottom"/>
            <w:tcBorders>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Number of common shares outstanding at year-end</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490.7</w:t>
            </w: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500.1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533.7</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1.4</w:t>
            </w:r>
          </w:p>
        </w:tc>
        <w:tc>
          <w:tcPr>
            <w:tcW w:w="3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17.2</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492.1</w:t>
            </w:r>
          </w:p>
        </w:tc>
        <w:tc>
          <w:tcPr>
            <w:tcW w:w="3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517.3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540.4</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Dilutive effect of equity-based compensation awards, warrants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3.3</w:t>
            </w:r>
          </w:p>
        </w:tc>
        <w:tc>
          <w:tcPr>
            <w:tcW w:w="3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4.5</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495.4</w:t>
            </w:r>
          </w:p>
        </w:tc>
        <w:tc>
          <w:tcPr>
            <w:tcW w:w="3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521.8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546.1</w:t>
            </w:r>
          </w:p>
        </w:tc>
        <w:tc>
          <w:tcPr>
            <w:tcW w:w="0" w:type="dxa"/>
            <w:vAlign w:val="bottom"/>
          </w:tcPr>
          <w:p>
            <w:pPr>
              <w:spacing w:after="0"/>
              <w:rPr>
                <w:sz w:val="1"/>
                <w:szCs w:val="1"/>
                <w:color w:val="auto"/>
              </w:rPr>
            </w:pPr>
          </w:p>
        </w:tc>
      </w:tr>
      <w:tr>
        <w:trPr>
          <w:trHeight w:val="29"/>
        </w:trPr>
        <w:tc>
          <w:tcPr>
            <w:tcW w:w="7900" w:type="dxa"/>
            <w:vAlign w:val="bottom"/>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15.1</w:t>
            </w:r>
          </w:p>
        </w:tc>
        <w:tc>
          <w:tcPr>
            <w:tcW w:w="3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color w:val="auto"/>
              </w:rPr>
              <w:t>18.2</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58"/>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0.8</w:t>
            </w:r>
          </w:p>
        </w:tc>
        <w:tc>
          <w:tcPr>
            <w:tcW w:w="84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180" w:hanging="493"/>
        <w:spacing w:after="0"/>
        <w:tabs>
          <w:tab w:leader="none" w:pos="1180" w:val="left"/>
        </w:tabs>
        <w:numPr>
          <w:ilvl w:val="0"/>
          <w:numId w:val="93"/>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SFAS No. 157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As of December 31, 2008, our assets and liabilities that are measured at fair value on a recurring basis include the following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6"/>
          </w:tcPr>
          <w:p>
            <w:pPr>
              <w:ind w:left="80"/>
              <w:spacing w:after="0"/>
              <w:rPr>
                <w:sz w:val="20"/>
                <w:szCs w:val="20"/>
                <w:color w:val="auto"/>
              </w:rPr>
            </w:pPr>
            <w:r>
              <w:rPr>
                <w:rFonts w:ascii="Arial" w:cs="Arial" w:eastAsia="Arial" w:hAnsi="Arial"/>
                <w:sz w:val="10"/>
                <w:szCs w:val="10"/>
                <w:b w:val="1"/>
                <w:bCs w:val="1"/>
                <w:color w:val="auto"/>
              </w:rPr>
              <w:t>Fair Value Measurements Using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rPr>
              <w:t>Quoted</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Significant</w:t>
            </w: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7"/>
              </w:rPr>
              <w:t>Significant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1"/>
              </w:rPr>
              <w:t>Prices in</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3"/>
              </w:rPr>
              <w:t>Active</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rPr>
              <w:t>Markets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3"/>
              </w:rPr>
              <w:t>Inputs</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(Level 1)</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(Level 3)</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Available-for-sale securities(a)</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2"/>
              </w:rPr>
              <w:t>365</w:t>
            </w:r>
          </w:p>
        </w:tc>
        <w:tc>
          <w:tcPr>
            <w:tcW w:w="7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365</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Foreign currency derivatives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28</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Environmental remediation recovery assets(b)</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28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9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2"/>
              </w:rPr>
              <w:t>513</w:t>
            </w:r>
          </w:p>
        </w:tc>
        <w:tc>
          <w:tcPr>
            <w:tcW w:w="7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365</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120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5"/>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Liabilities:</w:t>
            </w: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00" w:type="dxa"/>
            <w:vAlign w:val="bottom"/>
            <w:gridSpan w:val="2"/>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7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140" w:hanging="313"/>
        <w:spacing w:after="0" w:line="276" w:lineRule="auto"/>
        <w:tabs>
          <w:tab w:leader="none" w:pos="10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These assets include (i) restricted trusts and escrow accounts invested in money market mutual funds; (ii) restricted trusts and escrow accounts invested in equity-based mutual funds, which are discussed further below; and (iii) other equity securities, which are discussed further below.</w:t>
      </w:r>
    </w:p>
    <w:p>
      <w:pPr>
        <w:spacing w:after="0" w:line="10" w:lineRule="exact"/>
        <w:rPr>
          <w:rFonts w:ascii="Arial" w:cs="Arial" w:eastAsia="Arial" w:hAnsi="Arial"/>
          <w:sz w:val="13"/>
          <w:szCs w:val="13"/>
          <w:color w:val="auto"/>
        </w:rPr>
      </w:pPr>
    </w:p>
    <w:p>
      <w:pPr>
        <w:ind w:left="1000" w:right="60" w:hanging="313"/>
        <w:spacing w:after="0" w:line="260" w:lineRule="auto"/>
        <w:tabs>
          <w:tab w:leader="none" w:pos="1000" w:val="left"/>
        </w:tabs>
        <w:numPr>
          <w:ilvl w:val="0"/>
          <w:numId w:val="94"/>
        </w:numPr>
        <w:rPr>
          <w:rFonts w:ascii="Arial" w:cs="Arial" w:eastAsia="Arial" w:hAnsi="Arial"/>
          <w:sz w:val="13"/>
          <w:szCs w:val="13"/>
          <w:color w:val="auto"/>
        </w:rPr>
      </w:pPr>
      <w:r>
        <w:rPr>
          <w:rFonts w:ascii="Arial" w:cs="Arial" w:eastAsia="Arial" w:hAnsi="Arial"/>
          <w:sz w:val="13"/>
          <w:szCs w:val="13"/>
          <w:color w:val="auto"/>
        </w:rPr>
        <w:t>Changes in the fair value of these assets are generally related to (i) revisions in our estimates of the cost to remediate a site because the amounts owed by third parties are directly related to the underlying environmental remediation liabilities; (ii) receipt of funds from third parties; (iii) changes in our expectations for the recovery of the balances; (iv) the accretion of interest income; and (v) changes in the applicable discount rates due to either fluctuations in market interest rates or changes in the credit-worthiness of our counterparties. There have not been any material changes in these fair value measurements during 2008.</w:t>
      </w:r>
    </w:p>
    <w:p>
      <w:pPr>
        <w:spacing w:after="0" w:line="7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We have determined the estimated fair value amounts of our financial instruments using available market information and commonly accepted valuation methodologies. However,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December 31, 2008. These amounts have not been revalued since that date, and current estimates of fair value could differ significantly from the amounts presented.</w:t>
      </w:r>
    </w:p>
    <w:p>
      <w:pPr>
        <w:spacing w:after="0" w:line="71"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Cash and cash equivalents and available-for-sale securities are reflected at fair value in our Consolidated Financial Statements. The carrying values of trade accounts receivable, trade accounts payable and other receivables are reflected in our Consolidated Financial Statements at historical cost, which is materially representative of their fair value principally because of the short-term maturities of these instruments.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Long-term investments </w:t>
      </w:r>
      <w:r>
        <w:rPr>
          <w:rFonts w:ascii="Arial" w:cs="Arial" w:eastAsia="Arial" w:hAnsi="Arial"/>
          <w:sz w:val="13"/>
          <w:szCs w:val="13"/>
          <w:color w:val="auto"/>
        </w:rPr>
        <w:t>— The cost basis of restricted trusts and escrow accounts invested in equity-based mutual funds and other equity securities was $77 million as of</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2008 and $73 million at December 31, 2007. Unrealized holding gains and losses on these instruments are recorded as either an increase or decrease to the asset balance and deferred as a component of “Accumulated other comprehensive income” in the equity section of our Consolidated Balance Sheets. The net unrealized holding losses on these instruments, net of taxes, were $2 million as of December 31, 2008 and the net unrealized holding gains on these instruments, net of taxes, were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$5 million as of December 31, 2007. The fair value of our remaining available-for-sale securities approximates our cost basis in the investments.</w:t>
      </w:r>
    </w:p>
    <w:p>
      <w:pPr>
        <w:spacing w:after="0" w:line="96"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i w:val="1"/>
          <w:iCs w:val="1"/>
          <w:color w:val="auto"/>
        </w:rPr>
        <w:t xml:space="preserve">Debt and interest rate derivatives </w:t>
      </w:r>
      <w:r>
        <w:rPr>
          <w:rFonts w:ascii="Arial" w:cs="Arial" w:eastAsia="Arial" w:hAnsi="Arial"/>
          <w:sz w:val="12"/>
          <w:szCs w:val="12"/>
          <w:color w:val="auto"/>
        </w:rPr>
        <w:t>— At December 31, 2008 and 2007, the carrying value of our debt was approximately $8.3 billion. The carrying value includes adjustments for both</w:t>
      </w:r>
      <w:r>
        <w:rPr>
          <w:rFonts w:ascii="Arial" w:cs="Arial" w:eastAsia="Arial" w:hAnsi="Arial"/>
          <w:sz w:val="12"/>
          <w:szCs w:val="12"/>
          <w:i w:val="1"/>
          <w:iCs w:val="1"/>
          <w:color w:val="auto"/>
        </w:rPr>
        <w:t xml:space="preserve"> </w:t>
      </w:r>
      <w:r>
        <w:rPr>
          <w:rFonts w:ascii="Arial" w:cs="Arial" w:eastAsia="Arial" w:hAnsi="Arial"/>
          <w:sz w:val="12"/>
          <w:szCs w:val="12"/>
          <w:color w:val="auto"/>
        </w:rPr>
        <w:t>the unamortized fair value adjustments related to terminated hedge arrangements and fair value adjustments of debt instruments that are currently hedged. For active hedge arrangements, the fair value of the derivative is included in other current assets, other long-term assets, accrued liabilities or other long-term liabilities, as appropriate.</w:t>
      </w:r>
    </w:p>
    <w:p>
      <w:pPr>
        <w:spacing w:after="0" w:line="5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estimated fair value of our debt was approximately $7.7 billion at December 31, 2008 and approximately $8.5 billion at December 31, 2007. The estimated fair value of our senior notes is based on quoted market prices. The carrying value of remarketable debt approximates fair value due to the short-term nature of the attached interest rates. The fair value of our other debt is estimated using discounted cash flow analysis, based on rates we would currently pay for similar types of instruments. The significant decline in the fair value of our debt when comparing 2008 with 2007 is primarily related to (i) the sharp decrease in market prices for corporate debt securities in late 2008 due to the overall condition of the credit markets, which caused a substantial decrease in the fair value of our publicly-traded senior notes; and (ii) a significant increase in current market rates on fixed-rate tax-exempt bonds.</w:t>
      </w:r>
    </w:p>
    <w:p>
      <w:pPr>
        <w:spacing w:after="0" w:line="91" w:lineRule="exact"/>
        <w:rPr>
          <w:sz w:val="20"/>
          <w:szCs w:val="20"/>
          <w:color w:val="auto"/>
        </w:rPr>
      </w:pPr>
    </w:p>
    <w:p>
      <w:pPr>
        <w:ind w:left="1180" w:hanging="493"/>
        <w:spacing w:after="0"/>
        <w:tabs>
          <w:tab w:leader="none" w:pos="1180" w:val="left"/>
        </w:tabs>
        <w:numPr>
          <w:ilvl w:val="0"/>
          <w:numId w:val="95"/>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and Divestitures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continue to pursue the acquisition of businesses that are accretive to our solid waste operations and enhance and expand our existing service offerings. We have seen the greatest opportunities for realizing superior returns from tuck-in acquisitions, which are primarily the purchases of collection operations that enhance our existing route structures and are strategically located near our existing disposal operations. During the years ended December 31, 2008, 2007 and 2006 we completed several acquisitions for a cost, net of cash acquired, of $280 million, $90 million, and $32 million, respectively.</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Divestitures</w:t>
      </w:r>
    </w:p>
    <w:p>
      <w:pPr>
        <w:spacing w:after="0" w:line="96"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The aggregate sales price for divestitures of operations was $59 million in 2008, $224 million in 2007, and $184 million in 2006. The proceeds from these sales were comprised substantially of cash. We recognized net gains on these divestitures of $33 million in 2008, $59 million in 2007, and $26 million in 2006. These divestitures have been made as part of our initiative to improve or divest certain under-performing and non-strategic operations. As disclosed in Note 3, we analyze operations that have been divested in order to determine if they qualify for discontinued operations reporting. We have determined that the operations that qualify for discontinued operations accounting are not material to our Consolidated Statements of Operations for the years ended December 31, 2008, 2007 and 2006. Additional information related to our divestitures activity is included in Note 12.</w:t>
      </w:r>
    </w:p>
    <w:p>
      <w:pPr>
        <w:spacing w:after="0" w:line="91" w:lineRule="exact"/>
        <w:rPr>
          <w:sz w:val="20"/>
          <w:szCs w:val="20"/>
          <w:color w:val="auto"/>
        </w:rPr>
      </w:pPr>
    </w:p>
    <w:p>
      <w:pPr>
        <w:ind w:left="1180" w:hanging="493"/>
        <w:spacing w:after="0"/>
        <w:tabs>
          <w:tab w:leader="none" w:pos="1180" w:val="left"/>
        </w:tabs>
        <w:numPr>
          <w:ilvl w:val="0"/>
          <w:numId w:val="96"/>
        </w:numPr>
        <w:rPr>
          <w:rFonts w:ascii="Arial" w:cs="Arial" w:eastAsia="Arial" w:hAnsi="Arial"/>
          <w:sz w:val="13"/>
          <w:szCs w:val="13"/>
          <w:b w:val="1"/>
          <w:bCs w:val="1"/>
          <w:color w:val="auto"/>
        </w:rPr>
      </w:pPr>
      <w:r>
        <w:rPr>
          <w:rFonts w:ascii="Arial" w:cs="Arial" w:eastAsia="Arial" w:hAnsi="Arial"/>
          <w:sz w:val="13"/>
          <w:szCs w:val="13"/>
          <w:b w:val="1"/>
          <w:bCs w:val="1"/>
          <w:color w:val="auto"/>
        </w:rPr>
        <w:t>Variable Interest Entities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 xml:space="preserve">We have financial interests in various variable interest entities. Following is a description of all interests that we consider significant. For purposes of applying FASB Interpretation No. 46 (revised December 2003), </w:t>
      </w:r>
      <w:r>
        <w:rPr>
          <w:rFonts w:ascii="Arial" w:cs="Arial" w:eastAsia="Arial" w:hAnsi="Arial"/>
          <w:sz w:val="13"/>
          <w:szCs w:val="13"/>
          <w:i w:val="1"/>
          <w:iCs w:val="1"/>
          <w:color w:val="auto"/>
        </w:rPr>
        <w:t>Consolidation of Variable Interest Entities</w:t>
      </w:r>
      <w:r>
        <w:rPr>
          <w:rFonts w:ascii="Arial" w:cs="Arial" w:eastAsia="Arial" w:hAnsi="Arial"/>
          <w:sz w:val="13"/>
          <w:szCs w:val="13"/>
          <w:color w:val="auto"/>
        </w:rPr>
        <w:t>, we are considered the primary beneficiary of certain of these entities. Such entities have been consolidated into our financial statements as noted below.</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Consolidated variable interest entities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Waste-to-Energy LLCs </w:t>
      </w:r>
      <w:r>
        <w:rPr>
          <w:rFonts w:ascii="Arial" w:cs="Arial" w:eastAsia="Arial" w:hAnsi="Arial"/>
          <w:sz w:val="13"/>
          <w:szCs w:val="13"/>
          <w:color w:val="auto"/>
        </w:rPr>
        <w:t>— On June 30, 2000, two limited liability companies were established to purchase interests in existing leveraged lease financings at three waste-to-energy</w:t>
      </w:r>
      <w:r>
        <w:rPr>
          <w:rFonts w:ascii="Arial" w:cs="Arial" w:eastAsia="Arial" w:hAnsi="Arial"/>
          <w:sz w:val="13"/>
          <w:szCs w:val="13"/>
          <w:i w:val="1"/>
          <w:iCs w:val="1"/>
          <w:color w:val="auto"/>
        </w:rPr>
        <w:t xml:space="preserve"> </w:t>
      </w:r>
      <w:r>
        <w:rPr>
          <w:rFonts w:ascii="Arial" w:cs="Arial" w:eastAsia="Arial" w:hAnsi="Arial"/>
          <w:sz w:val="13"/>
          <w:szCs w:val="13"/>
          <w:color w:val="auto"/>
        </w:rPr>
        <w:t>facilities that we lease, operate and maintain. We own a 0.5% interest in one of the LLCs (“LLC I”) and a 0.25% interest in the second LLC (“LLC II”). John Hancock Life Insurance Company owns 99.5% of LLC I and 99.75% of LLC II is owned by LLC I and the CIT Group. In 2000, Hancock and CIT made an initial investment of $167 million in the LLCs, which was used to</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64" w:lineRule="auto"/>
        <w:rPr>
          <w:sz w:val="20"/>
          <w:szCs w:val="20"/>
          <w:color w:val="auto"/>
        </w:rPr>
      </w:pPr>
      <w:r>
        <w:rPr>
          <w:rFonts w:ascii="Arial" w:cs="Arial" w:eastAsia="Arial" w:hAnsi="Arial"/>
          <w:sz w:val="13"/>
          <w:szCs w:val="13"/>
          <w:color w:val="auto"/>
        </w:rPr>
        <w:t>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based on their respective equity interests. All capital allocations made through December 31, 2008 have been based on initial capital account balances as the target returns have not yet been achieved.</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be required under certain circumstances to make capital contributions to the LLCs based on differences between the fair market value of the facilities and defined termination values as provided for by the underlying lease agreements, although we believe the likelihood of the occurrence of these circumstances is remote.</w:t>
      </w:r>
    </w:p>
    <w:p>
      <w:pPr>
        <w:spacing w:after="0" w:line="71"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We determined that we are the primary beneficiary of the LLCs because our interest in the entities is subject to variability based on changes in the fair market value of the leased facilities, while Hancock’s and CIT’s interests are structured to provide targeted returns based on their respective initial investments. As of December 31, 2008, our Consolidated Balance Sheet includes $342 million of net property and equipment associated with the LLCs’ waste-to-energy facilities and $228 million in minority interest associated with Hancock’s and CIT’s interests in the LLCs. During the years ended December 31, 2008, 2007 and 2006, we recognized minority interest expense of $41 million, $35 million and $33 million, respectively, for Hancock’s and CIT’s interests in the LLCs’ earnings, which are largely eliminated in WMI’s consolidation.</w:t>
      </w:r>
    </w:p>
    <w:p>
      <w:pPr>
        <w:spacing w:after="0" w:line="55"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i w:val="1"/>
          <w:iCs w:val="1"/>
          <w:color w:val="auto"/>
        </w:rPr>
        <w:t xml:space="preserve">Trusts for Closure, Post-Closure or Environmental Remediation Obligations </w:t>
      </w:r>
      <w:r>
        <w:rPr>
          <w:rFonts w:ascii="Arial" w:cs="Arial" w:eastAsia="Arial" w:hAnsi="Arial"/>
          <w:sz w:val="13"/>
          <w:szCs w:val="13"/>
          <w:color w:val="auto"/>
        </w:rPr>
        <w:t>— We have determined that we are the primary beneficiary of trust funds that were created to settle</w:t>
      </w:r>
      <w:r>
        <w:rPr>
          <w:rFonts w:ascii="Arial" w:cs="Arial" w:eastAsia="Arial" w:hAnsi="Arial"/>
          <w:sz w:val="13"/>
          <w:szCs w:val="13"/>
          <w:i w:val="1"/>
          <w:iCs w:val="1"/>
          <w:color w:val="auto"/>
        </w:rPr>
        <w:t xml:space="preserve"> </w:t>
      </w:r>
      <w:r>
        <w:rPr>
          <w:rFonts w:ascii="Arial" w:cs="Arial" w:eastAsia="Arial" w:hAnsi="Arial"/>
          <w:sz w:val="13"/>
          <w:szCs w:val="13"/>
          <w:color w:val="auto"/>
        </w:rPr>
        <w:t>certain of our closure, post-closure or environmental remediation obligations. Although we are not always the sole beneficiary of these trust funds, we have determined that we are the primary beneficiary because we retain a majority of the risks and rewards associated with changes in the fair value of the assets held in trust. As the trust funds are expected to continue to meet the statutory requirements for which they were established, we do not believe that there is any material exposure to loss associated with the trusts. The consolidation of these variable interest entities has not materially affected our financial position or results of operations.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unconsolidated variable interest entities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Investments in Coal-Based Synthetic Fuel Production Facilities </w:t>
      </w:r>
      <w:r>
        <w:rPr>
          <w:rFonts w:ascii="Arial" w:cs="Arial" w:eastAsia="Arial" w:hAnsi="Arial"/>
          <w:sz w:val="13"/>
          <w:szCs w:val="13"/>
          <w:color w:val="auto"/>
        </w:rPr>
        <w:t>— As discussed in Note 8, through December 31, 2007, we owned an interest in two coal-based synthetic fuel</w:t>
      </w:r>
      <w:r>
        <w:rPr>
          <w:rFonts w:ascii="Arial" w:cs="Arial" w:eastAsia="Arial" w:hAnsi="Arial"/>
          <w:sz w:val="13"/>
          <w:szCs w:val="13"/>
          <w:i w:val="1"/>
          <w:iCs w:val="1"/>
          <w:color w:val="auto"/>
        </w:rPr>
        <w:t xml:space="preserve"> </w:t>
      </w:r>
      <w:r>
        <w:rPr>
          <w:rFonts w:ascii="Arial" w:cs="Arial" w:eastAsia="Arial" w:hAnsi="Arial"/>
          <w:sz w:val="13"/>
          <w:szCs w:val="13"/>
          <w:color w:val="auto"/>
        </w:rPr>
        <w:t>production facilities. Along with the other equity investors, we supported the operations of the entities in exchange for a pro-rata share of the tax credits generated by the facilities. Our obligation to support the facilities’ operations was, therefore, limited to the tax benefit we received. We were not the primary beneficiary of either of these entities. As such, we accounted for these investments under the equity method of accounting and did not consolidate the facilities.</w:t>
      </w:r>
    </w:p>
    <w:p>
      <w:pPr>
        <w:spacing w:after="0" w:line="105" w:lineRule="exact"/>
        <w:rPr>
          <w:sz w:val="20"/>
          <w:szCs w:val="20"/>
          <w:color w:val="auto"/>
        </w:rPr>
      </w:pPr>
    </w:p>
    <w:p>
      <w:pPr>
        <w:ind w:left="1180" w:hanging="493"/>
        <w:spacing w:after="0"/>
        <w:tabs>
          <w:tab w:leader="none" w:pos="1180" w:val="left"/>
        </w:tabs>
        <w:numPr>
          <w:ilvl w:val="0"/>
          <w:numId w:val="97"/>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We manage and evaluate our operations primarily through our Eastern, Midwest, Southern, Western, Wheelabrator and WMRA Groups. These six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residential customers throughout the United States and in Puerto Rico and Canada. The operations not managed through our six operating Groups are presented herein as “Other.”</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During the second quarter of 2008, we moved certain Canadian business operations from the Western Group to the Midwest Group to facilitate improved business execution. The prior period segment information provided in the following table has been reclassified to reflect the impact of this change to provide financial information that consistently reflects our current approach to managing our operations.</w:t>
      </w:r>
    </w:p>
    <w:p>
      <w:pPr>
        <w:spacing w:after="0" w:line="6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Summarized financial information concerning our reportable segments for the respective years ended December 31 is shown in the following table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Gross</w:t>
            </w:r>
          </w:p>
        </w:tc>
        <w:tc>
          <w:tcPr>
            <w:tcW w:w="100" w:type="dxa"/>
            <w:vAlign w:val="bottom"/>
          </w:tcPr>
          <w:p>
            <w:pPr>
              <w:spacing w:after="0"/>
              <w:rPr>
                <w:sz w:val="10"/>
                <w:szCs w:val="10"/>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7"/>
              </w:rPr>
              <w:t>Intercompany</w:t>
            </w:r>
          </w:p>
        </w:tc>
        <w:tc>
          <w:tcPr>
            <w:tcW w:w="80" w:type="dxa"/>
            <w:vAlign w:val="bottom"/>
          </w:tcPr>
          <w:p>
            <w:pPr>
              <w:spacing w:after="0"/>
              <w:rPr>
                <w:sz w:val="10"/>
                <w:szCs w:val="10"/>
                <w:color w:val="auto"/>
              </w:rPr>
            </w:pPr>
          </w:p>
        </w:tc>
        <w:tc>
          <w:tcPr>
            <w:tcW w:w="8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9"/>
              </w:rPr>
              <w:t>Net</w:t>
            </w:r>
          </w:p>
        </w:tc>
        <w:tc>
          <w:tcPr>
            <w:tcW w:w="80" w:type="dxa"/>
            <w:vAlign w:val="bottom"/>
          </w:tcPr>
          <w:p>
            <w:pPr>
              <w:spacing w:after="0"/>
              <w:rPr>
                <w:sz w:val="10"/>
                <w:szCs w:val="10"/>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Income</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Depreciation</w:t>
            </w:r>
          </w:p>
        </w:tc>
        <w:tc>
          <w:tcPr>
            <w:tcW w:w="80" w:type="dxa"/>
            <w:vAlign w:val="bottom"/>
          </w:tcPr>
          <w:p>
            <w:pPr>
              <w:spacing w:after="0"/>
              <w:rPr>
                <w:sz w:val="10"/>
                <w:szCs w:val="10"/>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5"/>
              </w:rPr>
              <w:t>Capital</w:t>
            </w:r>
          </w:p>
        </w:tc>
        <w:tc>
          <w:tcPr>
            <w:tcW w:w="100" w:type="dxa"/>
            <w:vAlign w:val="bottom"/>
          </w:tcPr>
          <w:p>
            <w:pPr>
              <w:spacing w:after="0"/>
              <w:rPr>
                <w:sz w:val="10"/>
                <w:szCs w:val="10"/>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7"/>
              </w:rPr>
              <w:t>Operating</w:t>
            </w:r>
          </w:p>
        </w:tc>
        <w:tc>
          <w:tcPr>
            <w:tcW w:w="80" w:type="dxa"/>
            <w:vAlign w:val="bottom"/>
          </w:tcPr>
          <w:p>
            <w:pPr>
              <w:spacing w:after="0"/>
              <w:rPr>
                <w:sz w:val="9"/>
                <w:szCs w:val="9"/>
                <w:color w:val="auto"/>
              </w:rPr>
            </w:pPr>
          </w:p>
        </w:tc>
        <w:tc>
          <w:tcPr>
            <w:tcW w:w="82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7"/>
              </w:rPr>
              <w:t>Operating</w:t>
            </w:r>
          </w:p>
        </w:tc>
        <w:tc>
          <w:tcPr>
            <w:tcW w:w="80" w:type="dxa"/>
            <w:vAlign w:val="bottom"/>
          </w:tcPr>
          <w:p>
            <w:pPr>
              <w:spacing w:after="0"/>
              <w:rPr>
                <w:sz w:val="9"/>
                <w:szCs w:val="9"/>
                <w:color w:val="auto"/>
              </w:rPr>
            </w:pPr>
          </w:p>
        </w:tc>
        <w:tc>
          <w:tcPr>
            <w:tcW w:w="9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4"/>
              </w:rPr>
              <w:t>Operations</w:t>
            </w:r>
          </w:p>
        </w:tc>
        <w:tc>
          <w:tcPr>
            <w:tcW w:w="80" w:type="dxa"/>
            <w:vAlign w:val="bottom"/>
          </w:tcPr>
          <w:p>
            <w:pPr>
              <w:spacing w:after="0"/>
              <w:rPr>
                <w:sz w:val="9"/>
                <w:szCs w:val="9"/>
                <w:color w:val="auto"/>
              </w:rPr>
            </w:pPr>
          </w:p>
        </w:tc>
        <w:tc>
          <w:tcPr>
            <w:tcW w:w="10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rPr>
              <w:t>and</w:t>
            </w:r>
          </w:p>
        </w:tc>
        <w:tc>
          <w:tcPr>
            <w:tcW w:w="80" w:type="dxa"/>
            <w:vAlign w:val="bottom"/>
          </w:tcPr>
          <w:p>
            <w:pPr>
              <w:spacing w:after="0"/>
              <w:rPr>
                <w:sz w:val="9"/>
                <w:szCs w:val="9"/>
                <w:color w:val="auto"/>
              </w:rPr>
            </w:pPr>
          </w:p>
        </w:tc>
        <w:tc>
          <w:tcPr>
            <w:tcW w:w="10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4"/>
              </w:rPr>
              <w:t>Expenditures</w:t>
            </w:r>
          </w:p>
        </w:tc>
        <w:tc>
          <w:tcPr>
            <w:tcW w:w="100" w:type="dxa"/>
            <w:vAlign w:val="bottom"/>
          </w:tcPr>
          <w:p>
            <w:pPr>
              <w:spacing w:after="0"/>
              <w:rPr>
                <w:sz w:val="9"/>
                <w:szCs w:val="9"/>
                <w:color w:val="auto"/>
              </w:rPr>
            </w:pPr>
          </w:p>
        </w:tc>
        <w:tc>
          <w:tcPr>
            <w:tcW w:w="580" w:type="dxa"/>
            <w:vAlign w:val="bottom"/>
            <w:gridSpan w:val="2"/>
          </w:tcPr>
          <w:p>
            <w:pPr>
              <w:jc w:val="right"/>
              <w:ind w:right="240"/>
              <w:spacing w:after="0" w:line="108" w:lineRule="exact"/>
              <w:rPr>
                <w:sz w:val="20"/>
                <w:szCs w:val="20"/>
                <w:color w:val="auto"/>
              </w:rPr>
            </w:pPr>
            <w:r>
              <w:rPr>
                <w:rFonts w:ascii="Arial" w:cs="Arial" w:eastAsia="Arial" w:hAnsi="Arial"/>
                <w:sz w:val="10"/>
                <w:szCs w:val="10"/>
                <w:b w:val="1"/>
                <w:bCs w:val="1"/>
                <w:color w:val="auto"/>
                <w:w w:val="97"/>
              </w:rPr>
              <w:t>Assets</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0"/>
              </w:rPr>
              <w:t>Revenues(c)</w:t>
            </w:r>
          </w:p>
        </w:tc>
        <w:tc>
          <w:tcPr>
            <w:tcW w:w="80" w:type="dxa"/>
            <w:vAlign w:val="bottom"/>
          </w:tcPr>
          <w:p>
            <w:pPr>
              <w:spacing w:after="0"/>
              <w:rPr>
                <w:sz w:val="10"/>
                <w:szCs w:val="10"/>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Revenues</w:t>
            </w:r>
          </w:p>
        </w:tc>
        <w:tc>
          <w:tcPr>
            <w:tcW w:w="80" w:type="dxa"/>
            <w:vAlign w:val="bottom"/>
          </w:tcPr>
          <w:p>
            <w:pPr>
              <w:spacing w:after="0"/>
              <w:rPr>
                <w:sz w:val="10"/>
                <w:szCs w:val="10"/>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8"/>
              </w:rPr>
              <w:t>(d), (e)</w:t>
            </w:r>
          </w:p>
        </w:tc>
        <w:tc>
          <w:tcPr>
            <w:tcW w:w="80" w:type="dxa"/>
            <w:vAlign w:val="bottom"/>
          </w:tcPr>
          <w:p>
            <w:pPr>
              <w:spacing w:after="0"/>
              <w:rPr>
                <w:sz w:val="10"/>
                <w:szCs w:val="1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8"/>
              </w:rPr>
              <w:t>Amortization</w:t>
            </w:r>
          </w:p>
        </w:tc>
        <w:tc>
          <w:tcPr>
            <w:tcW w:w="8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(f), (g)</w:t>
            </w:r>
          </w:p>
        </w:tc>
        <w:tc>
          <w:tcPr>
            <w:tcW w:w="10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(h), (i)</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1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3,182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(596)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2,586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274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4,278</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3,117</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(471)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2,646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463</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4,538</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3,667</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(491)</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3,176</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863</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291</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3,114</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3,300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(425)</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2,875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601</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233</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3,628</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912</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(92)</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820</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323</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2,359</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WMRA</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1,014</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995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Other(a)</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330</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290</w:t>
            </w: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738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15,522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(2,134)</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13,388</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2,745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1,191</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1,317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19,134</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Corporate and Other(b)</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(511)</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1,676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15,522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(2,134)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13,388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1,238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20,810</w:t>
            </w:r>
          </w:p>
        </w:tc>
        <w:tc>
          <w:tcPr>
            <w:tcW w:w="0" w:type="dxa"/>
            <w:vAlign w:val="bottom"/>
          </w:tcPr>
          <w:p>
            <w:pPr>
              <w:spacing w:after="0"/>
              <w:rPr>
                <w:sz w:val="1"/>
                <w:szCs w:val="1"/>
                <w:color w:val="auto"/>
              </w:rPr>
            </w:pPr>
          </w:p>
        </w:tc>
      </w:tr>
      <w:tr>
        <w:trPr>
          <w:trHeight w:val="166"/>
        </w:trPr>
        <w:tc>
          <w:tcPr>
            <w:tcW w:w="1300" w:type="dxa"/>
            <w:vAlign w:val="bottom"/>
          </w:tcPr>
          <w:p>
            <w:pPr>
              <w:spacing w:after="0"/>
              <w:rPr>
                <w:sz w:val="20"/>
                <w:szCs w:val="20"/>
                <w:color w:val="auto"/>
              </w:rPr>
            </w:pPr>
            <w:r>
              <w:rPr>
                <w:rFonts w:ascii="Arial" w:cs="Arial" w:eastAsia="Arial" w:hAnsi="Arial"/>
                <w:sz w:val="13"/>
                <w:szCs w:val="13"/>
                <w:b w:val="1"/>
                <w:bCs w:val="1"/>
                <w:color w:val="auto"/>
              </w:rPr>
              <w:t>2007</w:t>
            </w:r>
          </w:p>
        </w:tc>
        <w:tc>
          <w:tcPr>
            <w:tcW w:w="18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Eastern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3,281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(631)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4,279</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Midwest</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3,141</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(498)</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2,643</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502</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297</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4,813</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Southern</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3,681</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(540)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3,141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816</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298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3,105</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Western</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3,350</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(438)</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2,912</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604</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228</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220</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3,533</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Wheelabrator</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868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797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2,399</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WMRA</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953</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932</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Other(a)</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(72)</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15,581</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(2,271)</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13,310</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2,772</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1,205</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19,360</w:t>
            </w:r>
          </w:p>
        </w:tc>
        <w:tc>
          <w:tcPr>
            <w:tcW w:w="0" w:type="dxa"/>
            <w:vAlign w:val="bottom"/>
          </w:tcPr>
          <w:p>
            <w:pPr>
              <w:spacing w:after="0"/>
              <w:rPr>
                <w:sz w:val="1"/>
                <w:szCs w:val="1"/>
                <w:color w:val="auto"/>
              </w:rPr>
            </w:pPr>
          </w:p>
        </w:tc>
      </w:tr>
      <w:tr>
        <w:trPr>
          <w:trHeight w:val="158"/>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Corporate and Other(b)</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(518)</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1,472</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20" w:type="dxa"/>
            <w:vAlign w:val="bottom"/>
            <w:gridSpan w:val="2"/>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15,581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(2,271)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13,310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2,254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1,259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1,144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20,832</w:t>
            </w:r>
          </w:p>
        </w:tc>
        <w:tc>
          <w:tcPr>
            <w:tcW w:w="0" w:type="dxa"/>
            <w:vAlign w:val="bottom"/>
          </w:tcPr>
          <w:p>
            <w:pPr>
              <w:spacing w:after="0"/>
              <w:rPr>
                <w:sz w:val="1"/>
                <w:szCs w:val="1"/>
                <w:color w:val="auto"/>
              </w:rPr>
            </w:pPr>
          </w:p>
        </w:tc>
      </w:tr>
      <w:tr>
        <w:trPr>
          <w:trHeight w:val="165"/>
        </w:trPr>
        <w:tc>
          <w:tcPr>
            <w:tcW w:w="1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82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Eastern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3,614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(739)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2,875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322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274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4,386</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Midwest</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3,141</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(521)</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2,620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455</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307</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321</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4,587</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Southern</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3,759</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(568)</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3,191</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804</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302</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302</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3,156</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Western</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3,373</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(460)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2,913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620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238</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3,517</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Wheelabrator</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831</w:t>
            </w:r>
          </w:p>
        </w:tc>
        <w:tc>
          <w:tcPr>
            <w:tcW w:w="8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2,453</w:t>
            </w:r>
          </w:p>
        </w:tc>
        <w:tc>
          <w:tcPr>
            <w:tcW w:w="0" w:type="dxa"/>
            <w:vAlign w:val="bottom"/>
          </w:tcPr>
          <w:p>
            <w:pPr>
              <w:spacing w:after="0"/>
              <w:rPr>
                <w:sz w:val="1"/>
                <w:szCs w:val="1"/>
                <w:color w:val="auto"/>
              </w:rPr>
            </w:pPr>
          </w:p>
        </w:tc>
      </w:tr>
      <w:tr>
        <w:trPr>
          <w:trHeight w:val="157"/>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WMRA</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740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720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Other(a)</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213</w:t>
            </w: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619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15,812</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(2,449)</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13,363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2,574</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1,256</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1,314</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19,167</w:t>
            </w:r>
          </w:p>
        </w:tc>
        <w:tc>
          <w:tcPr>
            <w:tcW w:w="0" w:type="dxa"/>
            <w:vAlign w:val="bottom"/>
          </w:tcPr>
          <w:p>
            <w:pPr>
              <w:spacing w:after="0"/>
              <w:rPr>
                <w:sz w:val="1"/>
                <w:szCs w:val="1"/>
                <w:color w:val="auto"/>
              </w:rPr>
            </w:pPr>
          </w:p>
        </w:tc>
      </w:tr>
      <w:tr>
        <w:trPr>
          <w:trHeight w:val="157"/>
        </w:trPr>
        <w:tc>
          <w:tcPr>
            <w:tcW w:w="3120" w:type="dxa"/>
            <w:vAlign w:val="bottom"/>
            <w:gridSpan w:val="2"/>
          </w:tcPr>
          <w:p>
            <w:pPr>
              <w:spacing w:after="0"/>
              <w:rPr>
                <w:sz w:val="20"/>
                <w:szCs w:val="20"/>
                <w:color w:val="auto"/>
              </w:rPr>
            </w:pPr>
            <w:r>
              <w:rPr>
                <w:rFonts w:ascii="Arial" w:cs="Arial" w:eastAsia="Arial" w:hAnsi="Arial"/>
                <w:sz w:val="13"/>
                <w:szCs w:val="13"/>
                <w:color w:val="auto"/>
              </w:rPr>
              <w:t>Corporate and Other(b)</w:t>
            </w:r>
          </w:p>
        </w:tc>
        <w:tc>
          <w:tcPr>
            <w:tcW w:w="6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(545)</w:t>
            </w:r>
          </w:p>
        </w:tc>
        <w:tc>
          <w:tcPr>
            <w:tcW w:w="8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2,015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15,812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(2,449)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13,363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2,029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1,334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21,182</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80" w:hanging="313"/>
        <w:spacing w:after="0" w:line="276" w:lineRule="auto"/>
        <w:tabs>
          <w:tab w:leader="none" w:pos="1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Our “Other” net operating revenues and “Other” income from operations include (i) the effects of those elements of our in-plant services, methane gas recovery and third-party sub-contract and administration revenues managed by our Upstream, Renewable Energy and National Accounts organizations that are not</w:t>
      </w: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00" w:right="80"/>
        <w:spacing w:after="0" w:line="289" w:lineRule="auto"/>
        <w:rPr>
          <w:sz w:val="20"/>
          <w:szCs w:val="20"/>
          <w:color w:val="auto"/>
        </w:rPr>
      </w:pPr>
      <w:r>
        <w:rPr>
          <w:rFonts w:ascii="Arial" w:cs="Arial" w:eastAsia="Arial" w:hAnsi="Arial"/>
          <w:sz w:val="12"/>
          <w:szCs w:val="12"/>
          <w:color w:val="auto"/>
        </w:rPr>
        <w:t>included with the operations of our reportable segments; and (ii) the impacts of investments that we are making in expanded service offerings such as portable self-storage, fluorescent lamp recycling and healthcare solutions. In addition, our “Other” income from operations reflects the impacts of (i) non-operating entities that provide financial assurance and self-insurance support for the operating Groups or financing for our Canadian operations; and (ii) certain year-end adjustments recorded in consolidation related to the reportable segments that were not included in the measure of segment profit or loss used to assess their performance for the periods disclosed.</w:t>
      </w:r>
    </w:p>
    <w:p>
      <w:pPr>
        <w:spacing w:after="0" w:line="4" w:lineRule="exact"/>
        <w:rPr>
          <w:sz w:val="20"/>
          <w:szCs w:val="20"/>
          <w:color w:val="auto"/>
        </w:rPr>
      </w:pPr>
    </w:p>
    <w:p>
      <w:pPr>
        <w:ind w:left="1000" w:right="40" w:hanging="313"/>
        <w:spacing w:after="0" w:line="260" w:lineRule="auto"/>
        <w:tabs>
          <w:tab w:leader="none" w:pos="10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Corporate operating results reflect the costs incurred for various support services that are not allocated to our six operating Groups.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managing our international and non-solid waste divested operations, which primarily includes administrative expenses and the impact of revisions to our estimated obligations.</w:t>
      </w:r>
    </w:p>
    <w:p>
      <w:pPr>
        <w:spacing w:after="0" w:line="20" w:lineRule="exact"/>
        <w:rPr>
          <w:rFonts w:ascii="Arial" w:cs="Arial" w:eastAsia="Arial" w:hAnsi="Arial"/>
          <w:sz w:val="13"/>
          <w:szCs w:val="13"/>
          <w:color w:val="auto"/>
        </w:rPr>
      </w:pPr>
    </w:p>
    <w:p>
      <w:pPr>
        <w:ind w:left="1000" w:right="360" w:hanging="313"/>
        <w:spacing w:after="0" w:line="276" w:lineRule="auto"/>
        <w:tabs>
          <w:tab w:leader="none" w:pos="10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0" w:lineRule="exact"/>
        <w:rPr>
          <w:rFonts w:ascii="Arial" w:cs="Arial" w:eastAsia="Arial" w:hAnsi="Arial"/>
          <w:sz w:val="13"/>
          <w:szCs w:val="13"/>
          <w:color w:val="auto"/>
        </w:rPr>
      </w:pPr>
    </w:p>
    <w:p>
      <w:pPr>
        <w:ind w:left="1000" w:hanging="313"/>
        <w:spacing w:after="0"/>
        <w:tabs>
          <w:tab w:leader="none" w:pos="10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For those items included in the determination of income from operations, the accounting policies of the segments are the same as those described in Note 3.</w:t>
      </w:r>
    </w:p>
    <w:p>
      <w:pPr>
        <w:spacing w:after="0" w:line="47" w:lineRule="exact"/>
        <w:rPr>
          <w:rFonts w:ascii="Arial" w:cs="Arial" w:eastAsia="Arial" w:hAnsi="Arial"/>
          <w:sz w:val="13"/>
          <w:szCs w:val="13"/>
          <w:color w:val="auto"/>
        </w:rPr>
      </w:pPr>
    </w:p>
    <w:p>
      <w:pPr>
        <w:ind w:left="1000" w:right="20" w:hanging="313"/>
        <w:spacing w:after="0" w:line="281" w:lineRule="auto"/>
        <w:tabs>
          <w:tab w:leader="none" w:pos="10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regions in which our facilities are concentrated. Income from operations provided by our WMRA segment generally reflects operating margins typical of the recycling industry, which tend to be significantly lower than those provided by our base business and subject to increased variability due to the impacts of commodity prices. From time to time the operating results of our reportable segments are significantly affected by unusual or infrequent transactions or events. Refer to Note 11 and Note 12 for an explanation of transactions and events affecting the operating results of our reportable segments.</w:t>
      </w:r>
    </w:p>
    <w:p>
      <w:pPr>
        <w:spacing w:after="0" w:line="19" w:lineRule="exact"/>
        <w:rPr>
          <w:rFonts w:ascii="Arial" w:cs="Arial" w:eastAsia="Arial" w:hAnsi="Arial"/>
          <w:sz w:val="12"/>
          <w:szCs w:val="12"/>
          <w:color w:val="auto"/>
        </w:rPr>
      </w:pPr>
    </w:p>
    <w:p>
      <w:pPr>
        <w:ind w:left="1000" w:right="220" w:hanging="313"/>
        <w:spacing w:after="0" w:line="276" w:lineRule="auto"/>
        <w:tabs>
          <w:tab w:leader="none" w:pos="10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Includes non-cash items. Capital expenditures are reported in our operating segments at the time they are recorded within the segments’ property, plant and equipment balances and, therefore, may include amounts that have been accrued but not yet paid.</w:t>
      </w:r>
    </w:p>
    <w:p>
      <w:pPr>
        <w:spacing w:after="0" w:line="19" w:lineRule="exact"/>
        <w:rPr>
          <w:rFonts w:ascii="Arial" w:cs="Arial" w:eastAsia="Arial" w:hAnsi="Arial"/>
          <w:sz w:val="13"/>
          <w:szCs w:val="13"/>
          <w:color w:val="auto"/>
        </w:rPr>
      </w:pPr>
    </w:p>
    <w:p>
      <w:pPr>
        <w:ind w:left="1000" w:hanging="313"/>
        <w:spacing w:after="0" w:line="258" w:lineRule="auto"/>
        <w:tabs>
          <w:tab w:leader="none" w:pos="10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Because of the length of time inherent in certain fleet purchases, our Corporate and Other segment initiates certain fleet-related purchases on behalf of our operating segments. The related capital expenditures are recorded in our Corporate and Other segment until the time at which the fleet items are delivered to our operating groups. Once delivery occurs, the total cost of the items received are reported as capital expenditures in our operating groups with an offset for the costs previously reported by the Corporate and Other segment. In 2007, the quantity of fleet purchases previously reported by the Corporate and Other segment that were delivered to our operating groups more than offset the quantity of new fleet purchases initiated by our Corporate and Other segment.</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07" w:lineRule="exact"/>
        <w:rPr>
          <w:sz w:val="20"/>
          <w:szCs w:val="20"/>
          <w:color w:val="auto"/>
        </w:rPr>
      </w:pPr>
    </w:p>
    <w:p>
      <w:pPr>
        <w:ind w:left="1000" w:hanging="313"/>
        <w:spacing w:after="0"/>
        <w:tabs>
          <w:tab w:leader="none" w:pos="100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reconciliation of total assets reported above to “Total assets” in the Consolidated Balance Sheets is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0"/>
                <w:szCs w:val="10"/>
                <w:b w:val="1"/>
                <w:bCs w:val="1"/>
                <w:color w:val="auto"/>
                <w:w w:val="95"/>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assets, as reported above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20,810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20,832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21,182</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Elimination of intercompany investments and advances</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(583)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(657)</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(582)</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 per Consolidated Balance Sheets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20,227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20,175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20,600</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50" w:lineRule="exact"/>
        <w:rPr>
          <w:sz w:val="20"/>
          <w:szCs w:val="20"/>
          <w:color w:val="auto"/>
        </w:rPr>
      </w:pPr>
    </w:p>
    <w:p>
      <w:pPr>
        <w:ind w:left="900" w:right="820" w:hanging="213"/>
        <w:spacing w:after="0" w:line="305" w:lineRule="auto"/>
        <w:tabs>
          <w:tab w:leader="none" w:pos="90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Goodwill is included within each Group’s total assets. During the second quarter of 2008, we moved certain Canadian business operations from the Western Group to the Midwest Group to facilitate improved business execution. This realignment resulted in a reallocation of goodwill among our segments. The following table shows changes in goodwill during 2007 and</w:t>
      </w:r>
    </w:p>
    <w:p>
      <w:pPr>
        <w:ind w:left="900"/>
        <w:spacing w:after="0"/>
        <w:rPr>
          <w:rFonts w:ascii="Arial" w:cs="Arial" w:eastAsia="Arial" w:hAnsi="Arial"/>
          <w:sz w:val="11"/>
          <w:szCs w:val="11"/>
          <w:color w:val="auto"/>
        </w:rPr>
      </w:pPr>
      <w:r>
        <w:rPr>
          <w:rFonts w:ascii="Arial" w:cs="Arial" w:eastAsia="Arial" w:hAnsi="Arial"/>
          <w:sz w:val="13"/>
          <w:szCs w:val="13"/>
          <w:color w:val="auto"/>
        </w:rPr>
        <w:t>2008 by reportable segment on a realigned basis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2"/>
              </w:rPr>
              <w:t>Eastern</w:t>
            </w:r>
          </w:p>
        </w:tc>
        <w:tc>
          <w:tcPr>
            <w:tcW w:w="160" w:type="dxa"/>
            <w:vAlign w:val="bottom"/>
          </w:tcPr>
          <w:p>
            <w:pPr>
              <w:spacing w:after="0"/>
              <w:rPr>
                <w:sz w:val="10"/>
                <w:szCs w:val="1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6"/>
              </w:rPr>
              <w:t>Midwest</w:t>
            </w:r>
          </w:p>
        </w:tc>
        <w:tc>
          <w:tcPr>
            <w:tcW w:w="80" w:type="dxa"/>
            <w:vAlign w:val="bottom"/>
          </w:tcPr>
          <w:p>
            <w:pPr>
              <w:spacing w:after="0"/>
              <w:rPr>
                <w:sz w:val="10"/>
                <w:szCs w:val="1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95"/>
              </w:rPr>
              <w:t>Southern</w:t>
            </w:r>
          </w:p>
        </w:tc>
        <w:tc>
          <w:tcPr>
            <w:tcW w:w="68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Western</w:t>
            </w:r>
          </w:p>
        </w:tc>
        <w:tc>
          <w:tcPr>
            <w:tcW w:w="100" w:type="dxa"/>
            <w:vAlign w:val="bottom"/>
          </w:tcPr>
          <w:p>
            <w:pPr>
              <w:spacing w:after="0"/>
              <w:rPr>
                <w:sz w:val="10"/>
                <w:szCs w:val="10"/>
                <w:color w:val="auto"/>
              </w:rPr>
            </w:pPr>
          </w:p>
        </w:tc>
        <w:tc>
          <w:tcPr>
            <w:tcW w:w="1000" w:type="dxa"/>
            <w:vAlign w:val="bottom"/>
            <w:gridSpan w:val="5"/>
          </w:tcPr>
          <w:p>
            <w:pPr>
              <w:ind w:left="40"/>
              <w:spacing w:after="0"/>
              <w:rPr>
                <w:sz w:val="20"/>
                <w:szCs w:val="20"/>
                <w:color w:val="auto"/>
              </w:rPr>
            </w:pPr>
            <w:r>
              <w:rPr>
                <w:rFonts w:ascii="Arial" w:cs="Arial" w:eastAsia="Arial" w:hAnsi="Arial"/>
                <w:sz w:val="10"/>
                <w:szCs w:val="10"/>
                <w:b w:val="1"/>
                <w:bCs w:val="1"/>
                <w:color w:val="auto"/>
              </w:rPr>
              <w:t>Wheelabrator</w:t>
            </w:r>
          </w:p>
        </w:tc>
        <w:tc>
          <w:tcPr>
            <w:tcW w:w="68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rPr>
              <w:t>WMRA</w:t>
            </w:r>
          </w:p>
        </w:tc>
        <w:tc>
          <w:tcPr>
            <w:tcW w:w="400" w:type="dxa"/>
            <w:vAlign w:val="bottom"/>
            <w:gridSpan w:val="3"/>
          </w:tcPr>
          <w:p>
            <w:pPr>
              <w:ind w:left="20"/>
              <w:spacing w:after="0"/>
              <w:rPr>
                <w:sz w:val="20"/>
                <w:szCs w:val="20"/>
                <w:color w:val="auto"/>
              </w:rPr>
            </w:pPr>
            <w:r>
              <w:rPr>
                <w:rFonts w:ascii="Arial" w:cs="Arial" w:eastAsia="Arial" w:hAnsi="Arial"/>
                <w:sz w:val="10"/>
                <w:szCs w:val="10"/>
                <w:b w:val="1"/>
                <w:bCs w:val="1"/>
                <w:color w:val="auto"/>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1,462</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1,253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568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1,115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Acquired goodwill</w:t>
            </w:r>
          </w:p>
        </w:tc>
        <w:tc>
          <w:tcPr>
            <w:tcW w:w="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Divested goodwill, net of assets held-for-sale</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w:t>
            </w:r>
          </w:p>
        </w:tc>
        <w:tc>
          <w:tcPr>
            <w:tcW w:w="16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Translation adjustments</w:t>
            </w:r>
          </w:p>
        </w:tc>
        <w:tc>
          <w:tcPr>
            <w:tcW w:w="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1,471</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1,304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581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1,148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Acquired goodwill</w:t>
            </w:r>
          </w:p>
        </w:tc>
        <w:tc>
          <w:tcPr>
            <w:tcW w:w="6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Divested goodwill, net of assets held-for-sale</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w:t>
            </w:r>
          </w:p>
        </w:tc>
        <w:tc>
          <w:tcPr>
            <w:tcW w:w="16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Translation and other adjustments</w:t>
            </w:r>
          </w:p>
        </w:tc>
        <w:tc>
          <w:tcPr>
            <w:tcW w:w="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Balance, December 31, 2008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1,470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1,270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586</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1,189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4"/>
        </w:trPr>
        <w:tc>
          <w:tcPr>
            <w:tcW w:w="680" w:type="dxa"/>
            <w:vAlign w:val="bottom"/>
          </w:tcPr>
          <w:p>
            <w:pPr>
              <w:spacing w:after="0"/>
              <w:rPr>
                <w:sz w:val="24"/>
                <w:szCs w:val="24"/>
                <w:color w:val="auto"/>
              </w:rPr>
            </w:pPr>
          </w:p>
        </w:tc>
        <w:tc>
          <w:tcPr>
            <w:tcW w:w="4840" w:type="dxa"/>
            <w:vAlign w:val="bottom"/>
            <w:gridSpan w:val="4"/>
          </w:tcPr>
          <w:p>
            <w:pPr>
              <w:ind w:left="400"/>
              <w:spacing w:after="0"/>
              <w:rPr>
                <w:sz w:val="20"/>
                <w:szCs w:val="20"/>
                <w:color w:val="auto"/>
              </w:rPr>
            </w:pPr>
            <w:r>
              <w:rPr>
                <w:rFonts w:ascii="Arial" w:cs="Arial" w:eastAsia="Arial" w:hAnsi="Arial"/>
                <w:sz w:val="13"/>
                <w:szCs w:val="13"/>
                <w:color w:val="auto"/>
                <w:w w:val="93"/>
              </w:rPr>
              <w:t>The table below shows the total revenues by principal line of business (in millions):</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9"/>
          </w:tcPr>
          <w:p>
            <w:pPr>
              <w:ind w:left="100"/>
              <w:spacing w:after="0"/>
              <w:rPr>
                <w:sz w:val="20"/>
                <w:szCs w:val="20"/>
                <w:color w:val="auto"/>
              </w:rPr>
            </w:pPr>
            <w:r>
              <w:rPr>
                <w:rFonts w:ascii="Arial" w:cs="Arial" w:eastAsia="Arial" w:hAnsi="Arial"/>
                <w:sz w:val="10"/>
                <w:szCs w:val="10"/>
                <w:b w:val="1"/>
                <w:bCs w:val="1"/>
                <w:color w:val="auto"/>
                <w:w w:val="99"/>
              </w:rPr>
              <w:t>Years Ended December 31,</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jc w:val="right"/>
              <w:ind w:right="180"/>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8,679</w:t>
            </w:r>
          </w:p>
        </w:tc>
        <w:tc>
          <w:tcPr>
            <w:tcW w:w="2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8,714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Landfill</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3"/>
                <w:szCs w:val="13"/>
                <w:color w:val="auto"/>
              </w:rPr>
              <w:t>2,955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3,047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3,197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1,589</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1,654</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Wheelabrator</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3"/>
                <w:szCs w:val="13"/>
                <w:color w:val="auto"/>
              </w:rPr>
              <w:t>912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868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902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Recycling(a)</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1,180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1,135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Other(b)</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3"/>
                <w:szCs w:val="13"/>
                <w:color w:val="auto"/>
              </w:rPr>
              <w:t>207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163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169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3"/>
                <w:szCs w:val="13"/>
                <w:color w:val="auto"/>
              </w:rPr>
              <w:t>Intercompany(c)</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(2,134)</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30"/>
              <w:spacing w:after="0"/>
              <w:rPr>
                <w:sz w:val="20"/>
                <w:szCs w:val="20"/>
                <w:color w:val="auto"/>
              </w:rPr>
            </w:pPr>
            <w:r>
              <w:rPr>
                <w:rFonts w:ascii="Arial" w:cs="Arial" w:eastAsia="Arial" w:hAnsi="Arial"/>
                <w:sz w:val="13"/>
                <w:szCs w:val="13"/>
                <w:color w:val="auto"/>
              </w:rPr>
              <w:t>(2,271)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20" w:type="dxa"/>
            <w:vAlign w:val="bottom"/>
            <w:vMerge w:val="restart"/>
          </w:tcPr>
          <w:p>
            <w:pPr>
              <w:spacing w:after="0"/>
              <w:rPr>
                <w:sz w:val="20"/>
                <w:szCs w:val="20"/>
                <w:color w:val="auto"/>
              </w:rPr>
            </w:pPr>
            <w:r>
              <w:rPr>
                <w:rFonts w:ascii="Arial" w:cs="Arial" w:eastAsia="Arial" w:hAnsi="Arial"/>
                <w:sz w:val="13"/>
                <w:szCs w:val="13"/>
                <w:color w:val="auto"/>
              </w:rPr>
              <w:t>Operating revenues</w:t>
            </w: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48"/>
              <w:spacing w:after="0"/>
              <w:rPr>
                <w:sz w:val="20"/>
                <w:szCs w:val="20"/>
                <w:color w:val="auto"/>
              </w:rPr>
            </w:pPr>
            <w:r>
              <w:rPr>
                <w:rFonts w:ascii="Arial" w:cs="Arial" w:eastAsia="Arial" w:hAnsi="Arial"/>
                <w:sz w:val="13"/>
                <w:szCs w:val="13"/>
                <w:color w:val="auto"/>
              </w:rPr>
              <w:t>13,388</w:t>
            </w:r>
          </w:p>
        </w:tc>
        <w:tc>
          <w:tcPr>
            <w:tcW w:w="20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13,310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13,363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96"/>
              <w:spacing w:after="0"/>
              <w:rPr>
                <w:sz w:val="20"/>
                <w:szCs w:val="20"/>
                <w:color w:val="auto"/>
              </w:rPr>
            </w:pPr>
            <w:r>
              <w:rPr>
                <w:rFonts w:ascii="Arial" w:cs="Arial" w:eastAsia="Arial" w:hAnsi="Arial"/>
                <w:sz w:val="13"/>
                <w:szCs w:val="13"/>
                <w:color w:val="auto"/>
              </w:rPr>
              <w:t>107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175260</wp:posOffset>
            </wp:positionV>
            <wp:extent cx="82359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306" w:lineRule="exact"/>
        <w:rPr>
          <w:sz w:val="20"/>
          <w:szCs w:val="20"/>
          <w:color w:val="auto"/>
        </w:rPr>
      </w:pPr>
    </w:p>
    <w:p>
      <w:pPr>
        <w:ind w:left="1000" w:hanging="313"/>
        <w:spacing w:after="0"/>
        <w:tabs>
          <w:tab w:leader="none" w:pos="100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In addition to the revenue generated by WMRA, we have included recycling services generated within our four geographic operating Groups in the “Recycling” line-of-business.</w:t>
      </w:r>
    </w:p>
    <w:p>
      <w:pPr>
        <w:spacing w:after="0" w:line="56" w:lineRule="exact"/>
        <w:rPr>
          <w:rFonts w:ascii="Arial" w:cs="Arial" w:eastAsia="Arial" w:hAnsi="Arial"/>
          <w:sz w:val="12"/>
          <w:szCs w:val="12"/>
          <w:color w:val="auto"/>
        </w:rPr>
      </w:pPr>
    </w:p>
    <w:p>
      <w:pPr>
        <w:ind w:left="1000" w:right="40" w:hanging="313"/>
        <w:spacing w:after="0" w:line="280" w:lineRule="auto"/>
        <w:tabs>
          <w:tab w:leader="none" w:pos="10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The “Other” line-of-business includes in-plant services, methane gas recovery operations, Port-O-Let</w:t>
      </w:r>
      <w:r>
        <w:rPr>
          <w:rFonts w:ascii="Arial" w:cs="Arial" w:eastAsia="Arial" w:hAnsi="Arial"/>
          <w:sz w:val="11"/>
          <w:szCs w:val="11"/>
          <w:color w:val="auto"/>
        </w:rPr>
        <w:t>®</w:t>
      </w:r>
      <w:r>
        <w:rPr>
          <w:rFonts w:ascii="Arial" w:cs="Arial" w:eastAsia="Arial" w:hAnsi="Arial"/>
          <w:sz w:val="13"/>
          <w:szCs w:val="13"/>
          <w:color w:val="auto"/>
        </w:rPr>
        <w:t xml:space="preserve"> services, portable self-storage, fluorescent lamp recycling, street and parking lot sweeping services and healthcare solutions services.</w:t>
      </w:r>
    </w:p>
    <w:p>
      <w:pPr>
        <w:spacing w:after="0" w:line="7" w:lineRule="exact"/>
        <w:rPr>
          <w:rFonts w:ascii="Arial" w:cs="Arial" w:eastAsia="Arial" w:hAnsi="Arial"/>
          <w:sz w:val="13"/>
          <w:szCs w:val="13"/>
          <w:color w:val="auto"/>
        </w:rPr>
      </w:pPr>
    </w:p>
    <w:p>
      <w:pPr>
        <w:ind w:left="1000" w:hanging="313"/>
        <w:spacing w:after="0"/>
        <w:tabs>
          <w:tab w:leader="none" w:pos="10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Intercompany revenues between lines of business are eliminated within the Consolidated Financial Statements included herein.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operating revenues relating to operations in the United States and Puerto Rico, as well as Canada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0"/>
                <w:szCs w:val="10"/>
                <w:b w:val="1"/>
                <w:bCs w:val="1"/>
                <w:color w:val="auto"/>
                <w:w w:val="93"/>
              </w:rPr>
              <w:t>Years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jc w:val="right"/>
              <w:ind w:right="5654"/>
              <w:spacing w:after="0"/>
              <w:rPr>
                <w:sz w:val="20"/>
                <w:szCs w:val="20"/>
                <w:color w:val="auto"/>
              </w:rPr>
            </w:pPr>
            <w:r>
              <w:rPr>
                <w:rFonts w:ascii="Arial" w:cs="Arial" w:eastAsia="Arial" w:hAnsi="Arial"/>
                <w:sz w:val="13"/>
                <w:szCs w:val="13"/>
                <w:color w:val="auto"/>
                <w:w w:val="89"/>
              </w:rPr>
              <w:t>United States and Puerto Rico</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12,621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12,566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12,674</w:t>
            </w:r>
          </w:p>
        </w:tc>
      </w:tr>
      <w:tr>
        <w:trPr>
          <w:trHeight w:val="157"/>
        </w:trPr>
        <w:tc>
          <w:tcPr>
            <w:tcW w:w="7300" w:type="dxa"/>
            <w:vAlign w:val="bottom"/>
          </w:tcPr>
          <w:p>
            <w:pPr>
              <w:jc w:val="right"/>
              <w:ind w:right="6834"/>
              <w:spacing w:after="0"/>
              <w:rPr>
                <w:sz w:val="20"/>
                <w:szCs w:val="20"/>
                <w:color w:val="auto"/>
              </w:rPr>
            </w:pPr>
            <w:r>
              <w:rPr>
                <w:rFonts w:ascii="Arial" w:cs="Arial" w:eastAsia="Arial" w:hAnsi="Arial"/>
                <w:sz w:val="13"/>
                <w:szCs w:val="13"/>
                <w:color w:val="auto"/>
                <w:w w:val="83"/>
              </w:rPr>
              <w:t>Canada</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767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744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689</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jc w:val="right"/>
              <w:ind w:right="6834"/>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13,388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13,363</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and equipment (net) relating to operations in the United States and Puerto Rico, as well as Canada are as follows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2008</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jc w:val="right"/>
              <w:ind w:right="5654"/>
              <w:spacing w:after="0"/>
              <w:rPr>
                <w:sz w:val="20"/>
                <w:szCs w:val="20"/>
                <w:color w:val="auto"/>
              </w:rPr>
            </w:pPr>
            <w:r>
              <w:rPr>
                <w:rFonts w:ascii="Arial" w:cs="Arial" w:eastAsia="Arial" w:hAnsi="Arial"/>
                <w:sz w:val="13"/>
                <w:szCs w:val="13"/>
                <w:color w:val="auto"/>
                <w:w w:val="89"/>
              </w:rPr>
              <w:t>United States and Puerto Rico</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10,355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10,122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10,163</w:t>
            </w:r>
          </w:p>
        </w:tc>
      </w:tr>
      <w:tr>
        <w:trPr>
          <w:trHeight w:val="157"/>
        </w:trPr>
        <w:tc>
          <w:tcPr>
            <w:tcW w:w="7300" w:type="dxa"/>
            <w:vAlign w:val="bottom"/>
          </w:tcPr>
          <w:p>
            <w:pPr>
              <w:jc w:val="right"/>
              <w:ind w:right="6834"/>
              <w:spacing w:after="0"/>
              <w:rPr>
                <w:sz w:val="20"/>
                <w:szCs w:val="20"/>
                <w:color w:val="auto"/>
              </w:rPr>
            </w:pPr>
            <w:r>
              <w:rPr>
                <w:rFonts w:ascii="Arial" w:cs="Arial" w:eastAsia="Arial" w:hAnsi="Arial"/>
                <w:sz w:val="13"/>
                <w:szCs w:val="13"/>
                <w:color w:val="auto"/>
                <w:w w:val="83"/>
              </w:rPr>
              <w:t>Canada</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1,047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1,229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1,016</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jc w:val="right"/>
              <w:ind w:right="6834"/>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11,402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11,351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11,179</w:t>
            </w:r>
          </w:p>
        </w:tc>
      </w:tr>
      <w:tr>
        <w:trPr>
          <w:trHeight w:val="29"/>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1180" w:hanging="493"/>
        <w:spacing w:after="0"/>
        <w:tabs>
          <w:tab w:leader="none" w:pos="1180"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color w:val="auto"/>
        </w:rPr>
        <w:t>Quarterly Financial Data (Unaudited)</w:t>
      </w:r>
    </w:p>
    <w:p>
      <w:pPr>
        <w:spacing w:after="0" w:line="100" w:lineRule="exact"/>
        <w:rPr>
          <w:sz w:val="20"/>
          <w:szCs w:val="20"/>
          <w:color w:val="auto"/>
        </w:rPr>
      </w:pPr>
    </w:p>
    <w:p>
      <w:pPr>
        <w:ind w:left="680" w:right="40" w:firstLine="399"/>
        <w:spacing w:after="0" w:line="308" w:lineRule="auto"/>
        <w:rPr>
          <w:sz w:val="20"/>
          <w:szCs w:val="20"/>
          <w:color w:val="auto"/>
        </w:rPr>
      </w:pPr>
      <w:r>
        <w:rPr>
          <w:rFonts w:ascii="Arial" w:cs="Arial" w:eastAsia="Arial" w:hAnsi="Arial"/>
          <w:sz w:val="11"/>
          <w:szCs w:val="11"/>
          <w:color w:val="auto"/>
        </w:rPr>
        <w:t>Fluctuations in our operating results between quarters may be caused by many factors, including period-to-period changes in the relative contribution of revenue by each line of business and operating segment and general economic conditions. In addition, our revenues and income from operations typically reflect seasonal patterns. 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hurricanes generally experienced by our Southern Group actually increase our revenues in the areas affected. However, for several reasons, including significant start-up costs, such revenue often generates comparatively lower 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unaudited quarterly results of operations for 2008 and 2007 (in millions, except per share amounts):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First</w:t>
            </w:r>
          </w:p>
        </w:tc>
        <w:tc>
          <w:tcPr>
            <w:tcW w:w="80" w:type="dxa"/>
            <w:vAlign w:val="bottom"/>
          </w:tcPr>
          <w:p>
            <w:pPr>
              <w:spacing w:after="0"/>
              <w:rPr>
                <w:sz w:val="10"/>
                <w:szCs w:val="10"/>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8"/>
              </w:rPr>
              <w:t>Second</w:t>
            </w:r>
          </w:p>
        </w:tc>
        <w:tc>
          <w:tcPr>
            <w:tcW w:w="100" w:type="dxa"/>
            <w:vAlign w:val="bottom"/>
          </w:tcPr>
          <w:p>
            <w:pPr>
              <w:spacing w:after="0"/>
              <w:rPr>
                <w:sz w:val="10"/>
                <w:szCs w:val="10"/>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Third</w:t>
            </w:r>
          </w:p>
        </w:tc>
        <w:tc>
          <w:tcPr>
            <w:tcW w:w="8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4"/>
              </w:rPr>
              <w:t>Fourth</w:t>
            </w:r>
          </w:p>
        </w:tc>
      </w:tr>
      <w:tr>
        <w:trPr>
          <w:trHeight w:val="12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Quarter</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Quarter</w:t>
            </w:r>
          </w:p>
        </w:tc>
        <w:tc>
          <w:tcPr>
            <w:tcW w:w="9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5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Quarter</w:t>
            </w:r>
          </w:p>
        </w:tc>
      </w:tr>
      <w:tr>
        <w:trPr>
          <w:trHeight w:val="29"/>
        </w:trPr>
        <w:tc>
          <w:tcPr>
            <w:tcW w:w="6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3,266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3,489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3,525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3,108</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632</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459</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241</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310</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218</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0.49</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0.65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0.63</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0.44</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0.48</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0.64</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0.63</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0.44</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3,188</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3,358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3,403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3,361</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481</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565</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575</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278</w:t>
            </w: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309</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0.45</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0.65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0.54</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0.61</w:t>
            </w:r>
          </w:p>
        </w:tc>
      </w:tr>
      <w:tr>
        <w:trPr>
          <w:trHeight w:val="165"/>
        </w:trPr>
        <w:tc>
          <w:tcPr>
            <w:tcW w:w="6700" w:type="dxa"/>
            <w:vAlign w:val="bottom"/>
          </w:tcPr>
          <w:p>
            <w:pPr>
              <w:spacing w:after="0"/>
              <w:rPr>
                <w:sz w:val="20"/>
                <w:szCs w:val="20"/>
                <w:color w:val="auto"/>
              </w:rPr>
            </w:pPr>
            <w:r>
              <w:rPr>
                <w:rFonts w:ascii="Arial" w:cs="Arial" w:eastAsia="Arial" w:hAnsi="Arial"/>
                <w:sz w:val="13"/>
                <w:szCs w:val="13"/>
                <w:color w:val="auto"/>
              </w:rPr>
              <w:t>Diluted earnings per common share</w:t>
            </w:r>
          </w:p>
        </w:tc>
        <w:tc>
          <w:tcPr>
            <w:tcW w:w="8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0.45</w:t>
            </w: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0.64</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0.54</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0.61</w:t>
            </w:r>
          </w:p>
        </w:tc>
      </w:tr>
    </w:tbl>
    <w:p>
      <w:pPr>
        <w:spacing w:after="0" w:line="112"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35"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From time to time, our operating results are significantly affected by unusual or infrequent transactions or events. The following significant and unusual items have affected the comparison of our operating results during the periods presented: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First Quarter 2008</w:t>
      </w:r>
    </w:p>
    <w:p>
      <w:pPr>
        <w:spacing w:after="0" w:line="96" w:lineRule="exact"/>
        <w:rPr>
          <w:sz w:val="20"/>
          <w:szCs w:val="20"/>
          <w:color w:val="auto"/>
        </w:rPr>
      </w:pPr>
    </w:p>
    <w:p>
      <w:pPr>
        <w:ind w:left="1280" w:hanging="190"/>
        <w:spacing w:after="0"/>
        <w:tabs>
          <w:tab w:leader="none" w:pos="12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Net income was positively affected by a $6 million reduction in our “Provision for income taxes” recognized as a result of the settlement of tax audits.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Second Quarter 2008</w:t>
      </w:r>
    </w:p>
    <w:p>
      <w:pPr>
        <w:spacing w:after="0" w:line="96" w:lineRule="exact"/>
        <w:rPr>
          <w:sz w:val="20"/>
          <w:szCs w:val="20"/>
          <w:color w:val="auto"/>
        </w:rPr>
      </w:pPr>
    </w:p>
    <w:p>
      <w:pPr>
        <w:jc w:val="both"/>
        <w:ind w:left="1280" w:right="160" w:hanging="190"/>
        <w:spacing w:after="0" w:line="264" w:lineRule="auto"/>
        <w:tabs>
          <w:tab w:leader="none" w:pos="12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Net income was positively affected by (i) a $7 million reduction in our “Provision for income taxes” recognized as a result of the settlement of tax audits; and (ii) a $10 million net reduction in “Interest expense,” or $6 million net of tax, for the immediate recognition of fair value adjustments associated with terminated interest rate swaps related to our $244 million of 8.75% senior notes that were repaid in May 2008, but would have matured in 2018.</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Third Quarter 2008</w:t>
      </w:r>
    </w:p>
    <w:p>
      <w:pPr>
        <w:spacing w:after="0" w:line="96" w:lineRule="exact"/>
        <w:rPr>
          <w:sz w:val="20"/>
          <w:szCs w:val="20"/>
          <w:color w:val="auto"/>
        </w:rPr>
      </w:pPr>
    </w:p>
    <w:p>
      <w:pPr>
        <w:jc w:val="both"/>
        <w:ind w:left="1280" w:hanging="190"/>
        <w:spacing w:after="0" w:line="296" w:lineRule="auto"/>
        <w:tabs>
          <w:tab w:leader="none" w:pos="12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Income from operations was positively affected by the recognition of a $23 million net credit to “(Income) expense from divestitures, asset impairments and unusual items” due to $26 million of gains from divestitures of underperforming collection operations in our Southern Group, offset in part by a $3 million impairment charge recognized as a result of a decision to close a landfill in our Southern Group. These items positively affected net income for the period by $14 million, or $0.03 per diluted share.</w:t>
      </w:r>
    </w:p>
    <w:p>
      <w:pPr>
        <w:spacing w:after="0" w:line="39" w:lineRule="exact"/>
        <w:rPr>
          <w:rFonts w:ascii="Arial" w:cs="Arial" w:eastAsia="Arial" w:hAnsi="Arial"/>
          <w:sz w:val="12"/>
          <w:szCs w:val="12"/>
          <w:color w:val="auto"/>
        </w:rPr>
      </w:pPr>
    </w:p>
    <w:p>
      <w:pPr>
        <w:ind w:left="1280" w:right="360" w:hanging="190"/>
        <w:spacing w:after="0" w:line="276" w:lineRule="auto"/>
        <w:tabs>
          <w:tab w:leader="none" w:pos="12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$26 million of increased “Operating” expenses due to a labor disruption associated with the renegotiation of a collective bargaining agreement in Milwaukee,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280" w:right="260"/>
        <w:spacing w:after="0" w:line="276" w:lineRule="auto"/>
        <w:rPr>
          <w:sz w:val="20"/>
          <w:szCs w:val="20"/>
          <w:color w:val="auto"/>
        </w:rPr>
      </w:pPr>
      <w:r>
        <w:rPr>
          <w:rFonts w:ascii="Arial" w:cs="Arial" w:eastAsia="Arial" w:hAnsi="Arial"/>
          <w:sz w:val="13"/>
          <w:szCs w:val="13"/>
          <w:color w:val="auto"/>
        </w:rPr>
        <w:t>Wisconsin and the related agreement of the bargaining unit to withdraw from the Central States Pension Fund. These charges negatively affected net income for the period by $16 million, or $0.03 per diluted share.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Fourth Quarter 2008</w:t>
      </w:r>
    </w:p>
    <w:p>
      <w:pPr>
        <w:spacing w:after="0" w:line="96" w:lineRule="exact"/>
        <w:rPr>
          <w:sz w:val="20"/>
          <w:szCs w:val="20"/>
          <w:color w:val="auto"/>
        </w:rPr>
      </w:pPr>
    </w:p>
    <w:p>
      <w:pPr>
        <w:ind w:left="1280" w:right="80" w:hanging="190"/>
        <w:spacing w:after="0" w:line="260" w:lineRule="auto"/>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Income from operations was positively affected by (i) a $6 million reduction in landfill amortization expenses associated with changes in our expectations for the timing and cost of future final capping, closure and post-closure of fully utilized airspace; and (ii) the recognition of a $5 million net credit to “(Income) expense from divestitures, asset impairments and unusual items” for the divestiture of operations, principally in our Midwest Group. These items positively affected net income for the period by $6 million, or $0.01 per diluted share.</w:t>
      </w:r>
    </w:p>
    <w:p>
      <w:pPr>
        <w:spacing w:after="0" w:line="59" w:lineRule="exact"/>
        <w:rPr>
          <w:rFonts w:ascii="Arial" w:cs="Arial" w:eastAsia="Arial" w:hAnsi="Arial"/>
          <w:sz w:val="13"/>
          <w:szCs w:val="13"/>
          <w:color w:val="auto"/>
        </w:rPr>
      </w:pPr>
    </w:p>
    <w:p>
      <w:pPr>
        <w:ind w:left="1280" w:right="20" w:hanging="190"/>
        <w:spacing w:after="0" w:line="258" w:lineRule="auto"/>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(i) $24 million of increased “Operating” expenses due to labor disruptions associated with the renegotiation of various collective bargaining agreements and the related withdrawal of the bargaining units from multi-employer pension plans; and (ii) a $33 million charge to “Operating” expenses as a result of a decrease in the risk-free interest rate used to discount our environmental remediation liabilities. The charge to “Operating” expenses associated with the change in the discount rate used for our environmental remediation liabilities resulted in a $6 million decrease in minority interest expense during the period. Collectively, these items negatively affected net income for the period by $30 million, or $0.06 per diluted share.</w:t>
      </w:r>
    </w:p>
    <w:p>
      <w:pPr>
        <w:spacing w:after="0" w:line="61" w:lineRule="exact"/>
        <w:rPr>
          <w:rFonts w:ascii="Arial" w:cs="Arial" w:eastAsia="Arial" w:hAnsi="Arial"/>
          <w:sz w:val="13"/>
          <w:szCs w:val="13"/>
          <w:color w:val="auto"/>
        </w:rPr>
      </w:pPr>
    </w:p>
    <w:p>
      <w:pPr>
        <w:ind w:left="1280" w:hanging="190"/>
        <w:spacing w:after="0"/>
        <w:tabs>
          <w:tab w:leader="none" w:pos="12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Net income was positively affected by a $13 million reduction in our “Provision for income taxes” recognized as a result of tax audit settlements.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First Quarter 2007</w:t>
      </w:r>
    </w:p>
    <w:p>
      <w:pPr>
        <w:spacing w:after="0" w:line="96" w:lineRule="exact"/>
        <w:rPr>
          <w:sz w:val="20"/>
          <w:szCs w:val="20"/>
          <w:color w:val="auto"/>
        </w:rPr>
      </w:pPr>
    </w:p>
    <w:p>
      <w:pPr>
        <w:jc w:val="both"/>
        <w:ind w:left="1280" w:right="360" w:hanging="190"/>
        <w:spacing w:after="0" w:line="264" w:lineRule="auto"/>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Income from operations was improved by $15 million due to the favorable resolution of a disposal tax matter in our Eastern Group, which was recognized as a reduction to disposal fees and taxes within our “Operating” expenses. The resolution of this matter also increased “Interest income” for the quarter by $7 million. These items positively affected net income for the period by $13 million, or $0.02 per diluted share.</w:t>
      </w:r>
    </w:p>
    <w:p>
      <w:pPr>
        <w:spacing w:after="0" w:line="57" w:lineRule="exact"/>
        <w:rPr>
          <w:rFonts w:ascii="Arial" w:cs="Arial" w:eastAsia="Arial" w:hAnsi="Arial"/>
          <w:sz w:val="13"/>
          <w:szCs w:val="13"/>
          <w:color w:val="auto"/>
        </w:rPr>
      </w:pPr>
    </w:p>
    <w:p>
      <w:pPr>
        <w:ind w:left="1280" w:right="280" w:hanging="190"/>
        <w:spacing w:after="0" w:line="260" w:lineRule="auto"/>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(i) a $21 million charge to “Operating” expenses for the early termination of a lease agreement in connection with the purchase of one of our independent power production plants; (ii) a $10 million charge to “(Income) expense from divestitures, asset impairments and unusual items” for impairment charges associated with two landfills in our Southern Group; and (iii) a $9 million “Restructuring” charge incurred to support a realignment of certain operations. These charges negatively affected net income for the period by $24 million, or $0.05 per diluted share.</w:t>
      </w:r>
    </w:p>
    <w:p>
      <w:pPr>
        <w:spacing w:after="0" w:line="59" w:lineRule="exact"/>
        <w:rPr>
          <w:rFonts w:ascii="Arial" w:cs="Arial" w:eastAsia="Arial" w:hAnsi="Arial"/>
          <w:sz w:val="13"/>
          <w:szCs w:val="13"/>
          <w:color w:val="auto"/>
        </w:rPr>
      </w:pPr>
    </w:p>
    <w:p>
      <w:pPr>
        <w:ind w:left="1280" w:hanging="190"/>
        <w:spacing w:after="0"/>
        <w:tabs>
          <w:tab w:leader="none" w:pos="12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Net income was positively affected by a $16 million reduction in our “Provision for income taxes” recognized as a result of the settlement of tax audits.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Second Quarter 2007</w:t>
      </w:r>
    </w:p>
    <w:p>
      <w:pPr>
        <w:spacing w:after="0" w:line="96" w:lineRule="exact"/>
        <w:rPr>
          <w:sz w:val="20"/>
          <w:szCs w:val="20"/>
          <w:color w:val="auto"/>
        </w:rPr>
      </w:pPr>
    </w:p>
    <w:p>
      <w:pPr>
        <w:ind w:left="1280" w:hanging="190"/>
        <w:spacing w:after="0" w:line="320" w:lineRule="auto"/>
        <w:tabs>
          <w:tab w:leader="none" w:pos="12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Income from operations was positively affected by the recognition of a $33 million net credit to “(Income) expense from divestitures, asset impairments and unusual items” due to gains from divestitures as a result of our fix-or-seek-exit initiative. These gains positively affected net income for the period by $17 million, or $0.03 per diluted share.</w:t>
      </w:r>
    </w:p>
    <w:p>
      <w:pPr>
        <w:spacing w:after="0" w:line="25" w:lineRule="exact"/>
        <w:rPr>
          <w:rFonts w:ascii="Arial" w:cs="Arial" w:eastAsia="Arial" w:hAnsi="Arial"/>
          <w:sz w:val="12"/>
          <w:szCs w:val="12"/>
          <w:color w:val="auto"/>
        </w:rPr>
      </w:pPr>
    </w:p>
    <w:p>
      <w:pPr>
        <w:ind w:left="1280" w:right="80" w:hanging="190"/>
        <w:spacing w:after="0" w:line="264" w:lineRule="auto"/>
        <w:tabs>
          <w:tab w:leader="none" w:pos="12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Net income was positively affected by a $22 million reduction in our “Provision for income taxes” related to (i) an $11 million credit recognized for the settlement of tax audits; (ii) an $8 million tax benefit related to the expected utilization of state net operating loss carryforwards and state tax credits; and (iii) a $3 million tax benefit related to scheduled tax rate reductions in Canada.</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8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8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Third Quarter 2007</w:t>
      </w:r>
    </w:p>
    <w:p>
      <w:pPr>
        <w:spacing w:after="0" w:line="96" w:lineRule="exact"/>
        <w:rPr>
          <w:sz w:val="20"/>
          <w:szCs w:val="20"/>
          <w:color w:val="auto"/>
        </w:rPr>
      </w:pPr>
    </w:p>
    <w:p>
      <w:pPr>
        <w:ind w:left="1280" w:hanging="190"/>
        <w:spacing w:after="0" w:line="260" w:lineRule="auto"/>
        <w:tabs>
          <w:tab w:leader="none" w:pos="128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$26 million, principally for increased “Operating” expenses, due to a labor dispute in Oakland, California and, to a much lesser extent, the management of labor disputes and collective bargaining agreements in other parts of California. Costs incurred were largely related to security efforts and the deployment and lodging costs incurred for replacement workers who were brought to Oakland from across the organization. These costs negatively affected net income for the period by $16 million, or $0.03 per diluted share.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Fourth Quarter 2007</w:t>
      </w:r>
    </w:p>
    <w:p>
      <w:pPr>
        <w:spacing w:after="0" w:line="96" w:lineRule="exact"/>
        <w:rPr>
          <w:sz w:val="20"/>
          <w:szCs w:val="20"/>
          <w:color w:val="auto"/>
        </w:rPr>
      </w:pPr>
    </w:p>
    <w:p>
      <w:pPr>
        <w:ind w:left="1280" w:hanging="190"/>
        <w:spacing w:after="0" w:line="260"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Income from operations was positively affected by (i) the recognition of a $14 million net credit to “(Income) expense from divestitures, asset impairments and unusual items” due to gains from divestitures as a result of our fix-or-seek-exit initiative; and (ii) a $18 million reduction in landfill amortization expenses associated with changes in our expectations for the timing and cost of future final capping, closure and post-closure of fully utilized airspace. These items positively affected net income for the period by $19 million, or $0.04 per diluted share.</w:t>
      </w:r>
    </w:p>
    <w:p>
      <w:pPr>
        <w:spacing w:after="0" w:line="59"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Income from operations was negatively affected by $8 million, principally for increased “Operating” expenses, due to labor disruptions in California. These costs negatively affected net income for the period by $5 million, or $0.01 per diluted share.</w:t>
      </w:r>
    </w:p>
    <w:p>
      <w:pPr>
        <w:spacing w:after="0" w:line="49"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Net income was positively affected by a $38 million reduction in our “Provision for income taxes” related to (i) a $10 million credit recognized for the settlement of tax audits; (ii) a $27 million tax benefit related to scheduled tax rate reductions in Canada; and (iii) a $1 million tax benefit related to the expected utilization of state net operating loss carryforwards and state tax credits.</w:t>
      </w: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60"/>
          </w:cols>
          <w:pgMar w:left="220" w:top="343" w:right="12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180" w:hanging="493"/>
        <w:spacing w:after="0"/>
        <w:tabs>
          <w:tab w:leader="none" w:pos="1180" w:val="left"/>
        </w:tabs>
        <w:numPr>
          <w:ilvl w:val="0"/>
          <w:numId w:val="112"/>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right="92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WMI’s senior indebtedness. WMI has fully and unconditionally guaranteed all of WM Holdings’ senior indebtedness. None of WMI’s other subsidiaries have guaranteed any of WMI’s or WM Holdings’ debt. As a result of these guarantee arrangements, we are required to present the following condensed consolidating financial information (in millions):</w:t>
      </w:r>
    </w:p>
    <w:p>
      <w:pPr>
        <w:spacing w:after="0" w:line="22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Current assets: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1,849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1,879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11,402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11,402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Investments and advances to affiliates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9,851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11,615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assets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109</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6,363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6,490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20,978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40" w:type="dxa"/>
            <w:vAlign w:val="bottom"/>
            <w:gridSpan w:val="7"/>
          </w:tcPr>
          <w:p>
            <w:pPr>
              <w:jc w:val="center"/>
              <w:ind w:left="3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507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328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583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2,436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3,931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liabilities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3,515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3,515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4,514</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7"/>
              </w:rPr>
              <w:t>Minority interest in subsidiaries and variable interest entities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5,902</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10,978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11,822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ind w:left="140"/>
              <w:spacing w:after="0"/>
              <w:rPr>
                <w:sz w:val="20"/>
                <w:szCs w:val="20"/>
                <w:color w:val="auto"/>
              </w:rPr>
            </w:pPr>
            <w:r>
              <w:rPr>
                <w:rFonts w:ascii="Arial" w:cs="Arial" w:eastAsia="Arial" w:hAnsi="Arial"/>
                <w:sz w:val="13"/>
                <w:szCs w:val="13"/>
                <w:color w:val="auto"/>
              </w:rPr>
              <w:t>Total liabilities and stockholders’ equity</w:t>
            </w: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10,416</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11,633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20,978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(22,800)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20,227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92"/>
              </w:rPr>
              <w:t>112</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 (Continued)</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WMI</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Current assets: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2,132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2,132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11,351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11,351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Investments in and advances to affiliates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9,617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10,622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(20,412)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assets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6,301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6,344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10,061</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19,957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(20,480)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140" w:type="dxa"/>
            <w:vAlign w:val="bottom"/>
            <w:gridSpan w:val="7"/>
          </w:tcPr>
          <w:p>
            <w:pPr>
              <w:jc w:val="center"/>
              <w:ind w:left="34"/>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129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2,236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208</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2,436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Long-term debt, less current portion</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4,034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rPr>
              <w:t>Other liabilities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3,438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3,467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913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Arial" w:cs="Arial" w:eastAsia="Arial" w:hAnsi="Arial"/>
                <w:sz w:val="13"/>
                <w:szCs w:val="13"/>
                <w:color w:val="auto"/>
                <w:w w:val="97"/>
              </w:rPr>
              <w:t>Minority interest in subsidiaries and variable interest entities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310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5,792</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9,724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10,688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(20,412)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80" w:type="dxa"/>
            <w:vAlign w:val="bottom"/>
            <w:vMerge w:val="restart"/>
          </w:tcPr>
          <w:p>
            <w:pPr>
              <w:ind w:left="140"/>
              <w:spacing w:after="0"/>
              <w:rPr>
                <w:sz w:val="20"/>
                <w:szCs w:val="20"/>
                <w:color w:val="auto"/>
              </w:rPr>
            </w:pPr>
            <w:r>
              <w:rPr>
                <w:rFonts w:ascii="Arial" w:cs="Arial" w:eastAsia="Arial" w:hAnsi="Arial"/>
                <w:sz w:val="13"/>
                <w:szCs w:val="13"/>
                <w:color w:val="auto"/>
              </w:rPr>
              <w:t>Total liabilities and stockholders’ equity</w:t>
            </w: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10,061</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10,637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19,957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(20,480)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20,175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92"/>
              </w:rPr>
              <w:t>113</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8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WMI</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13,388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13,388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11,154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2,234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Interest income (expense)</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1,254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 and other,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980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1,238</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(107)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792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1,087</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(2,532)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b w:val="1"/>
                <w:bCs w:val="1"/>
                <w:color w:val="auto"/>
              </w:rPr>
              <w:t>Year Ended December 31, 2007</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13,310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Costs and expenses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11,056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11,056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2,254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(291)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w w:val="98"/>
              </w:rPr>
              <w:t>1,347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1,389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Minority interest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Equity in net losses of unconsolidated entities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1,056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1,056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1,323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2,060</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1,163</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1,347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(2,736)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1,163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Year Ended December 31, 2006</w:t>
            </w:r>
          </w:p>
        </w:tc>
        <w:tc>
          <w:tcPr>
            <w:tcW w:w="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Operating revenues</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13,363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13,363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11,334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2,029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Interest income (expense)</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(287)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8"/>
              </w:rPr>
              <w:t>1,331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Minority interest</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 and other,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1,044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1,302</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(2,712)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1,044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1,840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459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1,149</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55"/>
              <w:spacing w:after="0"/>
              <w:rPr>
                <w:sz w:val="20"/>
                <w:szCs w:val="20"/>
                <w:color w:val="auto"/>
              </w:rPr>
            </w:pPr>
            <w:r>
              <w:rPr>
                <w:rFonts w:ascii="Arial" w:cs="Arial" w:eastAsia="Arial" w:hAnsi="Arial"/>
                <w:sz w:val="13"/>
                <w:szCs w:val="13"/>
                <w:color w:val="auto"/>
                <w:w w:val="92"/>
              </w:rPr>
              <w:t>114</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w w:val="98"/>
              </w:rPr>
              <w:t>Holdings</w:t>
            </w:r>
          </w:p>
        </w:tc>
        <w:tc>
          <w:tcPr>
            <w:tcW w:w="120" w:type="dxa"/>
            <w:vAlign w:val="bottom"/>
          </w:tcPr>
          <w:p>
            <w:pPr>
              <w:spacing w:after="0"/>
              <w:rPr>
                <w:sz w:val="10"/>
                <w:szCs w:val="1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7"/>
              </w:rPr>
              <w:t>Eliminations</w:t>
            </w:r>
          </w:p>
        </w:tc>
        <w:tc>
          <w:tcPr>
            <w:tcW w:w="1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December 31, 2008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1,087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1,254</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1,278</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(2,532)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1,087</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Equity in earnings of subsidiaries, net of taxes</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(1,254)</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(1,278)</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2,532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adjustments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1,526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1,488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2"/>
                <w:szCs w:val="12"/>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(189)</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(40)</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2,804</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2,575</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Acquisition of businesses, net of cash acquired</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(280)</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(280)</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 expenditures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(1,221)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(1,221)</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receipts from restricted trust and escrow accounts and other, net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(1,181)</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(1,183)</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New borrowings</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944</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581</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1,525</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repayments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(760)</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(781)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(1,785)</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(410)</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(410)</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(531)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(531)</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Minority interest distributions paid and other</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(Increase) decrease in intercompany and investments, net</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938</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284</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(1,290)</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(1,589)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(1,256)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Increase in cash and cash equivalents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147"/>
        </w:trPr>
        <w:tc>
          <w:tcPr>
            <w:tcW w:w="560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416</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155"/>
        </w:trPr>
        <w:tc>
          <w:tcPr>
            <w:tcW w:w="5600" w:type="dxa"/>
            <w:vAlign w:val="bottom"/>
          </w:tcPr>
          <w:p>
            <w:pPr>
              <w:spacing w:after="0"/>
              <w:rPr>
                <w:sz w:val="20"/>
                <w:szCs w:val="20"/>
                <w:color w:val="auto"/>
              </w:rPr>
            </w:pPr>
            <w:r>
              <w:rPr>
                <w:rFonts w:ascii="Arial" w:cs="Arial" w:eastAsia="Arial" w:hAnsi="Arial"/>
                <w:sz w:val="12"/>
                <w:szCs w:val="12"/>
                <w:b w:val="1"/>
                <w:bCs w:val="1"/>
                <w:color w:val="auto"/>
              </w:rPr>
              <w:t>Year Ended December 31, 2007</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1,163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1,347</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1,389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(2,736)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1,163</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Equity in earnings of subsidiaries, net of taxes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(1,347)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(1,389)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2,736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Other adjustments</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1,332</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1,276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operating activities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(237)</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2,721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2,439</w:t>
            </w:r>
          </w:p>
        </w:tc>
        <w:tc>
          <w:tcPr>
            <w:tcW w:w="0" w:type="dxa"/>
            <w:vAlign w:val="bottom"/>
          </w:tcPr>
          <w:p>
            <w:pPr>
              <w:spacing w:after="0"/>
              <w:rPr>
                <w:sz w:val="1"/>
                <w:szCs w:val="1"/>
                <w:color w:val="auto"/>
              </w:rPr>
            </w:pPr>
          </w:p>
        </w:tc>
      </w:tr>
      <w:tr>
        <w:trPr>
          <w:trHeight w:val="144"/>
        </w:trPr>
        <w:tc>
          <w:tcPr>
            <w:tcW w:w="560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businesses, net of cash acquired</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Capital expenditures</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(1,211)</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(1,211)</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278</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Purchases of short-term investments</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(1,220)</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(1,220)</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sales of short-term investments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1,404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1,404</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Net receipts from restricted trust and escrow accounts and other, net</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investing activities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(941)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(761)</w:t>
            </w:r>
          </w:p>
        </w:tc>
        <w:tc>
          <w:tcPr>
            <w:tcW w:w="0" w:type="dxa"/>
            <w:vAlign w:val="bottom"/>
          </w:tcPr>
          <w:p>
            <w:pPr>
              <w:spacing w:after="0"/>
              <w:rPr>
                <w:sz w:val="1"/>
                <w:szCs w:val="1"/>
                <w:color w:val="auto"/>
              </w:rPr>
            </w:pPr>
          </w:p>
        </w:tc>
      </w:tr>
      <w:tr>
        <w:trPr>
          <w:trHeight w:val="144"/>
        </w:trPr>
        <w:tc>
          <w:tcPr>
            <w:tcW w:w="560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New borrowings</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300</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644</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944</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Debt repayments</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(352)</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(848)</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 repurchases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(1,421)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(1,421)</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Cash dividends</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(495)</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(495)</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Minority interest distributions paid and other</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58</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(Increase) decrease in intercompany and investments, net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1,594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(1,636)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2"/>
                <w:szCs w:val="12"/>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(206)</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(1,782)</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(1,946)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CONDENSED CONSOLIDATING STATEMENTS OF CASH FLOWS — (Continued)</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rPr>
              <w:t>WMI</w:t>
            </w:r>
          </w:p>
        </w:tc>
        <w:tc>
          <w:tcPr>
            <w:tcW w:w="100" w:type="dxa"/>
            <w:vAlign w:val="bottom"/>
          </w:tcPr>
          <w:p>
            <w:pPr>
              <w:spacing w:after="0"/>
              <w:rPr>
                <w:sz w:val="10"/>
                <w:szCs w:val="10"/>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Non-Guarantor</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w w:val="98"/>
              </w:rPr>
              <w:t>Holdings</w:t>
            </w:r>
          </w:p>
        </w:tc>
        <w:tc>
          <w:tcPr>
            <w:tcW w:w="120" w:type="dxa"/>
            <w:vAlign w:val="bottom"/>
          </w:tcPr>
          <w:p>
            <w:pPr>
              <w:spacing w:after="0"/>
              <w:rPr>
                <w:sz w:val="10"/>
                <w:szCs w:val="1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0"/>
                <w:szCs w:val="1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97"/>
              </w:rPr>
              <w:t>Eliminations</w:t>
            </w:r>
          </w:p>
        </w:tc>
        <w:tc>
          <w:tcPr>
            <w:tcW w:w="1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2"/>
                <w:szCs w:val="12"/>
                <w:color w:val="auto"/>
              </w:rPr>
              <w:t>Decrease in cash and cash equivalents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(259)</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(266)</w:t>
            </w:r>
          </w:p>
        </w:tc>
        <w:tc>
          <w:tcPr>
            <w:tcW w:w="0" w:type="dxa"/>
            <w:vAlign w:val="bottom"/>
          </w:tcPr>
          <w:p>
            <w:pPr>
              <w:spacing w:after="0"/>
              <w:rPr>
                <w:sz w:val="1"/>
                <w:szCs w:val="1"/>
                <w:color w:val="auto"/>
              </w:rPr>
            </w:pPr>
          </w:p>
        </w:tc>
      </w:tr>
      <w:tr>
        <w:trPr>
          <w:trHeight w:val="150"/>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675</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6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416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December 31, 2006</w:t>
            </w: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60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1,149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1,331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1,381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(2,712)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1,149</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Equity in earnings of subsidiaries, net of taxes</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(1,331)</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(1,381)</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2,712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adjustments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1,452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1,391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2"/>
                <w:szCs w:val="12"/>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(234)</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(59)</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2,833</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2,540</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Acquisitions of businesses, net of cash acquired</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Capital expenditures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(1,329)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(1,329)</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Proceeds from divestitures of businesses (net of cash divested) and other sales of assets</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240</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Purchases of short-term investments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89"/>
              </w:rPr>
              <w:t>(3,001)</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(3,001)</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Proceeds from sales of short-term investments</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3,117</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3,123</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receipts from restricted trust and escrow accounts and other, net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116</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(904)</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(788)</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New borrowings</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432</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432</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 repayments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(300)</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(632)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(932)</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Common stock repurchases</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(1,072)</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(1,072)</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dividends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(476)</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(476)</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Exercise of common stock options and warrants</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47"/>
        </w:trPr>
        <w:tc>
          <w:tcPr>
            <w:tcW w:w="56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Minority interest distributions paid and other</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(94)</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7"/>
        </w:trPr>
        <w:tc>
          <w:tcPr>
            <w:tcW w:w="5600" w:type="dxa"/>
            <w:vAlign w:val="bottom"/>
          </w:tcPr>
          <w:p>
            <w:pPr>
              <w:ind w:left="120"/>
              <w:spacing w:after="0"/>
              <w:rPr>
                <w:sz w:val="20"/>
                <w:szCs w:val="20"/>
                <w:color w:val="auto"/>
              </w:rPr>
            </w:pPr>
            <w:r>
              <w:rPr>
                <w:rFonts w:ascii="Arial" w:cs="Arial" w:eastAsia="Arial" w:hAnsi="Arial"/>
                <w:sz w:val="12"/>
                <w:szCs w:val="12"/>
                <w:color w:val="auto"/>
              </w:rPr>
              <w:t>(Increase) decrease in intercompany and investments, net</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1,304</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359</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(1,634)</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(29)</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95</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(1,928)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(1,803)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2"/>
        </w:trPr>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Decrease in cash and cash equivalents</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47"/>
        </w:trPr>
        <w:tc>
          <w:tcPr>
            <w:tcW w:w="560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color w:val="auto"/>
              </w:rPr>
              <w:t>698</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666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675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614</w:t>
            </w: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13"/>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 (Unaudited)</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157 — Fair Value Measurements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In February 2008, the FASB issued Staff Position FAS 157-2, </w:t>
      </w:r>
      <w:r>
        <w:rPr>
          <w:rFonts w:ascii="Arial" w:cs="Arial" w:eastAsia="Arial" w:hAnsi="Arial"/>
          <w:sz w:val="13"/>
          <w:szCs w:val="13"/>
          <w:i w:val="1"/>
          <w:iCs w:val="1"/>
          <w:color w:val="auto"/>
        </w:rPr>
        <w:t>Effective Date of FASB Statement No. 157</w:t>
      </w:r>
      <w:r>
        <w:rPr>
          <w:rFonts w:ascii="Arial" w:cs="Arial" w:eastAsia="Arial" w:hAnsi="Arial"/>
          <w:sz w:val="13"/>
          <w:szCs w:val="13"/>
          <w:color w:val="auto"/>
        </w:rPr>
        <w:t>, which delayed the effective date of SFAS No. 157 for all non-financial assets and non-financial liabilities, except those that are measured at fair value on a recurring basis. Accordingly, as of December 31, 2008, we have not applied the provisions of SFAS No. 157 to our asset retirement obligations, which are accounted for under the provisions of SFAS No. 143. FSP FAS 157-2 establishes January 1, 2009 as the effective date of SFAS No. 157 with respect to these fair value measurements for the Company. We do not currently expect the application of the fair value framework established by SFAS No. 157 to non-financial assets and liabilities measured on a non-recurring basis to have a material impact on our consolidated financial statements. However, we will continue to assess the potential effects of SFAS No. 157 as additional guidance becomes available.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141(R) — Business Combinations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In December 2007, the FASB issued SFAS No. 141 (revised 2007), </w:t>
      </w:r>
      <w:r>
        <w:rPr>
          <w:rFonts w:ascii="Arial" w:cs="Arial" w:eastAsia="Arial" w:hAnsi="Arial"/>
          <w:sz w:val="12"/>
          <w:szCs w:val="12"/>
          <w:i w:val="1"/>
          <w:iCs w:val="1"/>
          <w:color w:val="auto"/>
        </w:rPr>
        <w:t>Business Combinations</w:t>
      </w:r>
      <w:r>
        <w:rPr>
          <w:rFonts w:ascii="Arial" w:cs="Arial" w:eastAsia="Arial" w:hAnsi="Arial"/>
          <w:sz w:val="12"/>
          <w:szCs w:val="12"/>
          <w:color w:val="auto"/>
        </w:rPr>
        <w:t>, which establishes principles for how the acquirer recognizes and measures in the financial statements the identifiable assets acquired, the liabilities assumed, and any non-controlling interest in the acquiree. This statement also provides guidance for recognizing and measuring the goodwill acquired in the business combination and determines what information to disclose to enable users of the financial statements to evaluate the nature and financial effects of the business combination. SFAS No. 141(R) is effective for the Company beginning January 1, 2009. The portions of the statement that relate to business combinations completed before the effective date will not have a material impact on our consolidated financial statements. However, our adoption of SFAS No. 141(R) will significantly impact our accounting and reporting for future acquisitions, principally as a result of (i) expanded requirements to value acquired assets, liabilities and contingencies at their fair values; and (ii) the requirement that acquisition-related transaction and restructuring costs be expensed as incurred rather than capitalized as a part of the cost of the acquisition.</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SFAS No. 160 — Noncontrolling Interests in Consolidated Financial Statements — an amendment of ARB No. 51</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 xml:space="preserve">In December 2007, the FASB issued SFAS No. 160, </w:t>
      </w:r>
      <w:r>
        <w:rPr>
          <w:rFonts w:ascii="Arial" w:cs="Arial" w:eastAsia="Arial" w:hAnsi="Arial"/>
          <w:sz w:val="12"/>
          <w:szCs w:val="12"/>
          <w:i w:val="1"/>
          <w:iCs w:val="1"/>
          <w:color w:val="auto"/>
        </w:rPr>
        <w:t>Noncontrolling Interests in Consolidated Financial Statements — an amendment of ARB No. 51</w:t>
      </w:r>
      <w:r>
        <w:rPr>
          <w:rFonts w:ascii="Arial" w:cs="Arial" w:eastAsia="Arial" w:hAnsi="Arial"/>
          <w:sz w:val="12"/>
          <w:szCs w:val="12"/>
          <w:color w:val="auto"/>
        </w:rPr>
        <w:t>, which establishes accounting and reporting standards for the noncontrolling interest in a subsidiary and for the deconsolidation of a subsidiary. It states that a noncontrolling interest in a subsidiary is an ownership interest in the consolidated entity that should be reported as equity in the consolidated financial statements. SFAS No. 160 will be effective for the Company beginning January 1, 2009 and must be applied prospectively, except for the presentation and disclosure requirements, which must be applied retrospectively for all periods presented. The adoption of SFAS No. 160 will not have a material impact on our consolidated financial statements. However, it could impact our accounting for future transactions.</w:t>
      </w:r>
    </w:p>
    <w:p>
      <w:pPr>
        <w:spacing w:after="0" w:line="91" w:lineRule="exact"/>
        <w:rPr>
          <w:sz w:val="20"/>
          <w:szCs w:val="20"/>
          <w:color w:val="auto"/>
        </w:rPr>
      </w:pPr>
    </w:p>
    <w:p>
      <w:pPr>
        <w:ind w:left="1180" w:hanging="493"/>
        <w:spacing w:after="0"/>
        <w:tabs>
          <w:tab w:leader="none" w:pos="1180"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 (Unaudited)</w:t>
      </w:r>
    </w:p>
    <w:p>
      <w:pPr>
        <w:spacing w:after="0" w:line="10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In February 2009, we announced that we were taking steps to further streamline our organization by consolidating many of our Market Areas. As a result of our restructuring, the 45 separate Market Areas that we previously operated have been consolidated into 25 Areas. We have found that our larger Market Areas generally were able to achieve efficiencies through economies of scale that were not present in our smaller Market Areas, and believe that this reorganization will allow us to lower costs and continue to standardize processes and improve productivity. It is also a proactive measure to ensure that we will continue to have the ability to operate efficiently and effectively in difficult economic times.</w:t>
      </w:r>
    </w:p>
    <w:p>
      <w:pPr>
        <w:spacing w:after="0" w:line="53"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currently estimate that this restructuring will eliminate over 1,000 employee positions throughout the Company and result in a restructuring charge of between $40 million and $50 million, principally for employee severance and benefit costs. We expect to recognize the majority of this charge during the first quarter of 2009.</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Effectiveness of Controls and Procedures</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to provide reasonable assurance that information required to be disclosed by us in reports we file with the SEC is recorded, processed, summarized and reported within the time periods required by the SEC, and is accumulated and communicated to management including our CEO and CFO, as appropriate, to allow timely decisions regarding disclosure.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 xml:space="preserve">Management’s report on our internal control over financial reporting can be found in Item 8, </w:t>
      </w:r>
      <w:r>
        <w:rPr>
          <w:rFonts w:ascii="Arial" w:cs="Arial" w:eastAsia="Arial" w:hAnsi="Arial"/>
          <w:sz w:val="13"/>
          <w:szCs w:val="13"/>
          <w:i w:val="1"/>
          <w:iCs w:val="1"/>
          <w:color w:val="auto"/>
        </w:rPr>
        <w:t>Financial Statements and Supplementary Data,</w:t>
      </w:r>
      <w:r>
        <w:rPr>
          <w:rFonts w:ascii="Arial" w:cs="Arial" w:eastAsia="Arial" w:hAnsi="Arial"/>
          <w:sz w:val="13"/>
          <w:szCs w:val="13"/>
          <w:color w:val="auto"/>
        </w:rPr>
        <w:t xml:space="preserve"> of this report. The Independent Registered Public Accounting Firm’s attestation report on management’s assessment of the effectiveness of our internal control over financial reporting can also be found in Item 8 of this report.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96"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December 31, 2008. We determined that there were no changes in our internal control over financial reporting during the quarter ended December 31, 2008, that have materially affected, or are reasonably likely to materially affect, our internal control over financial reporting.</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Executive Officers and Corporate Governance.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information required by this Item is incorporated by reference to the Company’s definitive Proxy Statement for its 2009 Annual Meeting of Stockholders, to be held May 8, 2009.</w:t>
      </w:r>
    </w:p>
    <w:p>
      <w:pPr>
        <w:spacing w:after="0" w:line="10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have adopted a code of ethics that applies to our CEO, CFO and Chief Accounting Officer, as well as other officers, directors and employees of the Company. The code of ethics, entitled “Code of Conduct,” is posted on our website at http://www.wm.com under the caption “Ethics and Diversity.”</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2009 Proxy Statement and is incorporated herein by reference.</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2009 Proxy Statement and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2009 Proxy Statement and is incorporated herein by reference.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set forth in the 2009 Proxy Statement and is incorporated herein by reference.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(a)(1) Consolidated Financial Statements:</w:t>
      </w:r>
    </w:p>
    <w:p>
      <w:pPr>
        <w:spacing w:after="0" w:line="96"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Reports of Independent Registered Public Accounting Firm</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Consolidated Balance Sheets as of December 31, 2008 and 2007</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Consolidated Statements of Operations for the years ended December 31, 2008, 2007 and 2006</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Consolidated Statements of Cash Flows for the years ended December 31, 2008, 2007 and 2006</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Consolidated Statements of Stockholders’ Equity for the years ended December 31, 2008, 2007 and 2006</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Notes to Consolidated Financial Statements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(a)(2) </w:t>
      </w:r>
      <w:r>
        <w:rPr>
          <w:rFonts w:ascii="Arial" w:cs="Arial" w:eastAsia="Arial" w:hAnsi="Arial"/>
          <w:sz w:val="13"/>
          <w:szCs w:val="13"/>
          <w:i w:val="1"/>
          <w:iCs w:val="1"/>
          <w:color w:val="auto"/>
        </w:rPr>
        <w:t>Consolidated Financial Statement Schedules: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Schedule II — Valuation and Qualifying Accounts</w:t>
      </w:r>
    </w:p>
    <w:p>
      <w:pPr>
        <w:spacing w:after="0" w:line="96" w:lineRule="exact"/>
        <w:rPr>
          <w:sz w:val="20"/>
          <w:szCs w:val="20"/>
          <w:color w:val="auto"/>
        </w:rPr>
      </w:pPr>
    </w:p>
    <w:p>
      <w:pPr>
        <w:jc w:val="right"/>
        <w:ind w:right="379"/>
        <w:spacing w:after="0"/>
        <w:rPr>
          <w:sz w:val="20"/>
          <w:szCs w:val="20"/>
          <w:color w:val="auto"/>
        </w:rPr>
      </w:pPr>
      <w:r>
        <w:rPr>
          <w:rFonts w:ascii="Arial" w:cs="Arial" w:eastAsia="Arial" w:hAnsi="Arial"/>
          <w:sz w:val="13"/>
          <w:szCs w:val="13"/>
          <w:color w:val="auto"/>
        </w:rPr>
        <w:t>All other schedules have been omitted because the required information is not significant or is included in the financial statements or notes thereto, or is not applicable.</w:t>
      </w:r>
    </w:p>
    <w:p>
      <w:pPr>
        <w:spacing w:after="0" w:line="96" w:lineRule="exact"/>
        <w:rPr>
          <w:sz w:val="20"/>
          <w:szCs w:val="20"/>
          <w:color w:val="auto"/>
        </w:rPr>
      </w:pPr>
    </w:p>
    <w:p>
      <w:pPr>
        <w:ind w:left="1280" w:hanging="194"/>
        <w:spacing w:after="0"/>
        <w:tabs>
          <w:tab w:leader="none" w:pos="1280" w:val="left"/>
        </w:tabs>
        <w:numPr>
          <w:ilvl w:val="0"/>
          <w:numId w:val="115"/>
        </w:numPr>
        <w:rPr>
          <w:rFonts w:ascii="Arial" w:cs="Arial" w:eastAsia="Arial" w:hAnsi="Arial"/>
          <w:sz w:val="13"/>
          <w:szCs w:val="13"/>
          <w:color w:val="auto"/>
        </w:rPr>
      </w:pPr>
      <w:r>
        <w:rPr>
          <w:rFonts w:ascii="Arial" w:cs="Arial" w:eastAsia="Arial" w:hAnsi="Arial"/>
          <w:sz w:val="13"/>
          <w:szCs w:val="13"/>
          <w:i w:val="1"/>
          <w:iCs w:val="1"/>
          <w:color w:val="auto"/>
        </w:rPr>
        <w:t>Exhibits: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exhibit list required by this Item is incorporated by reference to the Exhibit Index filed as part of this report.</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5580" w:type="dxa"/>
        <w:tblCellMar>
          <w:top w:w="0" w:type="dxa"/>
          <w:left w:w="0" w:type="dxa"/>
          <w:bottom w:w="0" w:type="dxa"/>
          <w:right w:w="0" w:type="dxa"/>
        </w:tblCellMar>
      </w:tblPr>
      <w:tr>
        <w:trPr>
          <w:trHeight w:val="165"/>
        </w:trPr>
        <w:tc>
          <w:tcPr>
            <w:tcW w:w="1540" w:type="dxa"/>
            <w:vAlign w:val="bottom"/>
            <w:gridSpan w:val="2"/>
          </w:tcPr>
          <w:p>
            <w:pPr>
              <w:spacing w:after="0"/>
              <w:rPr>
                <w:sz w:val="20"/>
                <w:szCs w:val="20"/>
                <w:color w:val="auto"/>
              </w:rPr>
            </w:pPr>
            <w:r>
              <w:rPr>
                <w:rFonts w:ascii="Arial" w:cs="Arial" w:eastAsia="Arial" w:hAnsi="Arial"/>
                <w:sz w:val="13"/>
                <w:szCs w:val="13"/>
                <w:color w:val="auto"/>
              </w:rPr>
              <w:t>W</w:t>
            </w:r>
            <w:r>
              <w:rPr>
                <w:rFonts w:ascii="Arial" w:cs="Arial" w:eastAsia="Arial" w:hAnsi="Arial"/>
                <w:sz w:val="8"/>
                <w:szCs w:val="8"/>
                <w:color w:val="auto"/>
              </w:rPr>
              <w:t>ASTE</w:t>
            </w:r>
            <w:r>
              <w:rPr>
                <w:rFonts w:ascii="Arial" w:cs="Arial" w:eastAsia="Arial" w:hAnsi="Arial"/>
                <w:sz w:val="13"/>
                <w:szCs w:val="13"/>
                <w:color w:val="auto"/>
              </w:rPr>
              <w:t xml:space="preserve"> M</w:t>
            </w:r>
            <w:r>
              <w:rPr>
                <w:rFonts w:ascii="Arial" w:cs="Arial" w:eastAsia="Arial" w:hAnsi="Arial"/>
                <w:sz w:val="8"/>
                <w:szCs w:val="8"/>
                <w:color w:val="auto"/>
              </w:rPr>
              <w:t>ANAGEMENT</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tc>
        <w:tc>
          <w:tcPr>
            <w:tcW w:w="4420" w:type="dxa"/>
            <w:vAlign w:val="bottom"/>
          </w:tcPr>
          <w:p>
            <w:pPr>
              <w:spacing w:after="0"/>
              <w:rPr>
                <w:sz w:val="14"/>
                <w:szCs w:val="14"/>
                <w:color w:val="auto"/>
              </w:rPr>
            </w:pPr>
          </w:p>
        </w:tc>
      </w:tr>
      <w:tr>
        <w:trPr>
          <w:trHeight w:val="802"/>
        </w:trPr>
        <w:tc>
          <w:tcPr>
            <w:tcW w:w="1540" w:type="dxa"/>
            <w:vAlign w:val="bottom"/>
            <w:gridSpan w:val="2"/>
          </w:tcPr>
          <w:p>
            <w:pPr>
              <w:spacing w:after="0"/>
              <w:rPr>
                <w:sz w:val="20"/>
                <w:szCs w:val="20"/>
                <w:color w:val="auto"/>
              </w:rPr>
            </w:pPr>
            <w:r>
              <w:rPr>
                <w:rFonts w:ascii="Arial" w:cs="Arial" w:eastAsia="Arial" w:hAnsi="Arial"/>
                <w:sz w:val="13"/>
                <w:szCs w:val="13"/>
                <w:color w:val="auto"/>
              </w:rPr>
              <w:t>By:</w:t>
            </w:r>
          </w:p>
        </w:tc>
        <w:tc>
          <w:tcPr>
            <w:tcW w:w="4420" w:type="dxa"/>
            <w:vAlign w:val="bottom"/>
          </w:tcPr>
          <w:p>
            <w:pPr>
              <w:jc w:val="center"/>
              <w:ind w:right="1954"/>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P. S</w:t>
            </w:r>
            <w:r>
              <w:rPr>
                <w:rFonts w:ascii="Arial" w:cs="Arial" w:eastAsia="Arial" w:hAnsi="Arial"/>
                <w:sz w:val="8"/>
                <w:szCs w:val="8"/>
                <w:color w:val="auto"/>
              </w:rPr>
              <w:t>TEINER</w:t>
            </w:r>
          </w:p>
        </w:tc>
      </w:tr>
      <w:tr>
        <w:trPr>
          <w:trHeight w:val="144"/>
        </w:trPr>
        <w:tc>
          <w:tcPr>
            <w:tcW w:w="4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420" w:type="dxa"/>
            <w:vAlign w:val="bottom"/>
            <w:tcBorders>
              <w:top w:val="single" w:sz="8" w:color="auto"/>
            </w:tcBorders>
          </w:tcPr>
          <w:p>
            <w:pPr>
              <w:jc w:val="center"/>
              <w:ind w:right="1954"/>
              <w:spacing w:after="0" w:line="144" w:lineRule="exact"/>
              <w:rPr>
                <w:sz w:val="20"/>
                <w:szCs w:val="20"/>
                <w:color w:val="auto"/>
              </w:rPr>
            </w:pPr>
            <w:r>
              <w:rPr>
                <w:rFonts w:ascii="Arial" w:cs="Arial" w:eastAsia="Arial" w:hAnsi="Arial"/>
                <w:sz w:val="13"/>
                <w:szCs w:val="13"/>
                <w:color w:val="auto"/>
                <w:w w:val="89"/>
              </w:rPr>
              <w:t>David P. Steiner</w:t>
            </w:r>
          </w:p>
        </w:tc>
      </w:tr>
      <w:tr>
        <w:trPr>
          <w:trHeight w:val="165"/>
        </w:trPr>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jc w:val="center"/>
              <w:ind w:right="1954"/>
              <w:spacing w:after="0"/>
              <w:rPr>
                <w:sz w:val="20"/>
                <w:szCs w:val="20"/>
                <w:color w:val="auto"/>
              </w:rPr>
            </w:pPr>
            <w:r>
              <w:rPr>
                <w:rFonts w:ascii="Arial" w:cs="Arial" w:eastAsia="Arial" w:hAnsi="Arial"/>
                <w:sz w:val="13"/>
                <w:szCs w:val="13"/>
                <w:i w:val="1"/>
                <w:iCs w:val="1"/>
                <w:color w:val="auto"/>
                <w:w w:val="92"/>
              </w:rPr>
              <w:t>Chief Executive Officer and Director</w:t>
            </w:r>
          </w:p>
        </w:tc>
      </w:tr>
    </w:tbl>
    <w:p>
      <w:pPr>
        <w:spacing w:after="0" w:line="1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17, 2009</w:t>
      </w:r>
    </w:p>
    <w:p>
      <w:pPr>
        <w:spacing w:after="0" w:line="96"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460" w:type="dxa"/>
            <w:vAlign w:val="bottom"/>
          </w:tcPr>
          <w:p>
            <w:pPr>
              <w:ind w:left="38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p>
        </w:tc>
        <w:tc>
          <w:tcPr>
            <w:tcW w:w="4280" w:type="dxa"/>
            <w:vAlign w:val="bottom"/>
          </w:tcPr>
          <w:p>
            <w:pPr>
              <w:jc w:val="right"/>
              <w:ind w:right="1895"/>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tc>
        <w:tc>
          <w:tcPr>
            <w:tcW w:w="2380" w:type="dxa"/>
            <w:vAlign w:val="bottom"/>
          </w:tcPr>
          <w:p>
            <w:pPr>
              <w:ind w:left="780"/>
              <w:spacing w:after="0"/>
              <w:rPr>
                <w:sz w:val="20"/>
                <w:szCs w:val="20"/>
                <w:color w:val="auto"/>
              </w:rPr>
            </w:pPr>
            <w:r>
              <w:rPr>
                <w:rFonts w:ascii="Arial" w:cs="Arial" w:eastAsia="Arial" w:hAnsi="Arial"/>
                <w:sz w:val="10"/>
                <w:szCs w:val="10"/>
                <w:b w:val="1"/>
                <w:bCs w:val="1"/>
                <w:color w:val="auto"/>
              </w:rPr>
              <w:t>Date</w:t>
            </w:r>
          </w:p>
        </w:tc>
      </w:tr>
      <w:tr>
        <w:trPr>
          <w:trHeight w:val="480"/>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AVID</w:t>
            </w:r>
            <w:r>
              <w:rPr>
                <w:rFonts w:ascii="Arial" w:cs="Arial" w:eastAsia="Arial" w:hAnsi="Arial"/>
                <w:sz w:val="13"/>
                <w:szCs w:val="13"/>
                <w:color w:val="auto"/>
              </w:rPr>
              <w:t xml:space="preserve"> P. S</w:t>
            </w:r>
            <w:r>
              <w:rPr>
                <w:rFonts w:ascii="Arial" w:cs="Arial" w:eastAsia="Arial" w:hAnsi="Arial"/>
                <w:sz w:val="8"/>
                <w:szCs w:val="8"/>
                <w:color w:val="auto"/>
              </w:rPr>
              <w:t>TEINER</w:t>
            </w:r>
          </w:p>
        </w:tc>
        <w:tc>
          <w:tcPr>
            <w:tcW w:w="4280" w:type="dxa"/>
            <w:vAlign w:val="bottom"/>
          </w:tcPr>
          <w:p>
            <w:pPr>
              <w:jc w:val="center"/>
              <w:spacing w:after="0"/>
              <w:rPr>
                <w:sz w:val="20"/>
                <w:szCs w:val="20"/>
                <w:color w:val="auto"/>
              </w:rPr>
            </w:pPr>
            <w:r>
              <w:rPr>
                <w:rFonts w:ascii="Arial" w:cs="Arial" w:eastAsia="Arial" w:hAnsi="Arial"/>
                <w:sz w:val="13"/>
                <w:szCs w:val="13"/>
                <w:color w:val="auto"/>
                <w:w w:val="94"/>
              </w:rPr>
              <w:t>Chief Executive Officer and Director (Principal Executive Officer)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17, 2009</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89"/>
              </w:rPr>
              <w:t>David P. Steiner</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3"/>
                <w:szCs w:val="13"/>
                <w:color w:val="auto"/>
              </w:rPr>
              <w:t>/s/</w:t>
            </w:r>
          </w:p>
        </w:tc>
        <w:tc>
          <w:tcPr>
            <w:tcW w:w="2460" w:type="dxa"/>
            <w:vAlign w:val="bottom"/>
            <w:tcBorders>
              <w:bottom w:val="single" w:sz="8" w:color="auto"/>
            </w:tcBorders>
          </w:tcPr>
          <w:p>
            <w:pPr>
              <w:jc w:val="center"/>
              <w:ind w:right="1396"/>
              <w:spacing w:after="0"/>
              <w:rPr>
                <w:sz w:val="20"/>
                <w:szCs w:val="20"/>
                <w:color w:val="auto"/>
              </w:rPr>
            </w:pPr>
            <w:r>
              <w:rPr>
                <w:rFonts w:ascii="Arial" w:cs="Arial" w:eastAsia="Arial" w:hAnsi="Arial"/>
                <w:sz w:val="13"/>
                <w:szCs w:val="13"/>
                <w:color w:val="auto"/>
                <w:w w:val="97"/>
              </w:rPr>
              <w:t>R</w:t>
            </w:r>
            <w:r>
              <w:rPr>
                <w:rFonts w:ascii="Arial" w:cs="Arial" w:eastAsia="Arial" w:hAnsi="Arial"/>
                <w:sz w:val="8"/>
                <w:szCs w:val="8"/>
                <w:color w:val="auto"/>
                <w:w w:val="97"/>
              </w:rPr>
              <w:t>OBERT</w:t>
            </w:r>
            <w:r>
              <w:rPr>
                <w:rFonts w:ascii="Arial" w:cs="Arial" w:eastAsia="Arial" w:hAnsi="Arial"/>
                <w:sz w:val="13"/>
                <w:szCs w:val="13"/>
                <w:color w:val="auto"/>
                <w:w w:val="97"/>
              </w:rPr>
              <w:t xml:space="preserve"> G. S</w:t>
            </w:r>
            <w:r>
              <w:rPr>
                <w:rFonts w:ascii="Arial" w:cs="Arial" w:eastAsia="Arial" w:hAnsi="Arial"/>
                <w:sz w:val="8"/>
                <w:szCs w:val="8"/>
                <w:color w:val="auto"/>
                <w:w w:val="97"/>
              </w:rPr>
              <w:t>IMPSON</w:t>
            </w:r>
          </w:p>
        </w:tc>
        <w:tc>
          <w:tcPr>
            <w:tcW w:w="4280" w:type="dxa"/>
            <w:vAlign w:val="bottom"/>
          </w:tcPr>
          <w:p>
            <w:pPr>
              <w:jc w:val="center"/>
              <w:spacing w:after="0"/>
              <w:rPr>
                <w:sz w:val="20"/>
                <w:szCs w:val="20"/>
                <w:color w:val="auto"/>
              </w:rPr>
            </w:pPr>
            <w:r>
              <w:rPr>
                <w:rFonts w:ascii="Arial" w:cs="Arial" w:eastAsia="Arial" w:hAnsi="Arial"/>
                <w:sz w:val="13"/>
                <w:szCs w:val="13"/>
                <w:color w:val="auto"/>
                <w:w w:val="93"/>
              </w:rPr>
              <w:t>Senior Vice President and Chief Financial Officer (Principal Financial</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17, 2009</w:t>
            </w:r>
          </w:p>
        </w:tc>
      </w:tr>
      <w:tr>
        <w:trPr>
          <w:trHeight w:val="156"/>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0"/>
              </w:rPr>
              <w:t>Robert G. Simpson</w:t>
            </w:r>
          </w:p>
        </w:tc>
        <w:tc>
          <w:tcPr>
            <w:tcW w:w="428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REG</w:t>
            </w:r>
            <w:r>
              <w:rPr>
                <w:rFonts w:ascii="Arial" w:cs="Arial" w:eastAsia="Arial" w:hAnsi="Arial"/>
                <w:sz w:val="13"/>
                <w:szCs w:val="13"/>
                <w:color w:val="auto"/>
              </w:rPr>
              <w:t xml:space="preserve"> A. R</w:t>
            </w:r>
            <w:r>
              <w:rPr>
                <w:rFonts w:ascii="Arial" w:cs="Arial" w:eastAsia="Arial" w:hAnsi="Arial"/>
                <w:sz w:val="8"/>
                <w:szCs w:val="8"/>
                <w:color w:val="auto"/>
              </w:rPr>
              <w:t>OBERTSON</w:t>
            </w:r>
          </w:p>
        </w:tc>
        <w:tc>
          <w:tcPr>
            <w:tcW w:w="4280" w:type="dxa"/>
            <w:vAlign w:val="bottom"/>
          </w:tcPr>
          <w:p>
            <w:pPr>
              <w:jc w:val="center"/>
              <w:spacing w:after="0"/>
              <w:rPr>
                <w:sz w:val="20"/>
                <w:szCs w:val="20"/>
                <w:color w:val="auto"/>
              </w:rPr>
            </w:pPr>
            <w:r>
              <w:rPr>
                <w:rFonts w:ascii="Arial" w:cs="Arial" w:eastAsia="Arial" w:hAnsi="Arial"/>
                <w:sz w:val="13"/>
                <w:szCs w:val="13"/>
                <w:color w:val="auto"/>
                <w:w w:val="94"/>
              </w:rPr>
              <w:t>Vice President and Chief Accounting Officer (Principal Accounting</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17, 2009</w:t>
            </w:r>
          </w:p>
        </w:tc>
      </w:tr>
      <w:tr>
        <w:trPr>
          <w:trHeight w:val="156"/>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2"/>
              </w:rPr>
              <w:t>Greg A. Robertson</w:t>
            </w:r>
          </w:p>
        </w:tc>
        <w:tc>
          <w:tcPr>
            <w:tcW w:w="428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ASTORA</w:t>
            </w:r>
            <w:r>
              <w:rPr>
                <w:rFonts w:ascii="Arial" w:cs="Arial" w:eastAsia="Arial" w:hAnsi="Arial"/>
                <w:sz w:val="13"/>
                <w:szCs w:val="13"/>
                <w:color w:val="auto"/>
              </w:rPr>
              <w:t xml:space="preserve"> S</w:t>
            </w:r>
            <w:r>
              <w:rPr>
                <w:rFonts w:ascii="Arial" w:cs="Arial" w:eastAsia="Arial" w:hAnsi="Arial"/>
                <w:sz w:val="8"/>
                <w:szCs w:val="8"/>
                <w:color w:val="auto"/>
              </w:rPr>
              <w:t>AN</w:t>
            </w:r>
            <w:r>
              <w:rPr>
                <w:rFonts w:ascii="Arial" w:cs="Arial" w:eastAsia="Arial" w:hAnsi="Arial"/>
                <w:sz w:val="13"/>
                <w:szCs w:val="13"/>
                <w:color w:val="auto"/>
              </w:rPr>
              <w:t xml:space="preserve"> J</w:t>
            </w:r>
            <w:r>
              <w:rPr>
                <w:rFonts w:ascii="Arial" w:cs="Arial" w:eastAsia="Arial" w:hAnsi="Arial"/>
                <w:sz w:val="8"/>
                <w:szCs w:val="8"/>
                <w:color w:val="auto"/>
              </w:rPr>
              <w:t>UAN</w:t>
            </w:r>
            <w:r>
              <w:rPr>
                <w:rFonts w:ascii="Arial" w:cs="Arial" w:eastAsia="Arial" w:hAnsi="Arial"/>
                <w:sz w:val="13"/>
                <w:szCs w:val="13"/>
                <w:color w:val="auto"/>
              </w:rPr>
              <w:t xml:space="preserve"> C</w:t>
            </w:r>
            <w:r>
              <w:rPr>
                <w:rFonts w:ascii="Arial" w:cs="Arial" w:eastAsia="Arial" w:hAnsi="Arial"/>
                <w:sz w:val="8"/>
                <w:szCs w:val="8"/>
                <w:color w:val="auto"/>
              </w:rPr>
              <w:t>AFFERTY</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17, 2009</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89"/>
              </w:rPr>
              <w:t>Pastora San Juan Cafferty</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60" w:type="dxa"/>
            <w:vAlign w:val="bottom"/>
            <w:tcBorders>
              <w:bottom w:val="single" w:sz="8" w:color="auto"/>
            </w:tcBorders>
          </w:tcPr>
          <w:p>
            <w:pPr>
              <w:ind w:left="1540"/>
              <w:spacing w:after="0"/>
              <w:rPr>
                <w:sz w:val="20"/>
                <w:szCs w:val="20"/>
                <w:color w:val="auto"/>
              </w:rPr>
            </w:pPr>
            <w:r>
              <w:rPr>
                <w:rFonts w:ascii="Arial" w:cs="Arial" w:eastAsia="Arial" w:hAnsi="Arial"/>
                <w:sz w:val="13"/>
                <w:szCs w:val="13"/>
                <w:color w:val="auto"/>
                <w:w w:val="72"/>
              </w:rPr>
              <w:t>/s/</w:t>
            </w:r>
          </w:p>
        </w:tc>
        <w:tc>
          <w:tcPr>
            <w:tcW w:w="2460" w:type="dxa"/>
            <w:vAlign w:val="bottom"/>
            <w:tcBorders>
              <w:bottom w:val="single" w:sz="8" w:color="auto"/>
            </w:tcBorders>
          </w:tcPr>
          <w:p>
            <w:pPr>
              <w:jc w:val="center"/>
              <w:ind w:right="1396"/>
              <w:spacing w:after="0"/>
              <w:rPr>
                <w:sz w:val="20"/>
                <w:szCs w:val="20"/>
                <w:color w:val="auto"/>
              </w:rPr>
            </w:pPr>
            <w:r>
              <w:rPr>
                <w:rFonts w:ascii="Arial" w:cs="Arial" w:eastAsia="Arial" w:hAnsi="Arial"/>
                <w:sz w:val="13"/>
                <w:szCs w:val="13"/>
                <w:color w:val="auto"/>
              </w:rPr>
              <w:t>F</w:t>
            </w:r>
            <w:r>
              <w:rPr>
                <w:rFonts w:ascii="Arial" w:cs="Arial" w:eastAsia="Arial" w:hAnsi="Arial"/>
                <w:sz w:val="8"/>
                <w:szCs w:val="8"/>
                <w:color w:val="auto"/>
              </w:rPr>
              <w:t>RANK</w:t>
            </w:r>
            <w:r>
              <w:rPr>
                <w:rFonts w:ascii="Arial" w:cs="Arial" w:eastAsia="Arial" w:hAnsi="Arial"/>
                <w:sz w:val="13"/>
                <w:szCs w:val="13"/>
                <w:color w:val="auto"/>
              </w:rPr>
              <w:t xml:space="preserve"> M. C</w:t>
            </w:r>
            <w:r>
              <w:rPr>
                <w:rFonts w:ascii="Arial" w:cs="Arial" w:eastAsia="Arial" w:hAnsi="Arial"/>
                <w:sz w:val="8"/>
                <w:szCs w:val="8"/>
                <w:color w:val="auto"/>
              </w:rPr>
              <w:t>LARK</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17, 2009</w:t>
            </w:r>
          </w:p>
        </w:tc>
      </w:tr>
      <w:tr>
        <w:trPr>
          <w:trHeight w:val="155"/>
        </w:trPr>
        <w:tc>
          <w:tcPr>
            <w:tcW w:w="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60" w:type="dxa"/>
            <w:vAlign w:val="bottom"/>
          </w:tcPr>
          <w:p>
            <w:pPr>
              <w:jc w:val="center"/>
              <w:ind w:right="1596"/>
              <w:spacing w:after="0"/>
              <w:rPr>
                <w:sz w:val="20"/>
                <w:szCs w:val="20"/>
                <w:color w:val="auto"/>
              </w:rPr>
            </w:pPr>
            <w:r>
              <w:rPr>
                <w:rFonts w:ascii="Arial" w:cs="Arial" w:eastAsia="Arial" w:hAnsi="Arial"/>
                <w:sz w:val="13"/>
                <w:szCs w:val="13"/>
                <w:color w:val="auto"/>
                <w:w w:val="93"/>
              </w:rPr>
              <w:t>Frank M. Clark</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60" w:type="dxa"/>
            <w:vAlign w:val="bottom"/>
            <w:tcBorders>
              <w:bottom w:val="single" w:sz="8" w:color="auto"/>
            </w:tcBorders>
          </w:tcPr>
          <w:p>
            <w:pPr>
              <w:ind w:left="1500"/>
              <w:spacing w:after="0"/>
              <w:rPr>
                <w:sz w:val="20"/>
                <w:szCs w:val="20"/>
                <w:color w:val="auto"/>
              </w:rPr>
            </w:pPr>
            <w:r>
              <w:rPr>
                <w:rFonts w:ascii="Arial" w:cs="Arial" w:eastAsia="Arial" w:hAnsi="Arial"/>
                <w:sz w:val="13"/>
                <w:szCs w:val="13"/>
                <w:color w:val="auto"/>
              </w:rPr>
              <w:t>/s/</w:t>
            </w:r>
          </w:p>
        </w:tc>
        <w:tc>
          <w:tcPr>
            <w:tcW w:w="2460" w:type="dxa"/>
            <w:vAlign w:val="bottom"/>
            <w:tcBorders>
              <w:bottom w:val="single" w:sz="8" w:color="auto"/>
            </w:tcBorders>
          </w:tcPr>
          <w:p>
            <w:pPr>
              <w:jc w:val="center"/>
              <w:ind w:right="1396"/>
              <w:spacing w:after="0"/>
              <w:rPr>
                <w:sz w:val="20"/>
                <w:szCs w:val="20"/>
                <w:color w:val="auto"/>
              </w:rPr>
            </w:pPr>
            <w:r>
              <w:rPr>
                <w:rFonts w:ascii="Arial" w:cs="Arial" w:eastAsia="Arial" w:hAnsi="Arial"/>
                <w:sz w:val="13"/>
                <w:szCs w:val="13"/>
                <w:color w:val="auto"/>
                <w:w w:val="97"/>
              </w:rPr>
              <w:t>P</w:t>
            </w:r>
            <w:r>
              <w:rPr>
                <w:rFonts w:ascii="Arial" w:cs="Arial" w:eastAsia="Arial" w:hAnsi="Arial"/>
                <w:sz w:val="8"/>
                <w:szCs w:val="8"/>
                <w:color w:val="auto"/>
                <w:w w:val="97"/>
              </w:rPr>
              <w:t>ATRICK</w:t>
            </w:r>
            <w:r>
              <w:rPr>
                <w:rFonts w:ascii="Arial" w:cs="Arial" w:eastAsia="Arial" w:hAnsi="Arial"/>
                <w:sz w:val="13"/>
                <w:szCs w:val="13"/>
                <w:color w:val="auto"/>
                <w:w w:val="97"/>
              </w:rPr>
              <w:t xml:space="preserve"> W. G</w:t>
            </w:r>
            <w:r>
              <w:rPr>
                <w:rFonts w:ascii="Arial" w:cs="Arial" w:eastAsia="Arial" w:hAnsi="Arial"/>
                <w:sz w:val="8"/>
                <w:szCs w:val="8"/>
                <w:color w:val="auto"/>
                <w:w w:val="97"/>
              </w:rPr>
              <w:t>ROSS</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17, 2009</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0"/>
              </w:rPr>
              <w:t>Patrick W. Gross</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w w:val="98"/>
              </w:rPr>
              <w:t>/s/ J</w:t>
            </w:r>
            <w:r>
              <w:rPr>
                <w:rFonts w:ascii="Arial" w:cs="Arial" w:eastAsia="Arial" w:hAnsi="Arial"/>
                <w:sz w:val="8"/>
                <w:szCs w:val="8"/>
                <w:color w:val="auto"/>
                <w:w w:val="98"/>
              </w:rPr>
              <w:t>OHN</w:t>
            </w:r>
            <w:r>
              <w:rPr>
                <w:rFonts w:ascii="Arial" w:cs="Arial" w:eastAsia="Arial" w:hAnsi="Arial"/>
                <w:sz w:val="13"/>
                <w:szCs w:val="13"/>
                <w:color w:val="auto"/>
                <w:w w:val="98"/>
              </w:rPr>
              <w:t xml:space="preserve"> C. P</w:t>
            </w:r>
            <w:r>
              <w:rPr>
                <w:rFonts w:ascii="Arial" w:cs="Arial" w:eastAsia="Arial" w:hAnsi="Arial"/>
                <w:sz w:val="8"/>
                <w:szCs w:val="8"/>
                <w:color w:val="auto"/>
                <w:w w:val="98"/>
              </w:rPr>
              <w:t>OPE</w:t>
            </w:r>
          </w:p>
        </w:tc>
        <w:tc>
          <w:tcPr>
            <w:tcW w:w="4280" w:type="dxa"/>
            <w:vAlign w:val="bottom"/>
          </w:tcPr>
          <w:p>
            <w:pPr>
              <w:jc w:val="center"/>
              <w:spacing w:after="0"/>
              <w:rPr>
                <w:sz w:val="20"/>
                <w:szCs w:val="20"/>
                <w:color w:val="auto"/>
              </w:rPr>
            </w:pPr>
            <w:r>
              <w:rPr>
                <w:rFonts w:ascii="Arial" w:cs="Arial" w:eastAsia="Arial" w:hAnsi="Arial"/>
                <w:sz w:val="13"/>
                <w:szCs w:val="13"/>
                <w:color w:val="auto"/>
                <w:w w:val="92"/>
              </w:rPr>
              <w:t>Chairman of the Board and 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17, 2009</w:t>
            </w:r>
          </w:p>
        </w:tc>
      </w:tr>
      <w:tr>
        <w:trPr>
          <w:trHeight w:val="155"/>
        </w:trPr>
        <w:tc>
          <w:tcPr>
            <w:tcW w:w="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60" w:type="dxa"/>
            <w:vAlign w:val="bottom"/>
          </w:tcPr>
          <w:p>
            <w:pPr>
              <w:jc w:val="center"/>
              <w:ind w:right="1576"/>
              <w:spacing w:after="0"/>
              <w:rPr>
                <w:sz w:val="20"/>
                <w:szCs w:val="20"/>
                <w:color w:val="auto"/>
              </w:rPr>
            </w:pPr>
            <w:r>
              <w:rPr>
                <w:rFonts w:ascii="Arial" w:cs="Arial" w:eastAsia="Arial" w:hAnsi="Arial"/>
                <w:sz w:val="13"/>
                <w:szCs w:val="13"/>
                <w:color w:val="auto"/>
                <w:w w:val="88"/>
              </w:rPr>
              <w:t>John C. Pope</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1660" w:type="dxa"/>
            <w:vAlign w:val="bottom"/>
            <w:tcBorders>
              <w:bottom w:val="single" w:sz="8" w:color="auto"/>
            </w:tcBorders>
          </w:tcPr>
          <w:p>
            <w:pPr>
              <w:ind w:left="1540"/>
              <w:spacing w:after="0"/>
              <w:rPr>
                <w:sz w:val="20"/>
                <w:szCs w:val="20"/>
                <w:color w:val="auto"/>
              </w:rPr>
            </w:pPr>
            <w:r>
              <w:rPr>
                <w:rFonts w:ascii="Arial" w:cs="Arial" w:eastAsia="Arial" w:hAnsi="Arial"/>
                <w:sz w:val="13"/>
                <w:szCs w:val="13"/>
                <w:color w:val="auto"/>
                <w:w w:val="72"/>
              </w:rPr>
              <w:t>/s/</w:t>
            </w:r>
          </w:p>
        </w:tc>
        <w:tc>
          <w:tcPr>
            <w:tcW w:w="2460" w:type="dxa"/>
            <w:vAlign w:val="bottom"/>
            <w:tcBorders>
              <w:bottom w:val="single" w:sz="8" w:color="auto"/>
            </w:tcBorders>
          </w:tcPr>
          <w:p>
            <w:pPr>
              <w:jc w:val="center"/>
              <w:ind w:right="1396"/>
              <w:spacing w:after="0"/>
              <w:rPr>
                <w:sz w:val="20"/>
                <w:szCs w:val="20"/>
                <w:color w:val="auto"/>
              </w:rPr>
            </w:pPr>
            <w:r>
              <w:rPr>
                <w:rFonts w:ascii="Arial" w:cs="Arial" w:eastAsia="Arial" w:hAnsi="Arial"/>
                <w:sz w:val="13"/>
                <w:szCs w:val="13"/>
                <w:color w:val="auto"/>
              </w:rPr>
              <w:t>W. R</w:t>
            </w:r>
            <w:r>
              <w:rPr>
                <w:rFonts w:ascii="Arial" w:cs="Arial" w:eastAsia="Arial" w:hAnsi="Arial"/>
                <w:sz w:val="8"/>
                <w:szCs w:val="8"/>
                <w:color w:val="auto"/>
              </w:rPr>
              <w:t>OBERT</w:t>
            </w:r>
            <w:r>
              <w:rPr>
                <w:rFonts w:ascii="Arial" w:cs="Arial" w:eastAsia="Arial" w:hAnsi="Arial"/>
                <w:sz w:val="13"/>
                <w:szCs w:val="13"/>
                <w:color w:val="auto"/>
              </w:rPr>
              <w:t xml:space="preserve"> R</w:t>
            </w:r>
            <w:r>
              <w:rPr>
                <w:rFonts w:ascii="Arial" w:cs="Arial" w:eastAsia="Arial" w:hAnsi="Arial"/>
                <w:sz w:val="8"/>
                <w:szCs w:val="8"/>
                <w:color w:val="auto"/>
              </w:rPr>
              <w:t>EUM</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17, 2009</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0"/>
              </w:rPr>
              <w:t>W. Robert Reum</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TEVEN</w:t>
            </w:r>
            <w:r>
              <w:rPr>
                <w:rFonts w:ascii="Arial" w:cs="Arial" w:eastAsia="Arial" w:hAnsi="Arial"/>
                <w:sz w:val="13"/>
                <w:szCs w:val="13"/>
                <w:color w:val="auto"/>
              </w:rPr>
              <w:t xml:space="preserve"> G. R</w:t>
            </w:r>
            <w:r>
              <w:rPr>
                <w:rFonts w:ascii="Arial" w:cs="Arial" w:eastAsia="Arial" w:hAnsi="Arial"/>
                <w:sz w:val="8"/>
                <w:szCs w:val="8"/>
                <w:color w:val="auto"/>
              </w:rPr>
              <w:t>OTHMEIER</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17, 2009</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0"/>
              </w:rPr>
              <w:t>Steven G. Rothmeier</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color w:val="auto"/>
              </w:rPr>
              <w:t>/s/ T</w:t>
            </w:r>
            <w:r>
              <w:rPr>
                <w:rFonts w:ascii="Arial" w:cs="Arial" w:eastAsia="Arial" w:hAnsi="Arial"/>
                <w:sz w:val="8"/>
                <w:szCs w:val="8"/>
                <w:color w:val="auto"/>
              </w:rPr>
              <w:t>HOMAS</w:t>
            </w:r>
            <w:r>
              <w:rPr>
                <w:rFonts w:ascii="Arial" w:cs="Arial" w:eastAsia="Arial" w:hAnsi="Arial"/>
                <w:sz w:val="13"/>
                <w:szCs w:val="13"/>
                <w:color w:val="auto"/>
              </w:rPr>
              <w:t xml:space="preserve"> H. W</w:t>
            </w:r>
            <w:r>
              <w:rPr>
                <w:rFonts w:ascii="Arial" w:cs="Arial" w:eastAsia="Arial" w:hAnsi="Arial"/>
                <w:sz w:val="8"/>
                <w:szCs w:val="8"/>
                <w:color w:val="auto"/>
              </w:rPr>
              <w:t>EIDEMEYER</w:t>
            </w:r>
          </w:p>
        </w:tc>
        <w:tc>
          <w:tcPr>
            <w:tcW w:w="428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380" w:type="dxa"/>
            <w:vAlign w:val="bottom"/>
          </w:tcPr>
          <w:p>
            <w:pPr>
              <w:ind w:left="300"/>
              <w:spacing w:after="0"/>
              <w:rPr>
                <w:sz w:val="20"/>
                <w:szCs w:val="20"/>
                <w:color w:val="auto"/>
              </w:rPr>
            </w:pPr>
            <w:r>
              <w:rPr>
                <w:rFonts w:ascii="Arial" w:cs="Arial" w:eastAsia="Arial" w:hAnsi="Arial"/>
                <w:sz w:val="13"/>
                <w:szCs w:val="13"/>
                <w:color w:val="auto"/>
              </w:rPr>
              <w:t>February 17, 2009</w:t>
            </w:r>
          </w:p>
        </w:tc>
      </w:tr>
      <w:tr>
        <w:trPr>
          <w:trHeight w:val="155"/>
        </w:trPr>
        <w:tc>
          <w:tcPr>
            <w:tcW w:w="680" w:type="dxa"/>
            <w:vAlign w:val="bottom"/>
          </w:tcPr>
          <w:p>
            <w:pPr>
              <w:spacing w:after="0"/>
              <w:rPr>
                <w:sz w:val="13"/>
                <w:szCs w:val="13"/>
                <w:color w:val="auto"/>
              </w:rPr>
            </w:pPr>
          </w:p>
        </w:tc>
        <w:tc>
          <w:tcPr>
            <w:tcW w:w="4120" w:type="dxa"/>
            <w:vAlign w:val="bottom"/>
            <w:gridSpan w:val="2"/>
          </w:tcPr>
          <w:p>
            <w:pPr>
              <w:jc w:val="center"/>
              <w:spacing w:after="0"/>
              <w:rPr>
                <w:sz w:val="20"/>
                <w:szCs w:val="20"/>
                <w:color w:val="auto"/>
              </w:rPr>
            </w:pPr>
            <w:r>
              <w:rPr>
                <w:rFonts w:ascii="Arial" w:cs="Arial" w:eastAsia="Arial" w:hAnsi="Arial"/>
                <w:sz w:val="13"/>
                <w:szCs w:val="13"/>
                <w:color w:val="auto"/>
                <w:w w:val="91"/>
              </w:rPr>
              <w:t>Thomas H. Weidemeyer</w:t>
            </w:r>
          </w:p>
        </w:tc>
        <w:tc>
          <w:tcPr>
            <w:tcW w:w="428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80" w:type="dxa"/>
            <w:vAlign w:val="bottom"/>
          </w:tcPr>
          <w:p>
            <w:pPr>
              <w:jc w:val="right"/>
              <w:ind w:right="3235"/>
              <w:spacing w:after="0"/>
              <w:rPr>
                <w:sz w:val="20"/>
                <w:szCs w:val="20"/>
                <w:color w:val="auto"/>
              </w:rPr>
            </w:pPr>
            <w:r>
              <w:rPr>
                <w:rFonts w:ascii="Arial" w:cs="Arial" w:eastAsia="Arial" w:hAnsi="Arial"/>
                <w:sz w:val="13"/>
                <w:szCs w:val="13"/>
                <w:color w:val="auto"/>
              </w:rPr>
              <w:t>120</w:t>
            </w:r>
          </w:p>
        </w:tc>
        <w:tc>
          <w:tcPr>
            <w:tcW w:w="238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66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428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6259195</wp:posOffset>
            </wp:positionH>
            <wp:positionV relativeFrom="paragraph">
              <wp:posOffset>-3560445</wp:posOffset>
            </wp:positionV>
            <wp:extent cx="1270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Waste Management, Inc.</w:t>
      </w:r>
    </w:p>
    <w:p>
      <w:pPr>
        <w:spacing w:after="0" w:line="96"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We have audited the consolidated financial statements of Waste Management, Inc. as of December 31, 2008 and 2007, and for each of the three years in the period ended December 31, 2008, and have issued our report thereon dated February 17, 2009 (included elsewhere in this Form 10-K). Our audits also included the financial statement schedule listed in Item 15(a)(2) of this Form 10-K. This schedule is the responsibility of the Company’s management. Our responsibility is to express an opinion based on our audits.</w:t>
      </w:r>
    </w:p>
    <w:p>
      <w:pPr>
        <w:spacing w:after="0" w:line="5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our opinion, the financial statement schedule referred to above, when considered in relation to the basic financial statements taken as a whole, presents fairly in all material respects the information set forth therein.</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17, 2009</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78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(In millions)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3"/>
              </w:rPr>
              <w:t>Balance</w:t>
            </w:r>
          </w:p>
        </w:tc>
        <w:tc>
          <w:tcPr>
            <w:tcW w:w="80" w:type="dxa"/>
            <w:vAlign w:val="bottom"/>
          </w:tcPr>
          <w:p>
            <w:pPr>
              <w:spacing w:after="0"/>
              <w:rPr>
                <w:sz w:val="10"/>
                <w:szCs w:val="10"/>
                <w:color w:val="auto"/>
              </w:rPr>
            </w:pPr>
          </w:p>
        </w:tc>
        <w:tc>
          <w:tcPr>
            <w:tcW w:w="11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3"/>
              </w:rPr>
              <w:t>Charged</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7"/>
              </w:rPr>
              <w:t>Accounts</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Balance</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rPr>
              <w:t>Written</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1"/>
              </w:rPr>
              <w:t>Beginning of</w:t>
            </w:r>
          </w:p>
        </w:tc>
        <w:tc>
          <w:tcPr>
            <w:tcW w:w="8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(Credited) to</w:t>
            </w:r>
          </w:p>
        </w:tc>
        <w:tc>
          <w:tcPr>
            <w:tcW w:w="80" w:type="dxa"/>
            <w:vAlign w:val="bottom"/>
          </w:tcPr>
          <w:p>
            <w:pPr>
              <w:spacing w:after="0"/>
              <w:rPr>
                <w:sz w:val="9"/>
                <w:szCs w:val="9"/>
                <w:color w:val="auto"/>
              </w:rPr>
            </w:pPr>
          </w:p>
        </w:tc>
        <w:tc>
          <w:tcPr>
            <w:tcW w:w="90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Off/Use of</w:t>
            </w:r>
          </w:p>
        </w:tc>
        <w:tc>
          <w:tcPr>
            <w:tcW w:w="900" w:type="dxa"/>
            <w:vAlign w:val="bottom"/>
            <w:gridSpan w:val="3"/>
            <w:vMerge w:val="restart"/>
          </w:tcPr>
          <w:p>
            <w:pPr>
              <w:jc w:val="right"/>
              <w:ind w:right="460"/>
              <w:spacing w:after="0"/>
              <w:rPr>
                <w:sz w:val="20"/>
                <w:szCs w:val="20"/>
                <w:color w:val="auto"/>
              </w:rPr>
            </w:pPr>
            <w:r>
              <w:rPr>
                <w:rFonts w:ascii="Arial" w:cs="Arial" w:eastAsia="Arial" w:hAnsi="Arial"/>
                <w:sz w:val="10"/>
                <w:szCs w:val="10"/>
                <w:b w:val="1"/>
                <w:bCs w:val="1"/>
                <w:color w:val="auto"/>
              </w:rPr>
              <w:t>Other(a)</w:t>
            </w:r>
          </w:p>
        </w:tc>
        <w:tc>
          <w:tcPr>
            <w:tcW w:w="480" w:type="dxa"/>
            <w:vAlign w:val="bottom"/>
            <w:gridSpan w:val="3"/>
          </w:tcPr>
          <w:p>
            <w:pPr>
              <w:ind w:left="40"/>
              <w:spacing w:after="0" w:line="108" w:lineRule="exact"/>
              <w:rPr>
                <w:sz w:val="20"/>
                <w:szCs w:val="20"/>
                <w:color w:val="auto"/>
              </w:rPr>
            </w:pPr>
            <w:r>
              <w:rPr>
                <w:rFonts w:ascii="Arial" w:cs="Arial" w:eastAsia="Arial" w:hAnsi="Arial"/>
                <w:sz w:val="10"/>
                <w:szCs w:val="10"/>
                <w:b w:val="1"/>
                <w:bCs w:val="1"/>
                <w:color w:val="auto"/>
              </w:rPr>
              <w:t>End of</w:t>
            </w:r>
          </w:p>
        </w:tc>
        <w:tc>
          <w:tcPr>
            <w:tcW w:w="0" w:type="dxa"/>
            <w:vAlign w:val="bottom"/>
          </w:tcPr>
          <w:p>
            <w:pPr>
              <w:spacing w:after="0"/>
              <w:rPr>
                <w:sz w:val="1"/>
                <w:szCs w:val="1"/>
                <w:color w:val="auto"/>
              </w:rPr>
            </w:pPr>
          </w:p>
        </w:tc>
      </w:tr>
      <w:tr>
        <w:trPr>
          <w:trHeight w:val="125"/>
        </w:trPr>
        <w:tc>
          <w:tcPr>
            <w:tcW w:w="28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Year</w:t>
            </w:r>
          </w:p>
        </w:tc>
        <w:tc>
          <w:tcPr>
            <w:tcW w:w="80" w:type="dxa"/>
            <w:vAlign w:val="bottom"/>
          </w:tcPr>
          <w:p>
            <w:pPr>
              <w:spacing w:after="0"/>
              <w:rPr>
                <w:sz w:val="10"/>
                <w:szCs w:val="10"/>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6"/>
              </w:rPr>
              <w:t>Income</w:t>
            </w: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Reserve</w:t>
            </w:r>
          </w:p>
        </w:tc>
        <w:tc>
          <w:tcPr>
            <w:tcW w:w="9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2"/>
              </w:rPr>
              <w:t>Year</w:t>
            </w:r>
          </w:p>
        </w:tc>
        <w:tc>
          <w:tcPr>
            <w:tcW w:w="0" w:type="dxa"/>
            <w:vAlign w:val="bottom"/>
          </w:tcPr>
          <w:p>
            <w:pPr>
              <w:spacing w:after="0"/>
              <w:rPr>
                <w:sz w:val="1"/>
                <w:szCs w:val="1"/>
                <w:color w:val="auto"/>
              </w:rPr>
            </w:pPr>
          </w:p>
        </w:tc>
      </w:tr>
      <w:tr>
        <w:trPr>
          <w:trHeight w:val="29"/>
        </w:trPr>
        <w:tc>
          <w:tcPr>
            <w:tcW w:w="2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2006</w:t>
            </w:r>
          </w:p>
        </w:tc>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Reserves for doubtful accounts(b)</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2007</w:t>
            </w:r>
          </w:p>
        </w:tc>
        <w:tc>
          <w:tcPr>
            <w:tcW w:w="4920" w:type="dxa"/>
            <w:vAlign w:val="bottom"/>
          </w:tcPr>
          <w:p>
            <w:pPr>
              <w:ind w:left="20"/>
              <w:spacing w:after="0"/>
              <w:rPr>
                <w:sz w:val="20"/>
                <w:szCs w:val="20"/>
                <w:color w:val="auto"/>
              </w:rPr>
            </w:pPr>
            <w:r>
              <w:rPr>
                <w:rFonts w:ascii="Arial" w:cs="Arial" w:eastAsia="Arial" w:hAnsi="Arial"/>
                <w:sz w:val="13"/>
                <w:szCs w:val="13"/>
                <w:color w:val="auto"/>
              </w:rPr>
              <w:t>— Reserves for doubtful accounts(b)</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43</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(44)</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2008</w:t>
            </w:r>
          </w:p>
        </w:tc>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Reserves for doubtful accounts(b)</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(56)</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2006</w:t>
            </w:r>
          </w:p>
        </w:tc>
        <w:tc>
          <w:tcPr>
            <w:tcW w:w="4920" w:type="dxa"/>
            <w:vAlign w:val="bottom"/>
          </w:tcPr>
          <w:p>
            <w:pPr>
              <w:ind w:left="20"/>
              <w:spacing w:after="0"/>
              <w:rPr>
                <w:sz w:val="20"/>
                <w:szCs w:val="20"/>
                <w:color w:val="auto"/>
              </w:rPr>
            </w:pPr>
            <w:r>
              <w:rPr>
                <w:rFonts w:ascii="Arial" w:cs="Arial" w:eastAsia="Arial" w:hAnsi="Arial"/>
                <w:sz w:val="13"/>
                <w:szCs w:val="13"/>
                <w:color w:val="auto"/>
              </w:rPr>
              <w:t>— Merger and restructuring accruals(c)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(7)</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2007</w:t>
            </w:r>
          </w:p>
        </w:tc>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Merger and restructuring accruals(c)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5"/>
        </w:trPr>
        <w:tc>
          <w:tcPr>
            <w:tcW w:w="280" w:type="dxa"/>
            <w:vAlign w:val="bottom"/>
          </w:tcPr>
          <w:p>
            <w:pPr>
              <w:jc w:val="right"/>
              <w:spacing w:after="0"/>
              <w:rPr>
                <w:sz w:val="20"/>
                <w:szCs w:val="20"/>
                <w:color w:val="auto"/>
              </w:rPr>
            </w:pPr>
            <w:r>
              <w:rPr>
                <w:rFonts w:ascii="Arial" w:cs="Arial" w:eastAsia="Arial" w:hAnsi="Arial"/>
                <w:sz w:val="13"/>
                <w:szCs w:val="13"/>
                <w:color w:val="auto"/>
                <w:w w:val="89"/>
              </w:rPr>
              <w:t>2008</w:t>
            </w:r>
          </w:p>
        </w:tc>
        <w:tc>
          <w:tcPr>
            <w:tcW w:w="4920" w:type="dxa"/>
            <w:vAlign w:val="bottom"/>
          </w:tcPr>
          <w:p>
            <w:pPr>
              <w:ind w:left="20"/>
              <w:spacing w:after="0"/>
              <w:rPr>
                <w:sz w:val="20"/>
                <w:szCs w:val="20"/>
                <w:color w:val="auto"/>
              </w:rPr>
            </w:pPr>
            <w:r>
              <w:rPr>
                <w:rFonts w:ascii="Arial" w:cs="Arial" w:eastAsia="Arial" w:hAnsi="Arial"/>
                <w:sz w:val="13"/>
                <w:szCs w:val="13"/>
                <w:color w:val="auto"/>
              </w:rPr>
              <w:t>— Merger and restructuring accruals(c)</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3"/>
                <w:szCs w:val="13"/>
                <w:color w:val="auto"/>
              </w:rPr>
              <w:t>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(4)</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right="560" w:hanging="313"/>
        <w:spacing w:after="0" w:line="276" w:lineRule="auto"/>
        <w:tabs>
          <w:tab w:leader="none" w:pos="10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“Other” activity is related to reserves for doubtful accounts of acquired businesses, reserves associated with dispositions of businesses, reserves reclassified to operations held-for-sale, and reclassifications among reserve accounts.</w:t>
      </w:r>
    </w:p>
    <w:p>
      <w:pPr>
        <w:spacing w:after="0" w:line="10" w:lineRule="exact"/>
        <w:rPr>
          <w:rFonts w:ascii="Arial" w:cs="Arial" w:eastAsia="Arial" w:hAnsi="Arial"/>
          <w:sz w:val="13"/>
          <w:szCs w:val="13"/>
          <w:color w:val="auto"/>
        </w:rPr>
      </w:pPr>
    </w:p>
    <w:p>
      <w:pPr>
        <w:ind w:left="1000" w:hanging="313"/>
        <w:spacing w:after="0"/>
        <w:tabs>
          <w:tab w:leader="none" w:pos="10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Includes reserves for doubtful accounts receivable and notes receivable.</w:t>
      </w:r>
    </w:p>
    <w:p>
      <w:pPr>
        <w:spacing w:after="0" w:line="47" w:lineRule="exact"/>
        <w:rPr>
          <w:rFonts w:ascii="Arial" w:cs="Arial" w:eastAsia="Arial" w:hAnsi="Arial"/>
          <w:sz w:val="13"/>
          <w:szCs w:val="13"/>
          <w:color w:val="auto"/>
        </w:rPr>
      </w:pPr>
    </w:p>
    <w:p>
      <w:pPr>
        <w:ind w:left="1000" w:hanging="313"/>
        <w:spacing w:after="0"/>
        <w:tabs>
          <w:tab w:leader="none" w:pos="100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Included in accrued liabilities in our Consolidated Balance Sheets. These accruals represent employee severance and benefit costs and transitional costs.</w:t>
      </w:r>
    </w:p>
    <w:p>
      <w:pPr>
        <w:spacing w:after="0" w:line="29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40" w:type="dxa"/>
            <w:vAlign w:val="bottom"/>
          </w:tcPr>
          <w:p>
            <w:pPr>
              <w:spacing w:after="0"/>
              <w:rPr>
                <w:sz w:val="14"/>
                <w:szCs w:val="14"/>
                <w:color w:val="auto"/>
              </w:rPr>
            </w:pPr>
          </w:p>
        </w:tc>
        <w:tc>
          <w:tcPr>
            <w:tcW w:w="9720" w:type="dxa"/>
            <w:vAlign w:val="bottom"/>
            <w:gridSpan w:val="3"/>
          </w:tcPr>
          <w:p>
            <w:pPr>
              <w:ind w:left="3280"/>
              <w:spacing w:after="0"/>
              <w:rPr>
                <w:sz w:val="20"/>
                <w:szCs w:val="20"/>
                <w:color w:val="auto"/>
              </w:rPr>
            </w:pPr>
            <w:r>
              <w:rPr>
                <w:rFonts w:ascii="Arial" w:cs="Arial" w:eastAsia="Arial" w:hAnsi="Arial"/>
                <w:sz w:val="13"/>
                <w:szCs w:val="13"/>
                <w:b w:val="1"/>
                <w:bCs w:val="1"/>
                <w:color w:val="auto"/>
              </w:rPr>
              <w:t>INDEX TO EXHIBITS</w:t>
            </w:r>
          </w:p>
        </w:tc>
      </w:tr>
      <w:tr>
        <w:trPr>
          <w:trHeight w:val="218"/>
        </w:trPr>
        <w:tc>
          <w:tcPr>
            <w:tcW w:w="1740" w:type="dxa"/>
            <w:vAlign w:val="bottom"/>
          </w:tcPr>
          <w:p>
            <w:pPr>
              <w:jc w:val="right"/>
              <w:spacing w:after="0"/>
              <w:rPr>
                <w:sz w:val="20"/>
                <w:szCs w:val="20"/>
                <w:color w:val="auto"/>
              </w:rPr>
            </w:pPr>
            <w:r>
              <w:rPr>
                <w:rFonts w:ascii="Arial" w:cs="Arial" w:eastAsia="Arial" w:hAnsi="Arial"/>
                <w:sz w:val="10"/>
                <w:szCs w:val="10"/>
                <w:b w:val="1"/>
                <w:bCs w:val="1"/>
                <w:color w:val="auto"/>
              </w:rPr>
              <w:t>Exhibit No.*</w:t>
            </w:r>
          </w:p>
        </w:tc>
        <w:tc>
          <w:tcPr>
            <w:tcW w:w="4540" w:type="dxa"/>
            <w:vAlign w:val="bottom"/>
          </w:tcPr>
          <w:p>
            <w:pPr>
              <w:spacing w:after="0"/>
              <w:rPr>
                <w:sz w:val="18"/>
                <w:szCs w:val="18"/>
                <w:color w:val="auto"/>
              </w:rPr>
            </w:pPr>
          </w:p>
        </w:tc>
        <w:tc>
          <w:tcPr>
            <w:tcW w:w="5180" w:type="dxa"/>
            <w:vAlign w:val="bottom"/>
            <w:gridSpan w:val="2"/>
          </w:tcPr>
          <w:p>
            <w:pPr>
              <w:ind w:left="20"/>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17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r>
        <w:trPr>
          <w:trHeight w:val="178"/>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3.1</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Second Amended and Restated Certificate of Incorporation [Incorporated by reference to Exhibit 3.1 to Form 10-Q for the quarter ended June 30, 2002].</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3.2</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Amended and Restated Bylaws [Incorporated by reference to Exhibit 3.2 to Form 8-K dated December 11, 2008].</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4.1</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Specimen Stock Certificate [Incorporated by reference to Exhibit 4.1 to Form 10-K for the year ended December 31, 1998].</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4.2</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w w:val="99"/>
              </w:rPr>
              <w:t>—  Indenture for Subordinated Debt Securities dated February 1, 1997, among the Registrant and Texas Commerce Bank National Association, as trustee [Incorporated</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by reference to Exhibit 4.1 to Form 8-K dated February 7, 1997].</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4.3</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Indenture for Senior Debt Securities dated September 10, 1997, among the Registrant and Texas Commerce Bank National Association, as trustee [Incorporated by</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reference to Exhibit 4.1 to Form 8-K dated September 10, 1997].</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10.1</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2004 Stock Incentive Plan [Incorporated by reference to Appendix C-1 to the Proxy Statement for the 2004 Annual Meeting of Stockholders].</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10.2</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2005 Annual Incentive Plan [Incorporated by reference to Appendix D-1 to the Proxy Statement for the 2004 Annual Meeting of Stockholders].</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10.3</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1997 Employee Stock Purchase Plan [Incorporated by reference to Appendix C to the Proxy Statement for the 2006 Annual Meeting of Stockholders].</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10.4</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Waste Management, Inc. 409A Deferral Savings Plan. [Incorporated by reference to Exhibit 10.4 to Form 10-K for the year ended December 31, 2006].</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10.5</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$2.4 Billion Revolving Credit Agreement by and among Waste Management, Inc. and Waste Management Holdings, Inc. and certain banks party thereto and</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Citibank, N.A. as Administrative Agent, JP Morgan Chase Bank, N.A. and Bank of America, N.A., as Syndication Agents and Barclays Bank PLC and Deutsche</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Bank Securities Inc. as Documentation Agents and J.P. Morgan Securities Inc. and Banc of America Securities LLC, as Lead Arrangers and Bookrunners dated</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August 17, 2006. [Incorporated by reference to Exhibit 10.1 to Form 10-Q for the quarter ended September 30, 2006].</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10.6</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Ten-Year Letter of Credit and Term Loan Agreement among the Company, Waste Management Holdings, Inc., and Bank of America, N.A., as Administrative Agent</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and Letter of Credit Issuer and the Lenders party thereto, dated as of June 30, 2003. [Incorporated by reference to Exhibit 10.2 to Form 10-Q for the quarter ended</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June 30, 2003].</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10.7</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Seven-Year Letter of Credit and Term Loan Agreement among the Company, Waste Management Holdings, Inc., and Bank of America, N.A., as Administrative</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Agent and Letter of Credit Issuer and the Lenders party thereto, dated as of June 30, 2003. [Incorporated by reference to Exhibit 10.4 to Form 10-Q for the quarter</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ended June 30, 2003].</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10.8</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2003 Waste Management, Inc. Directors Deferred Compensation Plan [Incorporated by reference to Exhibit 10.5 to Form 10-Q for the quarter ended June 30, 2003].</w:t>
            </w:r>
          </w:p>
        </w:tc>
      </w:tr>
      <w:tr>
        <w:trPr>
          <w:trHeight w:val="157"/>
        </w:trPr>
        <w:tc>
          <w:tcPr>
            <w:tcW w:w="1740" w:type="dxa"/>
            <w:vAlign w:val="bottom"/>
          </w:tcPr>
          <w:p>
            <w:pPr>
              <w:jc w:val="right"/>
              <w:ind w:right="355"/>
              <w:spacing w:after="0"/>
              <w:rPr>
                <w:sz w:val="20"/>
                <w:szCs w:val="20"/>
                <w:color w:val="auto"/>
              </w:rPr>
            </w:pPr>
            <w:r>
              <w:rPr>
                <w:rFonts w:ascii="Arial" w:cs="Arial" w:eastAsia="Arial" w:hAnsi="Arial"/>
                <w:sz w:val="13"/>
                <w:szCs w:val="13"/>
                <w:color w:val="auto"/>
              </w:rPr>
              <w:t>10.9</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Employment Agreement between the Company and Cherie C. Rice dated August 26, 2005 [Incorporated by reference to Exhibit 99.1 to Form 8-K dated August 26,</w:t>
            </w:r>
          </w:p>
        </w:tc>
      </w:tr>
      <w:tr>
        <w:trPr>
          <w:trHeight w:val="157"/>
        </w:trPr>
        <w:tc>
          <w:tcPr>
            <w:tcW w:w="1740" w:type="dxa"/>
            <w:vAlign w:val="bottom"/>
          </w:tcPr>
          <w:p>
            <w:pPr>
              <w:spacing w:after="0"/>
              <w:rPr>
                <w:sz w:val="13"/>
                <w:szCs w:val="13"/>
                <w:color w:val="auto"/>
              </w:rPr>
            </w:pPr>
          </w:p>
        </w:tc>
        <w:tc>
          <w:tcPr>
            <w:tcW w:w="4540" w:type="dxa"/>
            <w:vAlign w:val="bottom"/>
          </w:tcPr>
          <w:p>
            <w:pPr>
              <w:ind w:left="260"/>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c>
          <w:tcPr>
            <w:tcW w:w="5080" w:type="dxa"/>
            <w:vAlign w:val="bottom"/>
          </w:tcPr>
          <w:p>
            <w:pPr>
              <w:spacing w:after="0"/>
              <w:rPr>
                <w:sz w:val="13"/>
                <w:szCs w:val="13"/>
                <w:color w:val="auto"/>
              </w:rPr>
            </w:pPr>
          </w:p>
        </w:tc>
      </w:tr>
      <w:tr>
        <w:trPr>
          <w:trHeight w:val="157"/>
        </w:trPr>
        <w:tc>
          <w:tcPr>
            <w:tcW w:w="1740" w:type="dxa"/>
            <w:vAlign w:val="bottom"/>
          </w:tcPr>
          <w:p>
            <w:pPr>
              <w:jc w:val="right"/>
              <w:ind w:right="295"/>
              <w:spacing w:after="0"/>
              <w:rPr>
                <w:sz w:val="20"/>
                <w:szCs w:val="20"/>
                <w:color w:val="auto"/>
              </w:rPr>
            </w:pPr>
            <w:r>
              <w:rPr>
                <w:rFonts w:ascii="Arial" w:cs="Arial" w:eastAsia="Arial" w:hAnsi="Arial"/>
                <w:sz w:val="13"/>
                <w:szCs w:val="13"/>
                <w:color w:val="auto"/>
              </w:rPr>
              <w:t>10.10</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Employment Agreement between the Company and Greg A. Robertson dated August 1, 2003 [Incorporated by reference to Exhibit 10.2 to Form 10-Q for the</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quarter ended June 30, 2004].</w:t>
            </w:r>
          </w:p>
        </w:tc>
      </w:tr>
      <w:tr>
        <w:trPr>
          <w:trHeight w:val="157"/>
        </w:trPr>
        <w:tc>
          <w:tcPr>
            <w:tcW w:w="1740" w:type="dxa"/>
            <w:vAlign w:val="bottom"/>
          </w:tcPr>
          <w:p>
            <w:pPr>
              <w:jc w:val="right"/>
              <w:ind w:right="295"/>
              <w:spacing w:after="0"/>
              <w:rPr>
                <w:sz w:val="20"/>
                <w:szCs w:val="20"/>
                <w:color w:val="auto"/>
              </w:rPr>
            </w:pPr>
            <w:r>
              <w:rPr>
                <w:rFonts w:ascii="Arial" w:cs="Arial" w:eastAsia="Arial" w:hAnsi="Arial"/>
                <w:sz w:val="13"/>
                <w:szCs w:val="13"/>
                <w:color w:val="auto"/>
              </w:rPr>
              <w:t>10.11</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Employment Agreement between the Company and Lawrence O’Donnell III dated January 21, 2000 [Incorporated by reference to Exhibit 10.1 to Form 10-Q for the</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quarter ended June 30, 2000].</w:t>
            </w:r>
          </w:p>
        </w:tc>
      </w:tr>
      <w:tr>
        <w:trPr>
          <w:trHeight w:val="157"/>
        </w:trPr>
        <w:tc>
          <w:tcPr>
            <w:tcW w:w="1740" w:type="dxa"/>
            <w:vAlign w:val="bottom"/>
          </w:tcPr>
          <w:p>
            <w:pPr>
              <w:jc w:val="right"/>
              <w:ind w:right="295"/>
              <w:spacing w:after="0"/>
              <w:rPr>
                <w:sz w:val="20"/>
                <w:szCs w:val="20"/>
                <w:color w:val="auto"/>
              </w:rPr>
            </w:pPr>
            <w:r>
              <w:rPr>
                <w:rFonts w:ascii="Arial" w:cs="Arial" w:eastAsia="Arial" w:hAnsi="Arial"/>
                <w:sz w:val="13"/>
                <w:szCs w:val="13"/>
                <w:color w:val="auto"/>
              </w:rPr>
              <w:t>10.12</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Employment Agreement between the Company and Lynn M. Caddell dated March 12, 2004 [Incorporated by reference to Exhibit 10.1 to Form 10-Q for the quarter</w:t>
            </w:r>
          </w:p>
        </w:tc>
      </w:tr>
      <w:tr>
        <w:trPr>
          <w:trHeight w:val="157"/>
        </w:trPr>
        <w:tc>
          <w:tcPr>
            <w:tcW w:w="1740" w:type="dxa"/>
            <w:vAlign w:val="bottom"/>
          </w:tcPr>
          <w:p>
            <w:pPr>
              <w:spacing w:after="0"/>
              <w:rPr>
                <w:sz w:val="13"/>
                <w:szCs w:val="13"/>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ended March 31, 2004].</w:t>
            </w:r>
          </w:p>
        </w:tc>
      </w:tr>
      <w:tr>
        <w:trPr>
          <w:trHeight w:val="157"/>
        </w:trPr>
        <w:tc>
          <w:tcPr>
            <w:tcW w:w="1740" w:type="dxa"/>
            <w:vAlign w:val="bottom"/>
          </w:tcPr>
          <w:p>
            <w:pPr>
              <w:jc w:val="right"/>
              <w:ind w:right="295"/>
              <w:spacing w:after="0"/>
              <w:rPr>
                <w:sz w:val="20"/>
                <w:szCs w:val="20"/>
                <w:color w:val="auto"/>
              </w:rPr>
            </w:pPr>
            <w:r>
              <w:rPr>
                <w:rFonts w:ascii="Arial" w:cs="Arial" w:eastAsia="Arial" w:hAnsi="Arial"/>
                <w:sz w:val="13"/>
                <w:szCs w:val="13"/>
                <w:color w:val="auto"/>
              </w:rPr>
              <w:t>10.13</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Employment Agreement between the Company and Duane C. Woods dated October 20, 2004 [Incorporated by reference to Form 8-K dated October 20, 2004].</w:t>
            </w:r>
          </w:p>
        </w:tc>
      </w:tr>
      <w:tr>
        <w:trPr>
          <w:trHeight w:val="157"/>
        </w:trPr>
        <w:tc>
          <w:tcPr>
            <w:tcW w:w="1740" w:type="dxa"/>
            <w:vAlign w:val="bottom"/>
          </w:tcPr>
          <w:p>
            <w:pPr>
              <w:jc w:val="right"/>
              <w:ind w:right="295"/>
              <w:spacing w:after="0"/>
              <w:rPr>
                <w:sz w:val="20"/>
                <w:szCs w:val="20"/>
                <w:color w:val="auto"/>
              </w:rPr>
            </w:pPr>
            <w:r>
              <w:rPr>
                <w:rFonts w:ascii="Arial" w:cs="Arial" w:eastAsia="Arial" w:hAnsi="Arial"/>
                <w:sz w:val="13"/>
                <w:szCs w:val="13"/>
                <w:color w:val="auto"/>
              </w:rPr>
              <w:t>10.14</w:t>
            </w:r>
          </w:p>
        </w:tc>
        <w:tc>
          <w:tcPr>
            <w:tcW w:w="9720" w:type="dxa"/>
            <w:vAlign w:val="bottom"/>
            <w:gridSpan w:val="3"/>
          </w:tcPr>
          <w:p>
            <w:pPr>
              <w:ind w:left="40"/>
              <w:spacing w:after="0"/>
              <w:rPr>
                <w:sz w:val="20"/>
                <w:szCs w:val="20"/>
                <w:color w:val="auto"/>
              </w:rPr>
            </w:pPr>
            <w:r>
              <w:rPr>
                <w:rFonts w:ascii="Arial" w:cs="Arial" w:eastAsia="Arial" w:hAnsi="Arial"/>
                <w:sz w:val="13"/>
                <w:szCs w:val="13"/>
                <w:color w:val="auto"/>
              </w:rPr>
              <w:t>—  Employment Agreement between the Company and David Steiner dated as of May 6, 2002 [Incorporated by reference to Exhibit 10.1 to Form 10-Q for the quarter</w:t>
            </w:r>
          </w:p>
        </w:tc>
      </w:tr>
      <w:tr>
        <w:trPr>
          <w:trHeight w:val="165"/>
        </w:trPr>
        <w:tc>
          <w:tcPr>
            <w:tcW w:w="1740" w:type="dxa"/>
            <w:vAlign w:val="bottom"/>
          </w:tcPr>
          <w:p>
            <w:pPr>
              <w:spacing w:after="0"/>
              <w:rPr>
                <w:sz w:val="14"/>
                <w:szCs w:val="14"/>
                <w:color w:val="auto"/>
              </w:rPr>
            </w:pPr>
          </w:p>
        </w:tc>
        <w:tc>
          <w:tcPr>
            <w:tcW w:w="9720" w:type="dxa"/>
            <w:vAlign w:val="bottom"/>
            <w:gridSpan w:val="3"/>
          </w:tcPr>
          <w:p>
            <w:pPr>
              <w:ind w:left="260"/>
              <w:spacing w:after="0"/>
              <w:rPr>
                <w:sz w:val="20"/>
                <w:szCs w:val="20"/>
                <w:color w:val="auto"/>
              </w:rPr>
            </w:pPr>
            <w:r>
              <w:rPr>
                <w:rFonts w:ascii="Arial" w:cs="Arial" w:eastAsia="Arial" w:hAnsi="Arial"/>
                <w:sz w:val="13"/>
                <w:szCs w:val="13"/>
                <w:color w:val="auto"/>
              </w:rPr>
              <w:t>ended March 31, 2002].</w:t>
            </w:r>
          </w:p>
        </w:tc>
      </w:tr>
      <w:tr>
        <w:trPr>
          <w:trHeight w:val="452"/>
        </w:trPr>
        <w:tc>
          <w:tcPr>
            <w:tcW w:w="1740" w:type="dxa"/>
            <w:vAlign w:val="bottom"/>
          </w:tcPr>
          <w:p>
            <w:pPr>
              <w:spacing w:after="0"/>
              <w:rPr>
                <w:sz w:val="24"/>
                <w:szCs w:val="24"/>
                <w:color w:val="auto"/>
              </w:rPr>
            </w:pPr>
          </w:p>
        </w:tc>
        <w:tc>
          <w:tcPr>
            <w:tcW w:w="4540" w:type="dxa"/>
            <w:vAlign w:val="bottom"/>
          </w:tcPr>
          <w:p>
            <w:pPr>
              <w:ind w:left="3840"/>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63"/>
        </w:trPr>
        <w:tc>
          <w:tcPr>
            <w:tcW w:w="1740" w:type="dxa"/>
            <w:vAlign w:val="bottom"/>
            <w:tcBorders>
              <w:bottom w:val="single" w:sz="8" w:color="808080"/>
            </w:tcBorders>
          </w:tcPr>
          <w:p>
            <w:pPr>
              <w:spacing w:after="0"/>
              <w:rPr>
                <w:sz w:val="14"/>
                <w:szCs w:val="14"/>
                <w:color w:val="auto"/>
              </w:rPr>
            </w:pPr>
          </w:p>
        </w:tc>
        <w:tc>
          <w:tcPr>
            <w:tcW w:w="4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-3728720</wp:posOffset>
            </wp:positionV>
            <wp:extent cx="635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080" w:type="dxa"/>
        <w:tblCellMar>
          <w:top w:w="0" w:type="dxa"/>
          <w:left w:w="0" w:type="dxa"/>
          <w:bottom w:w="0" w:type="dxa"/>
          <w:right w:w="0" w:type="dxa"/>
        </w:tblCellMar>
      </w:tblPr>
      <w:tr>
        <w:trPr>
          <w:trHeight w:val="135"/>
        </w:trPr>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Exhibit No.*</w:t>
            </w:r>
          </w:p>
        </w:tc>
        <w:tc>
          <w:tcPr>
            <w:tcW w:w="4540" w:type="dxa"/>
            <w:vAlign w:val="bottom"/>
          </w:tcPr>
          <w:p>
            <w:pPr>
              <w:spacing w:after="0"/>
              <w:rPr>
                <w:sz w:val="11"/>
                <w:szCs w:val="11"/>
                <w:color w:val="auto"/>
              </w:rPr>
            </w:pPr>
          </w:p>
        </w:tc>
        <w:tc>
          <w:tcPr>
            <w:tcW w:w="4380" w:type="dxa"/>
            <w:vAlign w:val="bottom"/>
            <w:gridSpan w:val="2"/>
          </w:tcPr>
          <w:p>
            <w:pPr>
              <w:ind w:left="20"/>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6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78"/>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85"/>
              </w:rPr>
              <w:t>10.15</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2"/>
              </w:rPr>
              <w:t>—  Employment Agreement between the Company and James E. Trevathan dated as of June 1, 2000. [Incorporated by reference to Exhibit 10.19 to Form 10-K for the</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year ended December 31, 2000].</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85"/>
              </w:rPr>
              <w:t>10.16</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4"/>
              </w:rPr>
              <w:t>—  Employment Agreement between Recycle America Alliance, LLC and Patrick DeRueda dated as of August 4, 2005 [Incorporated by reference to Exhibit 99.1 to</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Form 8-K dated August 8, 2005].</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85"/>
              </w:rPr>
              <w:t>10.17</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4"/>
              </w:rPr>
              <w:t>—  Employment Agreement between the Company and Robert G. Simpson dated as of October 20, 2004 [Incorporated by reference to Form 8-K dated October 20,</w:t>
            </w:r>
          </w:p>
        </w:tc>
      </w:tr>
      <w:tr>
        <w:trPr>
          <w:trHeight w:val="157"/>
        </w:trPr>
        <w:tc>
          <w:tcPr>
            <w:tcW w:w="660" w:type="dxa"/>
            <w:vAlign w:val="bottom"/>
          </w:tcPr>
          <w:p>
            <w:pPr>
              <w:spacing w:after="0"/>
              <w:rPr>
                <w:sz w:val="13"/>
                <w:szCs w:val="13"/>
                <w:color w:val="auto"/>
              </w:rPr>
            </w:pPr>
          </w:p>
        </w:tc>
        <w:tc>
          <w:tcPr>
            <w:tcW w:w="4540" w:type="dxa"/>
            <w:vAlign w:val="bottom"/>
          </w:tcPr>
          <w:p>
            <w:pPr>
              <w:ind w:left="260"/>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3"/>
                <w:szCs w:val="13"/>
                <w:color w:val="auto"/>
              </w:rPr>
            </w:pPr>
          </w:p>
        </w:tc>
        <w:tc>
          <w:tcPr>
            <w:tcW w:w="4280" w:type="dxa"/>
            <w:vAlign w:val="bottom"/>
          </w:tcPr>
          <w:p>
            <w:pPr>
              <w:spacing w:after="0"/>
              <w:rPr>
                <w:sz w:val="13"/>
                <w:szCs w:val="13"/>
                <w:color w:val="auto"/>
              </w:rPr>
            </w:pP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85"/>
              </w:rPr>
              <w:t>10.18</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2"/>
              </w:rPr>
              <w:t>—  Employment Agreement between the Company and Barry H. Caldwell dated as of September 23, 2002 [Incorporated by reference to Exhibit 10.24 to Form 10-K for</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the year ended December 31, 2002].</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85"/>
              </w:rPr>
              <w:t>10.19</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4"/>
              </w:rPr>
              <w:t>—  Employment Agreement between the Company and David Aardsma dated June 16, 2005 [Incorporated by reference to Exhibit 99.1 to Form 8-K dated June 22,</w:t>
            </w:r>
          </w:p>
        </w:tc>
      </w:tr>
      <w:tr>
        <w:trPr>
          <w:trHeight w:val="157"/>
        </w:trPr>
        <w:tc>
          <w:tcPr>
            <w:tcW w:w="660" w:type="dxa"/>
            <w:vAlign w:val="bottom"/>
          </w:tcPr>
          <w:p>
            <w:pPr>
              <w:spacing w:after="0"/>
              <w:rPr>
                <w:sz w:val="13"/>
                <w:szCs w:val="13"/>
                <w:color w:val="auto"/>
              </w:rPr>
            </w:pPr>
          </w:p>
        </w:tc>
        <w:tc>
          <w:tcPr>
            <w:tcW w:w="4540" w:type="dxa"/>
            <w:vAlign w:val="bottom"/>
          </w:tcPr>
          <w:p>
            <w:pPr>
              <w:ind w:left="260"/>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c>
          <w:tcPr>
            <w:tcW w:w="4280" w:type="dxa"/>
            <w:vAlign w:val="bottom"/>
          </w:tcPr>
          <w:p>
            <w:pPr>
              <w:spacing w:after="0"/>
              <w:rPr>
                <w:sz w:val="13"/>
                <w:szCs w:val="13"/>
                <w:color w:val="auto"/>
              </w:rPr>
            </w:pP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85"/>
              </w:rPr>
              <w:t>10.20</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3"/>
              </w:rPr>
              <w:t>—  Employment Agreement between the Company and Rick L Wittenbraker dated as of November 10, 2003 [Incorporated by reference to Exhibit 10.30 to Form 10-K</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for the year ended December 31, 2003].</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85"/>
              </w:rPr>
              <w:t>10.21</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7"/>
              </w:rPr>
              <w:t>—  Employment Agreement between Wheelabrator Technologies Inc. and Mark A. Weidman dated May 11, 2006. [Incorporated by reference to Exhibit 10.1 to</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Form 8-K dated May 11, 2006].</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85"/>
              </w:rPr>
              <w:t>10.22</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2"/>
              </w:rPr>
              <w:t>—  Employment Agreement between the Company and Jeff Harris dated December 1, 2006. [Incorporated by reference to Exhibit 10.1 to Form 8-K dated December 1,</w:t>
            </w:r>
          </w:p>
        </w:tc>
      </w:tr>
      <w:tr>
        <w:trPr>
          <w:trHeight w:val="157"/>
        </w:trPr>
        <w:tc>
          <w:tcPr>
            <w:tcW w:w="660" w:type="dxa"/>
            <w:vAlign w:val="bottom"/>
          </w:tcPr>
          <w:p>
            <w:pPr>
              <w:spacing w:after="0"/>
              <w:rPr>
                <w:sz w:val="13"/>
                <w:szCs w:val="13"/>
                <w:color w:val="auto"/>
              </w:rPr>
            </w:pPr>
          </w:p>
        </w:tc>
        <w:tc>
          <w:tcPr>
            <w:tcW w:w="4540" w:type="dxa"/>
            <w:vAlign w:val="bottom"/>
          </w:tcPr>
          <w:p>
            <w:pPr>
              <w:ind w:left="260"/>
              <w:spacing w:after="0"/>
              <w:rPr>
                <w:sz w:val="20"/>
                <w:szCs w:val="20"/>
                <w:color w:val="auto"/>
              </w:rPr>
            </w:pPr>
            <w:r>
              <w:rPr>
                <w:rFonts w:ascii="Arial" w:cs="Arial" w:eastAsia="Arial" w:hAnsi="Arial"/>
                <w:sz w:val="13"/>
                <w:szCs w:val="13"/>
                <w:color w:val="auto"/>
              </w:rPr>
              <w:t>2006].</w:t>
            </w:r>
          </w:p>
        </w:tc>
        <w:tc>
          <w:tcPr>
            <w:tcW w:w="100" w:type="dxa"/>
            <w:vAlign w:val="bottom"/>
          </w:tcPr>
          <w:p>
            <w:pPr>
              <w:spacing w:after="0"/>
              <w:rPr>
                <w:sz w:val="13"/>
                <w:szCs w:val="13"/>
                <w:color w:val="auto"/>
              </w:rPr>
            </w:pPr>
          </w:p>
        </w:tc>
        <w:tc>
          <w:tcPr>
            <w:tcW w:w="4280" w:type="dxa"/>
            <w:vAlign w:val="bottom"/>
          </w:tcPr>
          <w:p>
            <w:pPr>
              <w:spacing w:after="0"/>
              <w:rPr>
                <w:sz w:val="13"/>
                <w:szCs w:val="13"/>
                <w:color w:val="auto"/>
              </w:rPr>
            </w:pP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85"/>
              </w:rPr>
              <w:t>10.23</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4"/>
              </w:rPr>
              <w:t>—  Employment Agreement between the Company and Michael Jay Romans dated January 25, 2007. [Incorporated by reference to Exhibit 10.1 to Form 8-K dated</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January 25, 2007].</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85"/>
              </w:rPr>
              <w:t>10.24</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5"/>
              </w:rPr>
              <w:t>—  Employment Agreement between Waste Management, Inc. and Brett Frazier dated July 13, 2007 [Incorporated by reference to Exhibit 10.1 to Form 8-K dated</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July 13, 2007].</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85"/>
              </w:rPr>
              <w:t>10.25</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1"/>
              </w:rPr>
              <w:t>—  CDN $410,000,000 Credit Facility Credit Agreement by and between Waste Management of Canada Corporation (as Borrower), Waste Management, Inc. and Waste</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w w:val="92"/>
              </w:rPr>
              <w:t>Management Holdings, Inc. (as Guarantors), BNP Paribas Securities Corp. and Scotia Capital (as Lead Arrangers and Book Runners) and Bank of Nova Scotia (as</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w w:val="94"/>
              </w:rPr>
              <w:t>Administrative Agent) and the Lenders from time to time party to the Agreement dated as of November 30, 2005. [Incorporated by reference to Exhibit 10.32 to</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Form 10-K for the year ended December 31, 2005].</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85"/>
              </w:rPr>
              <w:t>10.26</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1"/>
              </w:rPr>
              <w:t>—  First Amendment Agreement dated as of December 21, 2007 to a Credit Agreement dated as of November 30, 2005 by and between Waste Management of Canada</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w w:val="91"/>
              </w:rPr>
              <w:t>Corporation as borrower, Waste Management, Inc. and Waste Management Holdings, Inc. as guarantors, the lenders from time to time party thereto and the Bank of</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Nova Scotia as Administrative Agent.</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92"/>
              </w:rPr>
              <w:t>12.1*</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rPr>
              <w:t>—  Computation of Ratio of Earnings to Fixed Charges.</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92"/>
              </w:rPr>
              <w:t>21.1*</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rPr>
              <w:t>—  Subsidiaries of the Registrant.</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92"/>
              </w:rPr>
              <w:t>23.1*</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rPr>
              <w:t>—  Consent of Independent Registered Public Accounting Firm.</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92"/>
              </w:rPr>
              <w:t>31.1*</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rPr>
              <w:t>—  Certification Pursuant to Rule 15d-14(a) under the Securities Exchange Act of 1934, as amended, of David P. Steiner, Chief Executive Officer.</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92"/>
              </w:rPr>
              <w:t>31.2*</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w w:val="92"/>
              </w:rPr>
              <w:t>—  Certification Pursuant to Rule 15d-14(a) under the Securities Exchange Act of 1934, as amended, of Robert G. Simpson, Senior Vice President and Chief Financial</w:t>
            </w:r>
          </w:p>
        </w:tc>
      </w:tr>
      <w:tr>
        <w:trPr>
          <w:trHeight w:val="157"/>
        </w:trPr>
        <w:tc>
          <w:tcPr>
            <w:tcW w:w="660" w:type="dxa"/>
            <w:vAlign w:val="bottom"/>
          </w:tcPr>
          <w:p>
            <w:pPr>
              <w:spacing w:after="0"/>
              <w:rPr>
                <w:sz w:val="13"/>
                <w:szCs w:val="13"/>
                <w:color w:val="auto"/>
              </w:rPr>
            </w:pPr>
          </w:p>
        </w:tc>
        <w:tc>
          <w:tcPr>
            <w:tcW w:w="8920" w:type="dxa"/>
            <w:vAlign w:val="bottom"/>
            <w:gridSpan w:val="3"/>
          </w:tcPr>
          <w:p>
            <w:pPr>
              <w:ind w:left="260"/>
              <w:spacing w:after="0"/>
              <w:rPr>
                <w:sz w:val="20"/>
                <w:szCs w:val="20"/>
                <w:color w:val="auto"/>
              </w:rPr>
            </w:pPr>
            <w:r>
              <w:rPr>
                <w:rFonts w:ascii="Arial" w:cs="Arial" w:eastAsia="Arial" w:hAnsi="Arial"/>
                <w:sz w:val="13"/>
                <w:szCs w:val="13"/>
                <w:color w:val="auto"/>
              </w:rPr>
              <w:t>Officer.</w:t>
            </w:r>
          </w:p>
        </w:tc>
      </w:tr>
      <w:tr>
        <w:trPr>
          <w:trHeight w:val="157"/>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92"/>
              </w:rPr>
              <w:t>32.1*</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rPr>
              <w:t>—  Certification Pursuant to 18 U.S.C. §1350 of David P. Steiner, Chief Executive Officer.</w:t>
            </w:r>
          </w:p>
        </w:tc>
      </w:tr>
      <w:tr>
        <w:trPr>
          <w:trHeight w:val="165"/>
        </w:trPr>
        <w:tc>
          <w:tcPr>
            <w:tcW w:w="660" w:type="dxa"/>
            <w:vAlign w:val="bottom"/>
          </w:tcPr>
          <w:p>
            <w:pPr>
              <w:jc w:val="right"/>
              <w:ind w:right="295"/>
              <w:spacing w:after="0"/>
              <w:rPr>
                <w:sz w:val="20"/>
                <w:szCs w:val="20"/>
                <w:color w:val="auto"/>
              </w:rPr>
            </w:pPr>
            <w:r>
              <w:rPr>
                <w:rFonts w:ascii="Arial" w:cs="Arial" w:eastAsia="Arial" w:hAnsi="Arial"/>
                <w:sz w:val="13"/>
                <w:szCs w:val="13"/>
                <w:color w:val="auto"/>
                <w:w w:val="92"/>
              </w:rPr>
              <w:t>32.2*</w:t>
            </w:r>
          </w:p>
        </w:tc>
        <w:tc>
          <w:tcPr>
            <w:tcW w:w="8920" w:type="dxa"/>
            <w:vAlign w:val="bottom"/>
            <w:gridSpan w:val="3"/>
          </w:tcPr>
          <w:p>
            <w:pPr>
              <w:ind w:left="4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729615</wp:posOffset>
            </wp:positionH>
            <wp:positionV relativeFrom="paragraph">
              <wp:posOffset>-3524885</wp:posOffset>
            </wp:positionV>
            <wp:extent cx="635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800"/>
        <w:spacing w:after="0"/>
        <w:tabs>
          <w:tab w:leader="none" w:pos="9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Filed herewith.</w:t>
      </w:r>
    </w:p>
    <w:p>
      <w:pPr>
        <w:spacing w:after="0" w:line="13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124</w:t>
      </w:r>
    </w:p>
    <w:p>
      <w:pPr>
        <w:sectPr>
          <w:pgSz w:w="11900" w:h="16838" w:orient="portrait"/>
          <w:cols w:equalWidth="0" w:num="1">
            <w:col w:w="10660"/>
          </w:cols>
          <w:pgMar w:left="220" w:top="343" w:right="10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3"/>
          <w:szCs w:val="13"/>
          <w:b w:val="1"/>
          <w:bCs w:val="1"/>
          <w:color w:val="auto"/>
        </w:rPr>
        <w:t>Exhibit 12.1</w:t>
      </w:r>
    </w:p>
    <w:p>
      <w:pPr>
        <w:spacing w:after="0" w:line="136" w:lineRule="exact"/>
        <w:rPr>
          <w:sz w:val="20"/>
          <w:szCs w:val="20"/>
          <w:color w:val="auto"/>
        </w:rPr>
      </w:pPr>
    </w:p>
    <w:p>
      <w:pPr>
        <w:ind w:left="4821"/>
        <w:spacing w:after="0"/>
        <w:rPr>
          <w:sz w:val="20"/>
          <w:szCs w:val="20"/>
          <w:color w:val="auto"/>
        </w:rPr>
      </w:pPr>
      <w:r>
        <w:rPr>
          <w:rFonts w:ascii="Arial" w:cs="Arial" w:eastAsia="Arial" w:hAnsi="Arial"/>
          <w:sz w:val="13"/>
          <w:szCs w:val="13"/>
          <w:b w:val="1"/>
          <w:bCs w:val="1"/>
          <w:color w:val="auto"/>
        </w:rPr>
        <w:t>WASTE MANAGEMENT, INC.</w:t>
      </w:r>
    </w:p>
    <w:p>
      <w:pPr>
        <w:spacing w:after="0" w:line="86" w:lineRule="exact"/>
        <w:rPr>
          <w:sz w:val="20"/>
          <w:szCs w:val="20"/>
          <w:color w:val="auto"/>
        </w:rPr>
      </w:pPr>
    </w:p>
    <w:p>
      <w:pPr>
        <w:ind w:left="3761"/>
        <w:spacing w:after="0"/>
        <w:rPr>
          <w:sz w:val="20"/>
          <w:szCs w:val="20"/>
          <w:color w:val="auto"/>
        </w:rPr>
      </w:pPr>
      <w:r>
        <w:rPr>
          <w:rFonts w:ascii="Arial" w:cs="Arial" w:eastAsia="Arial" w:hAnsi="Arial"/>
          <w:sz w:val="13"/>
          <w:szCs w:val="13"/>
          <w:b w:val="1"/>
          <w:bCs w:val="1"/>
          <w:color w:val="auto"/>
        </w:rPr>
        <w:t>COMPUTATION OF RATIO OF EARNINGS TO FIXED CHARGES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49" w:lineRule="exact"/>
        <w:rPr>
          <w:sz w:val="20"/>
          <w:szCs w:val="20"/>
          <w:color w:val="auto"/>
        </w:rPr>
      </w:pPr>
    </w:p>
    <w:tbl>
      <w:tblPr>
        <w:tblLayout w:type="fixed"/>
        <w:tblInd w:w="1"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0"/>
                <w:szCs w:val="10"/>
                <w:b w:val="1"/>
                <w:bCs w:val="1"/>
                <w:color w:val="auto"/>
              </w:rPr>
              <w:t>Years Ended 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2006</w:t>
            </w:r>
          </w:p>
        </w:tc>
        <w:tc>
          <w:tcPr>
            <w:tcW w:w="6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56"/>
              <w:spacing w:after="0" w:line="98" w:lineRule="exact"/>
              <w:rPr>
                <w:sz w:val="20"/>
                <w:szCs w:val="20"/>
                <w:color w:val="auto"/>
              </w:rPr>
            </w:pPr>
            <w:r>
              <w:rPr>
                <w:rFonts w:ascii="Arial" w:cs="Arial" w:eastAsia="Arial" w:hAnsi="Arial"/>
                <w:sz w:val="10"/>
                <w:szCs w:val="10"/>
                <w:b w:val="1"/>
                <w:bCs w:val="1"/>
                <w:color w:val="auto"/>
              </w:rPr>
              <w:t>2005</w:t>
            </w: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0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Income before income taxes, cumulative effect of change in accounting principle,</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losses in equity investments and minority interests</w:t>
            </w:r>
          </w:p>
        </w:tc>
        <w:tc>
          <w:tcPr>
            <w:tcW w:w="6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1,801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1,792</w:t>
            </w:r>
          </w:p>
        </w:tc>
        <w:tc>
          <w:tcPr>
            <w:tcW w:w="2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1,560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w:t>
            </w:r>
          </w:p>
        </w:tc>
        <w:tc>
          <w:tcPr>
            <w:tcW w:w="3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4720" w:type="dxa"/>
            <w:vAlign w:val="bottom"/>
            <w:gridSpan w:val="2"/>
          </w:tcPr>
          <w:p>
            <w:pPr>
              <w:spacing w:after="0"/>
              <w:rPr>
                <w:sz w:val="20"/>
                <w:szCs w:val="20"/>
                <w:color w:val="auto"/>
              </w:rPr>
            </w:pPr>
            <w:r>
              <w:rPr>
                <w:rFonts w:ascii="Arial" w:cs="Arial" w:eastAsia="Arial" w:hAnsi="Arial"/>
                <w:sz w:val="13"/>
                <w:szCs w:val="13"/>
                <w:color w:val="auto"/>
              </w:rPr>
              <w:t>Fixed charges deducted from income:</w:t>
            </w: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expense</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455</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521</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545</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tcPr>
          <w:p>
            <w:pPr>
              <w:ind w:left="120"/>
              <w:spacing w:after="0"/>
              <w:rPr>
                <w:sz w:val="20"/>
                <w:szCs w:val="20"/>
                <w:color w:val="auto"/>
              </w:rPr>
            </w:pPr>
            <w:r>
              <w:rPr>
                <w:rFonts w:ascii="Arial" w:cs="Arial" w:eastAsia="Arial" w:hAnsi="Arial"/>
                <w:sz w:val="13"/>
                <w:szCs w:val="13"/>
                <w:color w:val="auto"/>
              </w:rPr>
              <w:t>Implicit interest in rents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38</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49</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493</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565</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594</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Earnings available for fixed charges (a)</w:t>
            </w: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2,294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2,357</w:t>
            </w:r>
          </w:p>
        </w:tc>
        <w:tc>
          <w:tcPr>
            <w:tcW w:w="2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2,154</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1,800</w:t>
            </w:r>
          </w:p>
        </w:tc>
        <w:tc>
          <w:tcPr>
            <w:tcW w:w="3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6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455</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521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545</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3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Capitalized interest</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Implicit interest in rents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38</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49</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280"/>
              <w:spacing w:after="0"/>
              <w:rPr>
                <w:sz w:val="20"/>
                <w:szCs w:val="20"/>
                <w:color w:val="auto"/>
              </w:rPr>
            </w:pPr>
            <w:r>
              <w:rPr>
                <w:rFonts w:ascii="Arial" w:cs="Arial" w:eastAsia="Arial" w:hAnsi="Arial"/>
                <w:sz w:val="13"/>
                <w:szCs w:val="13"/>
                <w:color w:val="auto"/>
              </w:rPr>
              <w:t>Total fixed charges (a)</w:t>
            </w: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700"/>
              <w:spacing w:after="0"/>
              <w:rPr>
                <w:sz w:val="20"/>
                <w:szCs w:val="20"/>
                <w:color w:val="auto"/>
              </w:rPr>
            </w:pPr>
            <w:r>
              <w:rPr>
                <w:rFonts w:ascii="Arial" w:cs="Arial" w:eastAsia="Arial" w:hAnsi="Arial"/>
                <w:sz w:val="13"/>
                <w:szCs w:val="13"/>
                <w:color w:val="auto"/>
              </w:rPr>
              <w:t>510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587</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3"/>
                <w:szCs w:val="13"/>
                <w:color w:val="auto"/>
              </w:rPr>
              <w:t>612</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556</w:t>
            </w:r>
          </w:p>
        </w:tc>
        <w:tc>
          <w:tcPr>
            <w:tcW w:w="3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Ratio of earnings to fixed charges</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3"/>
                <w:szCs w:val="13"/>
                <w:color w:val="auto"/>
              </w:rPr>
              <w:t>4.5x</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4.0x</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3.5x</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3.2x</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3.5x</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31064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56" w:lineRule="exact"/>
        <w:rPr>
          <w:sz w:val="20"/>
          <w:szCs w:val="20"/>
          <w:color w:val="auto"/>
        </w:rPr>
      </w:pPr>
    </w:p>
    <w:p>
      <w:pPr>
        <w:ind w:left="461" w:right="120" w:hanging="461"/>
        <w:spacing w:after="0" w:line="264" w:lineRule="auto"/>
        <w:tabs>
          <w:tab w:leader="none" w:pos="461"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To the extent interest may be assessed by taxing authorities on any underpayment of income tax, such amounts are classified as a component of income tax expense in our Statements of Operations. For purposes of this disclosure, we have elected to exclude interest expense related to income tax matters from our measurements of “Earnings available for fixed charges” and “Total fixed charges” for all periods presented.</w:t>
      </w:r>
    </w:p>
    <w:p>
      <w:pPr>
        <w:sectPr>
          <w:pgSz w:w="11900" w:h="16838" w:orient="portrait"/>
          <w:cols w:equalWidth="0" w:num="1">
            <w:col w:w="11461"/>
          </w:cols>
          <w:pgMar w:left="219" w:top="127" w:right="2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9"/>
        </w:trPr>
        <w:tc>
          <w:tcPr>
            <w:tcW w:w="6500" w:type="dxa"/>
            <w:vAlign w:val="bottom"/>
          </w:tcPr>
          <w:p>
            <w:pPr>
              <w:spacing w:after="0"/>
              <w:rPr>
                <w:sz w:val="14"/>
                <w:szCs w:val="14"/>
                <w:color w:val="auto"/>
              </w:rPr>
            </w:pPr>
          </w:p>
        </w:tc>
        <w:tc>
          <w:tcPr>
            <w:tcW w:w="4960" w:type="dxa"/>
            <w:vAlign w:val="bottom"/>
          </w:tcPr>
          <w:p>
            <w:pPr>
              <w:ind w:left="4300"/>
              <w:spacing w:after="0"/>
              <w:rPr>
                <w:sz w:val="20"/>
                <w:szCs w:val="20"/>
                <w:color w:val="auto"/>
              </w:rPr>
            </w:pPr>
            <w:r>
              <w:rPr>
                <w:rFonts w:ascii="Arial" w:cs="Arial" w:eastAsia="Arial" w:hAnsi="Arial"/>
                <w:sz w:val="13"/>
                <w:szCs w:val="13"/>
                <w:b w:val="1"/>
                <w:bCs w:val="1"/>
                <w:color w:val="auto"/>
                <w:w w:val="88"/>
              </w:rPr>
              <w:t>Exhibit 21.1</w:t>
            </w:r>
          </w:p>
        </w:tc>
      </w:tr>
      <w:tr>
        <w:trPr>
          <w:trHeight w:val="267"/>
        </w:trPr>
        <w:tc>
          <w:tcPr>
            <w:tcW w:w="6500" w:type="dxa"/>
            <w:vAlign w:val="bottom"/>
          </w:tcPr>
          <w:p>
            <w:pPr>
              <w:spacing w:after="0"/>
              <w:rPr>
                <w:sz w:val="20"/>
                <w:szCs w:val="20"/>
                <w:color w:val="auto"/>
              </w:rPr>
            </w:pPr>
            <w:r>
              <w:rPr>
                <w:rFonts w:ascii="Arial" w:cs="Arial" w:eastAsia="Arial" w:hAnsi="Arial"/>
                <w:sz w:val="10"/>
                <w:szCs w:val="10"/>
                <w:b w:val="1"/>
                <w:bCs w:val="1"/>
                <w:i w:val="1"/>
                <w:iCs w:val="1"/>
                <w:color w:val="auto"/>
              </w:rPr>
              <w:t>Name</w:t>
            </w:r>
          </w:p>
        </w:tc>
        <w:tc>
          <w:tcPr>
            <w:tcW w:w="4960" w:type="dxa"/>
            <w:vAlign w:val="bottom"/>
          </w:tcPr>
          <w:p>
            <w:pPr>
              <w:jc w:val="center"/>
              <w:ind w:left="3635"/>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0842463 B.C. Ltd.</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5"/>
              </w:rPr>
              <w:t>British Columbia</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1329409 Ontario Inc.</w:t>
            </w:r>
          </w:p>
        </w:tc>
        <w:tc>
          <w:tcPr>
            <w:tcW w:w="4960" w:type="dxa"/>
            <w:vAlign w:val="bottom"/>
          </w:tcPr>
          <w:p>
            <w:pPr>
              <w:jc w:val="center"/>
              <w:ind w:left="3655"/>
              <w:spacing w:after="0"/>
              <w:rPr>
                <w:sz w:val="20"/>
                <w:szCs w:val="20"/>
                <w:color w:val="auto"/>
              </w:rPr>
            </w:pPr>
            <w:r>
              <w:rPr>
                <w:rFonts w:ascii="Arial" w:cs="Arial" w:eastAsia="Arial" w:hAnsi="Arial"/>
                <w:sz w:val="13"/>
                <w:szCs w:val="13"/>
                <w:color w:val="auto"/>
                <w:w w:val="93"/>
              </w:rPr>
              <w:t>Ontario</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2M Investments, L.L.C.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4"/>
              </w:rPr>
              <w:t>Utah</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3368084 Canada Inc.</w:t>
            </w:r>
          </w:p>
        </w:tc>
        <w:tc>
          <w:tcPr>
            <w:tcW w:w="4960" w:type="dxa"/>
            <w:vAlign w:val="bottom"/>
          </w:tcPr>
          <w:p>
            <w:pPr>
              <w:jc w:val="center"/>
              <w:ind w:left="3655"/>
              <w:spacing w:after="0"/>
              <w:rPr>
                <w:sz w:val="20"/>
                <w:szCs w:val="20"/>
                <w:color w:val="auto"/>
              </w:rPr>
            </w:pPr>
            <w:r>
              <w:rPr>
                <w:rFonts w:ascii="Arial" w:cs="Arial" w:eastAsia="Arial" w:hAnsi="Arial"/>
                <w:sz w:val="13"/>
                <w:szCs w:val="13"/>
                <w:color w:val="auto"/>
                <w:w w:val="87"/>
              </w:rPr>
              <w:t>Canada</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635952 Ontario Inc.</w:t>
            </w:r>
          </w:p>
        </w:tc>
        <w:tc>
          <w:tcPr>
            <w:tcW w:w="496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3"/>
              </w:rPr>
              <w:t>Ontario</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Acaverde S.A. de C.V.</w:t>
            </w:r>
          </w:p>
        </w:tc>
        <w:tc>
          <w:tcPr>
            <w:tcW w:w="4960" w:type="dxa"/>
            <w:vAlign w:val="bottom"/>
          </w:tcPr>
          <w:p>
            <w:pPr>
              <w:jc w:val="center"/>
              <w:ind w:left="3655"/>
              <w:spacing w:after="0"/>
              <w:rPr>
                <w:sz w:val="20"/>
                <w:szCs w:val="20"/>
                <w:color w:val="auto"/>
              </w:rPr>
            </w:pPr>
            <w:r>
              <w:rPr>
                <w:rFonts w:ascii="Arial" w:cs="Arial" w:eastAsia="Arial" w:hAnsi="Arial"/>
                <w:sz w:val="13"/>
                <w:szCs w:val="13"/>
                <w:color w:val="auto"/>
                <w:w w:val="97"/>
              </w:rPr>
              <w:t>Mexico</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Acaverde Servicios, S.A. de C.V.</w:t>
            </w:r>
          </w:p>
        </w:tc>
        <w:tc>
          <w:tcPr>
            <w:tcW w:w="496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7"/>
              </w:rPr>
              <w:t>Mexico</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Advanced Environmental Technical Services, L.L.C.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Akron Regional Landfill, Inc.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Alabama Waste Disposal Solutions, L.L.C.</w:t>
            </w:r>
          </w:p>
        </w:tc>
        <w:tc>
          <w:tcPr>
            <w:tcW w:w="4960" w:type="dxa"/>
            <w:vAlign w:val="bottom"/>
          </w:tcPr>
          <w:p>
            <w:pPr>
              <w:jc w:val="center"/>
              <w:ind w:left="3655"/>
              <w:spacing w:after="0"/>
              <w:rPr>
                <w:sz w:val="20"/>
                <w:szCs w:val="20"/>
                <w:color w:val="auto"/>
              </w:rPr>
            </w:pPr>
            <w:r>
              <w:rPr>
                <w:rFonts w:ascii="Arial" w:cs="Arial" w:eastAsia="Arial" w:hAnsi="Arial"/>
                <w:sz w:val="13"/>
                <w:szCs w:val="13"/>
                <w:color w:val="auto"/>
                <w:w w:val="93"/>
              </w:rPr>
              <w:t>Alabama</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Alliance Sanitary Landfill, Inc.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0"/>
              </w:rPr>
              <w:t>Pennsylvania</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Alpharetta Transfer Station, LLC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Georgia</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American Landfill, Inc.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4"/>
              </w:rPr>
              <w:t>Ohio</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American RRT Fiber Supply, L.P.</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Pennsylvania</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Anderson Landfill, Inc.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Antelope Valley Recycling and Disposal Facility, Inc.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8"/>
              </w:rPr>
              <w:t>California</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Arden Landfill, Inc.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0"/>
              </w:rPr>
              <w:t>Pennsylvania</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Atlantic Waste Disposal, Inc.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Automated Salvage Transport Co., L.L.C.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Auxiwaste Services SA</w:t>
            </w:r>
          </w:p>
        </w:tc>
        <w:tc>
          <w:tcPr>
            <w:tcW w:w="4960" w:type="dxa"/>
            <w:vAlign w:val="bottom"/>
          </w:tcPr>
          <w:p>
            <w:pPr>
              <w:jc w:val="center"/>
              <w:ind w:left="3655"/>
              <w:spacing w:after="0"/>
              <w:rPr>
                <w:sz w:val="20"/>
                <w:szCs w:val="20"/>
                <w:color w:val="auto"/>
              </w:rPr>
            </w:pPr>
            <w:r>
              <w:rPr>
                <w:rFonts w:ascii="Arial" w:cs="Arial" w:eastAsia="Arial" w:hAnsi="Arial"/>
                <w:sz w:val="13"/>
                <w:szCs w:val="13"/>
                <w:color w:val="auto"/>
                <w:w w:val="88"/>
              </w:rPr>
              <w:t>France</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Avalon South, LLC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Avalon Southwest, Inc.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Azusa Land Reclamation, Inc.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8"/>
              </w:rPr>
              <w:t>California</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B&amp;B Landfill, Inc.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Barre Landfill Gas Associates, L.P.</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Beecher Development Company</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rPr>
              <w:t>Illinois</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Bestan Inc.</w:t>
            </w:r>
          </w:p>
        </w:tc>
        <w:tc>
          <w:tcPr>
            <w:tcW w:w="496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87"/>
              </w:rPr>
              <w:t>Quebec</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Big Dipper Enterprises, Inc.</w:t>
            </w:r>
          </w:p>
        </w:tc>
        <w:tc>
          <w:tcPr>
            <w:tcW w:w="4960" w:type="dxa"/>
            <w:vAlign w:val="bottom"/>
          </w:tcPr>
          <w:p>
            <w:pPr>
              <w:jc w:val="center"/>
              <w:ind w:left="3655"/>
              <w:spacing w:after="0"/>
              <w:rPr>
                <w:sz w:val="20"/>
                <w:szCs w:val="20"/>
                <w:color w:val="auto"/>
              </w:rPr>
            </w:pPr>
            <w:r>
              <w:rPr>
                <w:rFonts w:ascii="Arial" w:cs="Arial" w:eastAsia="Arial" w:hAnsi="Arial"/>
                <w:sz w:val="13"/>
                <w:szCs w:val="13"/>
                <w:color w:val="auto"/>
                <w:w w:val="93"/>
              </w:rPr>
              <w:t>North Dakota</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Bluegrass Containment, L.L.C.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Brazoria County Recycling Center, Inc.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84"/>
              </w:rPr>
              <w:t>Texas</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Burnsville Sanitary Landfill, Inc.</w:t>
            </w:r>
          </w:p>
        </w:tc>
        <w:tc>
          <w:tcPr>
            <w:tcW w:w="496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3"/>
              </w:rPr>
              <w:t>Minnesota</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C&amp;C Disposal, LLC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Georgia</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C.I.D. Landfill, Inc.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5"/>
              </w:rPr>
              <w:t>New York</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CA Newco, L.L.C.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Cal Sierra Disposal</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8"/>
              </w:rPr>
              <w:t>California</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California Asbestos Monofill, Inc.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8"/>
              </w:rPr>
              <w:t>California</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Canadian Waste Services Holdings Inc.</w:t>
            </w:r>
          </w:p>
        </w:tc>
        <w:tc>
          <w:tcPr>
            <w:tcW w:w="496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3"/>
              </w:rPr>
              <w:t>Ontario</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CAP/CRA, L.L.C.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rPr>
              <w:t>Illinois</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Capital Sanitation Company</w:t>
            </w:r>
          </w:p>
        </w:tc>
        <w:tc>
          <w:tcPr>
            <w:tcW w:w="496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89"/>
              </w:rPr>
              <w:t>Nevada</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Capitol Disposal, Inc.</w:t>
            </w:r>
          </w:p>
        </w:tc>
        <w:tc>
          <w:tcPr>
            <w:tcW w:w="4960" w:type="dxa"/>
            <w:vAlign w:val="bottom"/>
          </w:tcPr>
          <w:p>
            <w:pPr>
              <w:jc w:val="center"/>
              <w:ind w:left="3655"/>
              <w:spacing w:after="0"/>
              <w:rPr>
                <w:sz w:val="20"/>
                <w:szCs w:val="20"/>
                <w:color w:val="auto"/>
              </w:rPr>
            </w:pPr>
            <w:r>
              <w:rPr>
                <w:rFonts w:ascii="Arial" w:cs="Arial" w:eastAsia="Arial" w:hAnsi="Arial"/>
                <w:sz w:val="13"/>
                <w:szCs w:val="13"/>
                <w:color w:val="auto"/>
                <w:w w:val="92"/>
              </w:rPr>
              <w:t>Alaska</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Carolina Grading, Inc.</w:t>
            </w:r>
          </w:p>
        </w:tc>
        <w:tc>
          <w:tcPr>
            <w:tcW w:w="496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2"/>
              </w:rPr>
              <w:t>South Carolina</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Cedar Ridge Landfill, Inc.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Central Disposal Systems, Inc.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4"/>
              </w:rPr>
              <w:t>Iowa</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Chadwick Road Landfill, Inc.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Georgia</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Chambers Clearview Environmental Landfill, Inc.</w:t>
            </w:r>
          </w:p>
        </w:tc>
        <w:tc>
          <w:tcPr>
            <w:tcW w:w="496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5"/>
              </w:rPr>
              <w:t>Mississippi</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Chambers Development Company, Inc.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Chambers Development of Ohio, Inc.</w:t>
            </w:r>
          </w:p>
        </w:tc>
        <w:tc>
          <w:tcPr>
            <w:tcW w:w="496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4"/>
              </w:rPr>
              <w:t>Ohio</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Chambers of Georgia, Inc.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Chambers of Mississippi, Inc.</w:t>
            </w:r>
          </w:p>
        </w:tc>
        <w:tc>
          <w:tcPr>
            <w:tcW w:w="496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5"/>
              </w:rPr>
              <w:t>Mississippi</w:t>
            </w:r>
          </w:p>
        </w:tc>
      </w:tr>
      <w:tr>
        <w:trPr>
          <w:trHeight w:val="165"/>
        </w:trPr>
        <w:tc>
          <w:tcPr>
            <w:tcW w:w="6500" w:type="dxa"/>
            <w:vAlign w:val="bottom"/>
          </w:tcPr>
          <w:p>
            <w:pPr>
              <w:spacing w:after="0"/>
              <w:rPr>
                <w:sz w:val="20"/>
                <w:szCs w:val="20"/>
                <w:color w:val="auto"/>
              </w:rPr>
            </w:pPr>
            <w:r>
              <w:rPr>
                <w:rFonts w:ascii="Arial" w:cs="Arial" w:eastAsia="Arial" w:hAnsi="Arial"/>
                <w:sz w:val="13"/>
                <w:szCs w:val="13"/>
                <w:color w:val="auto"/>
              </w:rPr>
              <w:t>Chemical Waste Management of Indiana, L.L.C.</w:t>
            </w:r>
          </w:p>
        </w:tc>
        <w:tc>
          <w:tcPr>
            <w:tcW w:w="4960" w:type="dxa"/>
            <w:vAlign w:val="bottom"/>
          </w:tcPr>
          <w:p>
            <w:pPr>
              <w:jc w:val="center"/>
              <w:ind w:left="3635"/>
              <w:spacing w:after="0"/>
              <w:rPr>
                <w:sz w:val="20"/>
                <w:szCs w:val="20"/>
                <w:color w:val="auto"/>
              </w:rPr>
            </w:pPr>
            <w:r>
              <w:rPr>
                <w:rFonts w:ascii="Arial" w:cs="Arial" w:eastAsia="Arial" w:hAnsi="Arial"/>
                <w:sz w:val="13"/>
                <w:szCs w:val="13"/>
                <w:color w:val="auto"/>
                <w:w w:val="90"/>
              </w:rPr>
              <w:t>Delaware</w:t>
            </w:r>
          </w:p>
        </w:tc>
      </w:tr>
      <w:tr>
        <w:trPr>
          <w:trHeight w:val="440"/>
        </w:trPr>
        <w:tc>
          <w:tcPr>
            <w:tcW w:w="650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21"/>
        </w:trPr>
        <w:tc>
          <w:tcPr>
            <w:tcW w:w="6480" w:type="dxa"/>
            <w:vAlign w:val="bottom"/>
          </w:tcPr>
          <w:p>
            <w:pPr>
              <w:spacing w:after="0"/>
              <w:rPr>
                <w:sz w:val="20"/>
                <w:szCs w:val="20"/>
                <w:color w:val="auto"/>
              </w:rPr>
            </w:pPr>
            <w:r>
              <w:rPr>
                <w:rFonts w:ascii="Arial" w:cs="Arial" w:eastAsia="Arial" w:hAnsi="Arial"/>
                <w:sz w:val="10"/>
                <w:szCs w:val="10"/>
                <w:b w:val="1"/>
                <w:bCs w:val="1"/>
                <w:i w:val="1"/>
                <w:iCs w:val="1"/>
                <w:color w:val="auto"/>
              </w:rPr>
              <w:t>Name</w:t>
            </w:r>
          </w:p>
        </w:tc>
        <w:tc>
          <w:tcPr>
            <w:tcW w:w="4980" w:type="dxa"/>
            <w:vAlign w:val="bottom"/>
          </w:tcPr>
          <w:p>
            <w:pPr>
              <w:jc w:val="center"/>
              <w:ind w:left="3655"/>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Chemical Waste Management of the Northwest,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0"/>
              </w:rPr>
              <w:t>Washington</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Chemical Waste Management,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Chesser Island Road Landfill,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0"/>
              </w:rPr>
              <w:t>Georgia</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City Disposal Systems,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City Environmental Services, Inc. of Waters</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6"/>
              </w:rPr>
              <w:t>Michigan</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City Environmental,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City Management Corporation</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6"/>
              </w:rPr>
              <w:t>Michigan</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Cleburne Landfill Company Corp.</w:t>
            </w:r>
          </w:p>
        </w:tc>
        <w:tc>
          <w:tcPr>
            <w:tcW w:w="4980" w:type="dxa"/>
            <w:vAlign w:val="bottom"/>
          </w:tcPr>
          <w:p>
            <w:pPr>
              <w:jc w:val="center"/>
              <w:ind w:left="3675"/>
              <w:spacing w:after="0"/>
              <w:rPr>
                <w:sz w:val="20"/>
                <w:szCs w:val="20"/>
                <w:color w:val="auto"/>
              </w:rPr>
            </w:pPr>
            <w:r>
              <w:rPr>
                <w:rFonts w:ascii="Arial" w:cs="Arial" w:eastAsia="Arial" w:hAnsi="Arial"/>
                <w:sz w:val="13"/>
                <w:szCs w:val="13"/>
                <w:color w:val="auto"/>
                <w:w w:val="93"/>
              </w:rPr>
              <w:t>Alabama</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Coast Waste Management,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8"/>
              </w:rPr>
              <w:t>California</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Connecticut Valley Sanitary Waste Disposal, Inc.</w:t>
            </w:r>
          </w:p>
        </w:tc>
        <w:tc>
          <w:tcPr>
            <w:tcW w:w="4980" w:type="dxa"/>
            <w:vAlign w:val="bottom"/>
          </w:tcPr>
          <w:p>
            <w:pPr>
              <w:jc w:val="center"/>
              <w:ind w:left="3675"/>
              <w:spacing w:after="0"/>
              <w:rPr>
                <w:sz w:val="20"/>
                <w:szCs w:val="20"/>
                <w:color w:val="auto"/>
              </w:rPr>
            </w:pPr>
            <w:r>
              <w:rPr>
                <w:rFonts w:ascii="Arial" w:cs="Arial" w:eastAsia="Arial" w:hAnsi="Arial"/>
                <w:sz w:val="13"/>
                <w:szCs w:val="13"/>
                <w:color w:val="auto"/>
                <w:w w:val="87"/>
              </w:rPr>
              <w:t>Massachusetts</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Conservation Services, Inc.</w:t>
            </w:r>
          </w:p>
        </w:tc>
        <w:tc>
          <w:tcPr>
            <w:tcW w:w="4980" w:type="dxa"/>
            <w:vAlign w:val="bottom"/>
            <w:shd w:val="clear" w:color="auto" w:fill="CCEEFF"/>
          </w:tcPr>
          <w:p>
            <w:pPr>
              <w:jc w:val="center"/>
              <w:ind w:left="3675"/>
              <w:spacing w:after="0"/>
              <w:rPr>
                <w:sz w:val="20"/>
                <w:szCs w:val="20"/>
                <w:color w:val="auto"/>
              </w:rPr>
            </w:pPr>
            <w:r>
              <w:rPr>
                <w:rFonts w:ascii="Arial" w:cs="Arial" w:eastAsia="Arial" w:hAnsi="Arial"/>
                <w:sz w:val="13"/>
                <w:szCs w:val="13"/>
                <w:color w:val="auto"/>
                <w:w w:val="90"/>
              </w:rPr>
              <w:t>Colorado</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Continental Waste Industries Arizona, Inc.</w:t>
            </w:r>
          </w:p>
        </w:tc>
        <w:tc>
          <w:tcPr>
            <w:tcW w:w="4980" w:type="dxa"/>
            <w:vAlign w:val="bottom"/>
          </w:tcPr>
          <w:p>
            <w:pPr>
              <w:jc w:val="center"/>
              <w:ind w:left="3675"/>
              <w:spacing w:after="0"/>
              <w:rPr>
                <w:sz w:val="20"/>
                <w:szCs w:val="20"/>
                <w:color w:val="auto"/>
              </w:rPr>
            </w:pPr>
            <w:r>
              <w:rPr>
                <w:rFonts w:ascii="Arial" w:cs="Arial" w:eastAsia="Arial" w:hAnsi="Arial"/>
                <w:sz w:val="13"/>
                <w:szCs w:val="13"/>
                <w:color w:val="auto"/>
                <w:w w:val="88"/>
              </w:rPr>
              <w:t>New Jersey</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Corporate Housing Initiatives II Limited Partnership</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Coshocton Landfill,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4"/>
              </w:rPr>
              <w:t>Ohio</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Cougar Landfill,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84"/>
              </w:rPr>
              <w:t>Texas</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Countryside Landfill,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rPr>
              <w:t>Illinois</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CR Group, LLC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4"/>
              </w:rPr>
              <w:t>Utah</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Cuyahoga Landfill,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CWM Chemical Services, L.L.C.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Dafter Sanitary Landfill,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6"/>
              </w:rPr>
              <w:t>Michigan</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Dauphin Meadows,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0"/>
              </w:rPr>
              <w:t>Pennsylvania</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Deep Valley Landfill,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Deer Track Park Landfill,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Del Almo Landfill, L.L.C.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Delaware Recyclable Products,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Dickinson Landfill,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Disposal Service, Incorporated</w:t>
            </w:r>
          </w:p>
        </w:tc>
        <w:tc>
          <w:tcPr>
            <w:tcW w:w="4980" w:type="dxa"/>
            <w:vAlign w:val="bottom"/>
            <w:shd w:val="clear" w:color="auto" w:fill="CCEEFF"/>
          </w:tcPr>
          <w:p>
            <w:pPr>
              <w:jc w:val="center"/>
              <w:ind w:left="3675"/>
              <w:spacing w:after="0"/>
              <w:rPr>
                <w:sz w:val="20"/>
                <w:szCs w:val="20"/>
                <w:color w:val="auto"/>
              </w:rPr>
            </w:pPr>
            <w:r>
              <w:rPr>
                <w:rFonts w:ascii="Arial" w:cs="Arial" w:eastAsia="Arial" w:hAnsi="Arial"/>
                <w:sz w:val="13"/>
                <w:szCs w:val="13"/>
                <w:color w:val="auto"/>
                <w:w w:val="93"/>
              </w:rPr>
              <w:t>West Virginia</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Dominium Opportunity Fund</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8"/>
              </w:rPr>
              <w:t>California</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Donahue/JRP Asia Pacific Ltd</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5"/>
              </w:rPr>
              <w:t>Hong Kong</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Downtown Diversion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8"/>
              </w:rPr>
              <w:t>California</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E.C. Waste,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1"/>
              </w:rPr>
              <w:t>Puerto Rico</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Earthmovers Landfill, L.L.C.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East Liverpool Landfill,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4"/>
              </w:rPr>
              <w:t>Ohio</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Eastern One Land Corporation</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Eco-Vista, LLC</w:t>
            </w:r>
          </w:p>
        </w:tc>
        <w:tc>
          <w:tcPr>
            <w:tcW w:w="4980" w:type="dxa"/>
            <w:vAlign w:val="bottom"/>
            <w:shd w:val="clear" w:color="auto" w:fill="CCEEFF"/>
          </w:tcPr>
          <w:p>
            <w:pPr>
              <w:jc w:val="center"/>
              <w:ind w:left="3675"/>
              <w:spacing w:after="0"/>
              <w:rPr>
                <w:sz w:val="20"/>
                <w:szCs w:val="20"/>
                <w:color w:val="auto"/>
              </w:rPr>
            </w:pPr>
            <w:r>
              <w:rPr>
                <w:rFonts w:ascii="Arial" w:cs="Arial" w:eastAsia="Arial" w:hAnsi="Arial"/>
                <w:sz w:val="13"/>
                <w:szCs w:val="13"/>
                <w:color w:val="auto"/>
                <w:w w:val="88"/>
              </w:rPr>
              <w:t>Arkansas</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eCycling Services, L.L.C.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El Coqui Landfill Company,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1"/>
              </w:rPr>
              <w:t>Puerto Rico</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El Coqui Waste Disposal,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ELDA Landfill,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Elk River Landfill, Inc.</w:t>
            </w:r>
          </w:p>
        </w:tc>
        <w:tc>
          <w:tcPr>
            <w:tcW w:w="4980" w:type="dxa"/>
            <w:vAlign w:val="bottom"/>
          </w:tcPr>
          <w:p>
            <w:pPr>
              <w:jc w:val="center"/>
              <w:ind w:left="3675"/>
              <w:spacing w:after="0"/>
              <w:rPr>
                <w:sz w:val="20"/>
                <w:szCs w:val="20"/>
                <w:color w:val="auto"/>
              </w:rPr>
            </w:pPr>
            <w:r>
              <w:rPr>
                <w:rFonts w:ascii="Arial" w:cs="Arial" w:eastAsia="Arial" w:hAnsi="Arial"/>
                <w:sz w:val="13"/>
                <w:szCs w:val="13"/>
                <w:color w:val="auto"/>
                <w:w w:val="93"/>
              </w:rPr>
              <w:t>Minnesota</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Envirofil of Illinois,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rPr>
              <w:t>Illinois</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Evergreen Landfill,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Evergreen National Indemnity Company</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4"/>
              </w:rPr>
              <w:t>Ohio</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Evergreen Recycling and Disposal Facility,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Farmer’s Landfill,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4"/>
              </w:rPr>
              <w:t>Missouri</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Feather River Disposal,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8"/>
              </w:rPr>
              <w:t>California</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Fernley Disposal, Inc.</w:t>
            </w:r>
          </w:p>
        </w:tc>
        <w:tc>
          <w:tcPr>
            <w:tcW w:w="4980" w:type="dxa"/>
            <w:vAlign w:val="bottom"/>
            <w:shd w:val="clear" w:color="auto" w:fill="CCEEFF"/>
          </w:tcPr>
          <w:p>
            <w:pPr>
              <w:jc w:val="center"/>
              <w:ind w:left="3675"/>
              <w:spacing w:after="0"/>
              <w:rPr>
                <w:sz w:val="20"/>
                <w:szCs w:val="20"/>
                <w:color w:val="auto"/>
              </w:rPr>
            </w:pPr>
            <w:r>
              <w:rPr>
                <w:rFonts w:ascii="Arial" w:cs="Arial" w:eastAsia="Arial" w:hAnsi="Arial"/>
                <w:sz w:val="13"/>
                <w:szCs w:val="13"/>
                <w:color w:val="auto"/>
                <w:w w:val="89"/>
              </w:rPr>
              <w:t>Nevada</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G.I. Industries</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4"/>
              </w:rPr>
              <w:t>Utah</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GA Landfills, Inc.</w:t>
            </w:r>
          </w:p>
        </w:tc>
        <w:tc>
          <w:tcPr>
            <w:tcW w:w="4980" w:type="dxa"/>
            <w:vAlign w:val="bottom"/>
            <w:shd w:val="clear" w:color="auto" w:fill="CCEEFF"/>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Gallia Landfill, Inc.</w:t>
            </w:r>
          </w:p>
        </w:tc>
        <w:tc>
          <w:tcPr>
            <w:tcW w:w="4980" w:type="dxa"/>
            <w:vAlign w:val="bottom"/>
          </w:tcPr>
          <w:p>
            <w:pPr>
              <w:jc w:val="center"/>
              <w:ind w:left="3655"/>
              <w:spacing w:after="0"/>
              <w:rPr>
                <w:sz w:val="20"/>
                <w:szCs w:val="20"/>
                <w:color w:val="auto"/>
              </w:rPr>
            </w:pPr>
            <w:r>
              <w:rPr>
                <w:rFonts w:ascii="Arial" w:cs="Arial" w:eastAsia="Arial" w:hAnsi="Arial"/>
                <w:sz w:val="13"/>
                <w:szCs w:val="13"/>
                <w:color w:val="auto"/>
                <w:w w:val="90"/>
              </w:rPr>
              <w:t>Delaware</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Garnet of Maryland, Inc.</w:t>
            </w:r>
          </w:p>
        </w:tc>
        <w:tc>
          <w:tcPr>
            <w:tcW w:w="4980" w:type="dxa"/>
            <w:vAlign w:val="bottom"/>
            <w:shd w:val="clear" w:color="auto" w:fill="CCEEFF"/>
          </w:tcPr>
          <w:p>
            <w:pPr>
              <w:jc w:val="center"/>
              <w:ind w:left="3675"/>
              <w:spacing w:after="0"/>
              <w:rPr>
                <w:sz w:val="20"/>
                <w:szCs w:val="20"/>
                <w:color w:val="auto"/>
              </w:rPr>
            </w:pPr>
            <w:r>
              <w:rPr>
                <w:rFonts w:ascii="Arial" w:cs="Arial" w:eastAsia="Arial" w:hAnsi="Arial"/>
                <w:sz w:val="13"/>
                <w:szCs w:val="13"/>
                <w:color w:val="auto"/>
                <w:w w:val="97"/>
              </w:rPr>
              <w:t>Maryland</w:t>
            </w:r>
          </w:p>
        </w:tc>
      </w:tr>
      <w:tr>
        <w:trPr>
          <w:trHeight w:val="457"/>
        </w:trPr>
        <w:tc>
          <w:tcPr>
            <w:tcW w:w="648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3" w:right="2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15"/>
        </w:trPr>
        <w:tc>
          <w:tcPr>
            <w:tcW w:w="6340" w:type="dxa"/>
            <w:vAlign w:val="bottom"/>
          </w:tcPr>
          <w:p>
            <w:pPr>
              <w:spacing w:after="0"/>
              <w:rPr>
                <w:sz w:val="20"/>
                <w:szCs w:val="20"/>
                <w:color w:val="auto"/>
              </w:rPr>
            </w:pPr>
            <w:r>
              <w:rPr>
                <w:rFonts w:ascii="Arial" w:cs="Arial" w:eastAsia="Arial" w:hAnsi="Arial"/>
                <w:sz w:val="10"/>
                <w:szCs w:val="10"/>
                <w:b w:val="1"/>
                <w:bCs w:val="1"/>
                <w:i w:val="1"/>
                <w:iCs w:val="1"/>
                <w:color w:val="auto"/>
              </w:rPr>
              <w:t>Name</w:t>
            </w:r>
          </w:p>
        </w:tc>
        <w:tc>
          <w:tcPr>
            <w:tcW w:w="5120" w:type="dxa"/>
            <w:vAlign w:val="bottom"/>
          </w:tcPr>
          <w:p>
            <w:pPr>
              <w:jc w:val="center"/>
              <w:ind w:left="3795"/>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65"/>
        </w:trPr>
        <w:tc>
          <w:tcPr>
            <w:tcW w:w="6340" w:type="dxa"/>
            <w:vAlign w:val="bottom"/>
          </w:tcPr>
          <w:p>
            <w:pPr>
              <w:spacing w:after="0"/>
              <w:rPr>
                <w:sz w:val="20"/>
                <w:szCs w:val="20"/>
                <w:color w:val="auto"/>
              </w:rPr>
            </w:pPr>
            <w:r>
              <w:rPr>
                <w:rFonts w:ascii="Arial" w:cs="Arial" w:eastAsia="Arial" w:hAnsi="Arial"/>
                <w:sz w:val="13"/>
                <w:szCs w:val="13"/>
                <w:color w:val="auto"/>
              </w:rPr>
              <w:t>Gateway Transfer Station, LLC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Georgia</w:t>
            </w:r>
          </w:p>
        </w:tc>
      </w:tr>
      <w:tr>
        <w:trPr>
          <w:trHeight w:val="159"/>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GCP Engineering Ltd</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5"/>
              </w:rPr>
              <w:t>Hong Kong</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Georgia Waste Systems,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Georgia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Gestion Des Rebuts D.M.P. Inc.</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87"/>
              </w:rPr>
              <w:t>Quebec</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Giordano Recycling, L.L.C.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Glades Landfill, LLC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5"/>
              </w:rPr>
              <w:t>Florida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Glen’s Sanitary Landfill,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6"/>
              </w:rPr>
              <w:t>Michigan</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Grand Central Sanitary Landfill,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Pennsylvania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Grupo WMX, S.A. De C.V.</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97"/>
              </w:rPr>
              <w:t>Mexico</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Guadalupe Mines Mutual Water Company</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8"/>
              </w:rPr>
              <w:t>California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Guadalupe Rubbish Disposal Co.,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8"/>
              </w:rPr>
              <w:t>California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Guam Resource Recovery Partners, L.P.</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Ham Lake Haulers, Inc.</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93"/>
              </w:rPr>
              <w:t>Minnesota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Harris Sanitation,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5"/>
              </w:rPr>
              <w:t>Florida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Harwood Landfill, Inc.</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97"/>
              </w:rPr>
              <w:t>Maryland</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Hedco Landfill Limited</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92"/>
              </w:rPr>
              <w:t>England</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High Mountain Fuels LLC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Hillsboro Landfill Inc.</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92"/>
              </w:rPr>
              <w:t>Oregon</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Holyoke Sanitary Landfill, Inc.</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87"/>
              </w:rPr>
              <w:t>Massachusetts</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IN Landfills, L.L.C.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Jahner Sanitation, Inc.</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93"/>
              </w:rPr>
              <w:t>North Dakota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Jay County Landfill, L.L.C.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JFS (UK) Limited</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92"/>
              </w:rPr>
              <w:t>England</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K and W Landfill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6"/>
              </w:rPr>
              <w:t>Michigan</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Kahle Landfill,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4"/>
              </w:rPr>
              <w:t>Missouri</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Keene Road Landfill,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5"/>
              </w:rPr>
              <w:t>Florida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Kelly Run Sanitation,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Pennsylvania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Key Disposal Ltd.</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5"/>
              </w:rPr>
              <w:t>British Columbia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KeyCorp Investment Limited Partnership</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4"/>
              </w:rPr>
              <w:t>Ohio</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King George Landfill,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6"/>
              </w:rPr>
              <w:t>Virginia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La Quinta Medical/Commercial Plaza, Ltd.</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8"/>
              </w:rPr>
              <w:t>California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Lakeville Recycling, L.P.</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Land Reclamation Company,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Land South Holdings, LLC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Landfill of Pine Ridge,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Landfill Services of Charleston, Inc.</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93"/>
              </w:rPr>
              <w:t>West Virginia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Laurel Highlands Landfill,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Pennsylvania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LCS Services, Inc.</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93"/>
              </w:rPr>
              <w:t>West Virginia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Liberty Landfill, L.L.C.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Liberty Lane West Owners’ Association</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2"/>
              </w:rPr>
              <w:t>New Hampshire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Liquid Waste Management,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8"/>
              </w:rPr>
              <w:t>California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Longleaf C&amp;D Disposal Facility,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5"/>
              </w:rPr>
              <w:t>Florida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Longmont Landfill, L.L.C.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Looney Bins,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8"/>
              </w:rPr>
              <w:t>California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Mahoning Landfill,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4"/>
              </w:rPr>
              <w:t>Ohio</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Mass Gravel Inc.</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87"/>
              </w:rPr>
              <w:t>Massachusetts</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Mc Ginnes Industrial Maintenance Corporation</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84"/>
              </w:rPr>
              <w:t>Texas</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McDaniel Landfill, Inc.</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93"/>
              </w:rPr>
              <w:t>North Dakota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McGill Landfill,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6"/>
              </w:rPr>
              <w:t>Michigan</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Meadowfill Landfill,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65"/>
        </w:trPr>
        <w:tc>
          <w:tcPr>
            <w:tcW w:w="6340" w:type="dxa"/>
            <w:vAlign w:val="bottom"/>
          </w:tcPr>
          <w:p>
            <w:pPr>
              <w:spacing w:after="0"/>
              <w:rPr>
                <w:sz w:val="20"/>
                <w:szCs w:val="20"/>
                <w:color w:val="auto"/>
              </w:rPr>
            </w:pPr>
            <w:r>
              <w:rPr>
                <w:rFonts w:ascii="Arial" w:cs="Arial" w:eastAsia="Arial" w:hAnsi="Arial"/>
                <w:sz w:val="13"/>
                <w:szCs w:val="13"/>
                <w:color w:val="auto"/>
              </w:rPr>
              <w:t>Michigan Environs,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6"/>
              </w:rPr>
              <w:t>Michigan</w:t>
            </w:r>
          </w:p>
        </w:tc>
      </w:tr>
      <w:tr>
        <w:trPr>
          <w:trHeight w:val="449"/>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1" w:right="2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21"/>
        </w:trPr>
        <w:tc>
          <w:tcPr>
            <w:tcW w:w="6560" w:type="dxa"/>
            <w:vAlign w:val="bottom"/>
          </w:tcPr>
          <w:p>
            <w:pPr>
              <w:spacing w:after="0"/>
              <w:rPr>
                <w:sz w:val="20"/>
                <w:szCs w:val="20"/>
                <w:color w:val="auto"/>
              </w:rPr>
            </w:pPr>
            <w:r>
              <w:rPr>
                <w:rFonts w:ascii="Arial" w:cs="Arial" w:eastAsia="Arial" w:hAnsi="Arial"/>
                <w:sz w:val="10"/>
                <w:szCs w:val="10"/>
                <w:b w:val="1"/>
                <w:bCs w:val="1"/>
                <w:i w:val="1"/>
                <w:iCs w:val="1"/>
                <w:color w:val="auto"/>
              </w:rPr>
              <w:t>Name</w:t>
            </w:r>
          </w:p>
        </w:tc>
        <w:tc>
          <w:tcPr>
            <w:tcW w:w="4900" w:type="dxa"/>
            <w:vAlign w:val="bottom"/>
          </w:tcPr>
          <w:p>
            <w:pPr>
              <w:jc w:val="center"/>
              <w:ind w:left="3575"/>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Midwest One Land Corporation</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Minneapolis Refuse, Incorporated</w:t>
            </w:r>
          </w:p>
        </w:tc>
        <w:tc>
          <w:tcPr>
            <w:tcW w:w="4900" w:type="dxa"/>
            <w:vAlign w:val="bottom"/>
          </w:tcPr>
          <w:p>
            <w:pPr>
              <w:jc w:val="center"/>
              <w:ind w:left="3595"/>
              <w:spacing w:after="0"/>
              <w:rPr>
                <w:sz w:val="20"/>
                <w:szCs w:val="20"/>
                <w:color w:val="auto"/>
              </w:rPr>
            </w:pPr>
            <w:r>
              <w:rPr>
                <w:rFonts w:ascii="Arial" w:cs="Arial" w:eastAsia="Arial" w:hAnsi="Arial"/>
                <w:sz w:val="13"/>
                <w:szCs w:val="13"/>
                <w:color w:val="auto"/>
                <w:w w:val="93"/>
              </w:rPr>
              <w:t>Minnesota</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Modern-Mallard Energy, LLC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Modesto Garbage Co., Inc.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8"/>
              </w:rPr>
              <w:t>California</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Moor Refuse, Inc.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8"/>
              </w:rPr>
              <w:t>California</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Mountain Indemnity Insurance Company</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3"/>
              </w:rPr>
              <w:t>Vermont</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Mountain Indemnity International Limited</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5"/>
              </w:rPr>
              <w:t>Ireland</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Mountainview Landfill, Inc. (MD)</w:t>
            </w:r>
          </w:p>
        </w:tc>
        <w:tc>
          <w:tcPr>
            <w:tcW w:w="4900" w:type="dxa"/>
            <w:vAlign w:val="bottom"/>
          </w:tcPr>
          <w:p>
            <w:pPr>
              <w:jc w:val="center"/>
              <w:ind w:left="3595"/>
              <w:spacing w:after="0"/>
              <w:rPr>
                <w:sz w:val="20"/>
                <w:szCs w:val="20"/>
                <w:color w:val="auto"/>
              </w:rPr>
            </w:pPr>
            <w:r>
              <w:rPr>
                <w:rFonts w:ascii="Arial" w:cs="Arial" w:eastAsia="Arial" w:hAnsi="Arial"/>
                <w:sz w:val="13"/>
                <w:szCs w:val="13"/>
                <w:color w:val="auto"/>
                <w:w w:val="97"/>
              </w:rPr>
              <w:t>Maryland</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Mountainview Landfill, Inc. (UT)</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4"/>
              </w:rPr>
              <w:t>Utah</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Nassau Landfill, L.L.C.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National Guaranty Insurance Company of Vermont</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3"/>
              </w:rPr>
              <w:t>Vermont</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New England CR L.L.C.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New Milford Landfill, L.L.C.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New Orleans Landfill, L.L.C.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NH/VT Energy Recovery Corporation</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2"/>
              </w:rPr>
              <w:t>New Hampshire</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North Manatee Recycling and Disposal Facility, L.L.C.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5"/>
              </w:rPr>
              <w:t>Florida</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Northwestern Landfill, Inc.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Nu-Way Live Oak Reclamation, Inc.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Oakridge Landfill, Inc.</w:t>
            </w:r>
          </w:p>
        </w:tc>
        <w:tc>
          <w:tcPr>
            <w:tcW w:w="4900" w:type="dxa"/>
            <w:vAlign w:val="bottom"/>
            <w:shd w:val="clear" w:color="auto" w:fill="CCEEFF"/>
          </w:tcPr>
          <w:p>
            <w:pPr>
              <w:jc w:val="center"/>
              <w:ind w:left="3595"/>
              <w:spacing w:after="0"/>
              <w:rPr>
                <w:sz w:val="20"/>
                <w:szCs w:val="20"/>
                <w:color w:val="auto"/>
              </w:rPr>
            </w:pPr>
            <w:r>
              <w:rPr>
                <w:rFonts w:ascii="Arial" w:cs="Arial" w:eastAsia="Arial" w:hAnsi="Arial"/>
                <w:sz w:val="13"/>
                <w:szCs w:val="13"/>
                <w:color w:val="auto"/>
                <w:w w:val="92"/>
              </w:rPr>
              <w:t>South Carolina</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Oakwood Landfill, Inc.</w:t>
            </w:r>
          </w:p>
        </w:tc>
        <w:tc>
          <w:tcPr>
            <w:tcW w:w="4900" w:type="dxa"/>
            <w:vAlign w:val="bottom"/>
          </w:tcPr>
          <w:p>
            <w:pPr>
              <w:jc w:val="center"/>
              <w:ind w:left="3595"/>
              <w:spacing w:after="0"/>
              <w:rPr>
                <w:sz w:val="20"/>
                <w:szCs w:val="20"/>
                <w:color w:val="auto"/>
              </w:rPr>
            </w:pPr>
            <w:r>
              <w:rPr>
                <w:rFonts w:ascii="Arial" w:cs="Arial" w:eastAsia="Arial" w:hAnsi="Arial"/>
                <w:sz w:val="13"/>
                <w:szCs w:val="13"/>
                <w:color w:val="auto"/>
                <w:w w:val="92"/>
              </w:rPr>
              <w:t>South Carolina</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Okeechobee Landfill, Inc.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5"/>
              </w:rPr>
              <w:t>Florida</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Ozark Ridge Landfill, Inc.</w:t>
            </w:r>
          </w:p>
        </w:tc>
        <w:tc>
          <w:tcPr>
            <w:tcW w:w="4900" w:type="dxa"/>
            <w:vAlign w:val="bottom"/>
          </w:tcPr>
          <w:p>
            <w:pPr>
              <w:jc w:val="center"/>
              <w:ind w:left="3595"/>
              <w:spacing w:after="0"/>
              <w:rPr>
                <w:sz w:val="20"/>
                <w:szCs w:val="20"/>
                <w:color w:val="auto"/>
              </w:rPr>
            </w:pPr>
            <w:r>
              <w:rPr>
                <w:rFonts w:ascii="Arial" w:cs="Arial" w:eastAsia="Arial" w:hAnsi="Arial"/>
                <w:sz w:val="13"/>
                <w:szCs w:val="13"/>
                <w:color w:val="auto"/>
                <w:w w:val="88"/>
              </w:rPr>
              <w:t>Arkansas</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P &amp; R Environmental Industries, L.L.C.</w:t>
            </w:r>
          </w:p>
        </w:tc>
        <w:tc>
          <w:tcPr>
            <w:tcW w:w="4900" w:type="dxa"/>
            <w:vAlign w:val="bottom"/>
            <w:shd w:val="clear" w:color="auto" w:fill="CCEEFF"/>
          </w:tcPr>
          <w:p>
            <w:pPr>
              <w:jc w:val="center"/>
              <w:ind w:left="3595"/>
              <w:spacing w:after="0"/>
              <w:rPr>
                <w:sz w:val="20"/>
                <w:szCs w:val="20"/>
                <w:color w:val="auto"/>
              </w:rPr>
            </w:pPr>
            <w:r>
              <w:rPr>
                <w:rFonts w:ascii="Arial" w:cs="Arial" w:eastAsia="Arial" w:hAnsi="Arial"/>
                <w:sz w:val="13"/>
                <w:szCs w:val="13"/>
                <w:color w:val="auto"/>
                <w:w w:val="95"/>
              </w:rPr>
              <w:t>North Carolina</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Pacific Waste Management L.L.C.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Palmetto Seed Capital Fund</w:t>
            </w:r>
          </w:p>
        </w:tc>
        <w:tc>
          <w:tcPr>
            <w:tcW w:w="4900" w:type="dxa"/>
            <w:vAlign w:val="bottom"/>
            <w:shd w:val="clear" w:color="auto" w:fill="CCEEFF"/>
          </w:tcPr>
          <w:p>
            <w:pPr>
              <w:jc w:val="center"/>
              <w:ind w:left="3595"/>
              <w:spacing w:after="0"/>
              <w:rPr>
                <w:sz w:val="20"/>
                <w:szCs w:val="20"/>
                <w:color w:val="auto"/>
              </w:rPr>
            </w:pPr>
            <w:r>
              <w:rPr>
                <w:rFonts w:ascii="Arial" w:cs="Arial" w:eastAsia="Arial" w:hAnsi="Arial"/>
                <w:sz w:val="13"/>
                <w:szCs w:val="13"/>
                <w:color w:val="auto"/>
                <w:w w:val="92"/>
              </w:rPr>
              <w:t>South Carolina</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Palo Alto Sanitation Company</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8"/>
              </w:rPr>
              <w:t>California</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Pappy, Inc.</w:t>
            </w:r>
          </w:p>
        </w:tc>
        <w:tc>
          <w:tcPr>
            <w:tcW w:w="4900" w:type="dxa"/>
            <w:vAlign w:val="bottom"/>
            <w:shd w:val="clear" w:color="auto" w:fill="CCEEFF"/>
          </w:tcPr>
          <w:p>
            <w:pPr>
              <w:jc w:val="center"/>
              <w:ind w:left="3595"/>
              <w:spacing w:after="0"/>
              <w:rPr>
                <w:sz w:val="20"/>
                <w:szCs w:val="20"/>
                <w:color w:val="auto"/>
              </w:rPr>
            </w:pPr>
            <w:r>
              <w:rPr>
                <w:rFonts w:ascii="Arial" w:cs="Arial" w:eastAsia="Arial" w:hAnsi="Arial"/>
                <w:sz w:val="13"/>
                <w:szCs w:val="13"/>
                <w:color w:val="auto"/>
                <w:w w:val="97"/>
              </w:rPr>
              <w:t>Maryland</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Peltz H.C., LLC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1"/>
              </w:rPr>
              <w:t>Wisconsin</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Pen-Rob, Inc.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5"/>
              </w:rPr>
              <w:t>Arizona</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Penuelas Valley Landfill, Inc.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1"/>
              </w:rPr>
              <w:t>Puerto Rico</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People’s Landfill, Inc.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Peterson Demolition, Inc.</w:t>
            </w:r>
          </w:p>
        </w:tc>
        <w:tc>
          <w:tcPr>
            <w:tcW w:w="4900" w:type="dxa"/>
            <w:vAlign w:val="bottom"/>
          </w:tcPr>
          <w:p>
            <w:pPr>
              <w:jc w:val="center"/>
              <w:ind w:left="3595"/>
              <w:spacing w:after="0"/>
              <w:rPr>
                <w:sz w:val="20"/>
                <w:szCs w:val="20"/>
                <w:color w:val="auto"/>
              </w:rPr>
            </w:pPr>
            <w:r>
              <w:rPr>
                <w:rFonts w:ascii="Arial" w:cs="Arial" w:eastAsia="Arial" w:hAnsi="Arial"/>
                <w:sz w:val="13"/>
                <w:szCs w:val="13"/>
                <w:color w:val="auto"/>
                <w:w w:val="93"/>
              </w:rPr>
              <w:t>Minnesota</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Phoenix Resources, Inc.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0"/>
              </w:rPr>
              <w:t>Pennsylvania</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Pine Grove Landfill, Inc. (PA)</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0"/>
              </w:rPr>
              <w:t>Pennsylvania</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Pine Tree Acres, Inc.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6"/>
              </w:rPr>
              <w:t>Michigan</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Plantation Oaks Landfill, Inc.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PPP Corporation</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Prairie Bluff Landfill, Inc.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ProCentury Corporation</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4"/>
              </w:rPr>
              <w:t>Ohio</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Pulaski Grading, L.L.C.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Quail Hollow Landfill, Inc.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Questquill Limited</w:t>
            </w:r>
          </w:p>
        </w:tc>
        <w:tc>
          <w:tcPr>
            <w:tcW w:w="4900" w:type="dxa"/>
            <w:vAlign w:val="bottom"/>
          </w:tcPr>
          <w:p>
            <w:pPr>
              <w:jc w:val="center"/>
              <w:ind w:left="3595"/>
              <w:spacing w:after="0"/>
              <w:rPr>
                <w:sz w:val="20"/>
                <w:szCs w:val="20"/>
                <w:color w:val="auto"/>
              </w:rPr>
            </w:pPr>
            <w:r>
              <w:rPr>
                <w:rFonts w:ascii="Arial" w:cs="Arial" w:eastAsia="Arial" w:hAnsi="Arial"/>
                <w:sz w:val="13"/>
                <w:szCs w:val="13"/>
                <w:color w:val="auto"/>
                <w:w w:val="95"/>
              </w:rPr>
              <w:t>United Kingdom</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R &amp; B Landfill, Inc.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0"/>
              </w:rPr>
              <w:t>Georgia</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RAA Colorado, L.L.C.</w:t>
            </w:r>
          </w:p>
        </w:tc>
        <w:tc>
          <w:tcPr>
            <w:tcW w:w="4900" w:type="dxa"/>
            <w:vAlign w:val="bottom"/>
          </w:tcPr>
          <w:p>
            <w:pPr>
              <w:jc w:val="center"/>
              <w:ind w:left="3595"/>
              <w:spacing w:after="0"/>
              <w:rPr>
                <w:sz w:val="20"/>
                <w:szCs w:val="20"/>
                <w:color w:val="auto"/>
              </w:rPr>
            </w:pPr>
            <w:r>
              <w:rPr>
                <w:rFonts w:ascii="Arial" w:cs="Arial" w:eastAsia="Arial" w:hAnsi="Arial"/>
                <w:sz w:val="13"/>
                <w:szCs w:val="13"/>
                <w:color w:val="auto"/>
                <w:w w:val="90"/>
              </w:rPr>
              <w:t>Colorado</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RAA Trucking, LLC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1"/>
              </w:rPr>
              <w:t>Wisconsin</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RCI Hudson, Inc.</w:t>
            </w:r>
          </w:p>
        </w:tc>
        <w:tc>
          <w:tcPr>
            <w:tcW w:w="4900" w:type="dxa"/>
            <w:vAlign w:val="bottom"/>
          </w:tcPr>
          <w:p>
            <w:pPr>
              <w:jc w:val="center"/>
              <w:ind w:left="3595"/>
              <w:spacing w:after="0"/>
              <w:rPr>
                <w:sz w:val="20"/>
                <w:szCs w:val="20"/>
                <w:color w:val="auto"/>
              </w:rPr>
            </w:pPr>
            <w:r>
              <w:rPr>
                <w:rFonts w:ascii="Arial" w:cs="Arial" w:eastAsia="Arial" w:hAnsi="Arial"/>
                <w:sz w:val="13"/>
                <w:szCs w:val="13"/>
                <w:color w:val="auto"/>
                <w:w w:val="87"/>
              </w:rPr>
              <w:t>Massachusetts</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Recycle America Co., L.L.C.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Recycle America Holdings, Inc.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Redwood Landfill, Inc.</w:t>
            </w:r>
          </w:p>
        </w:tc>
        <w:tc>
          <w:tcPr>
            <w:tcW w:w="4900" w:type="dxa"/>
            <w:vAlign w:val="bottom"/>
            <w:shd w:val="clear" w:color="auto" w:fill="CCEEFF"/>
          </w:tcPr>
          <w:p>
            <w:pPr>
              <w:jc w:val="center"/>
              <w:ind w:left="3575"/>
              <w:spacing w:after="0"/>
              <w:rPr>
                <w:sz w:val="20"/>
                <w:szCs w:val="20"/>
                <w:color w:val="auto"/>
              </w:rPr>
            </w:pPr>
            <w:r>
              <w:rPr>
                <w:rFonts w:ascii="Arial" w:cs="Arial" w:eastAsia="Arial" w:hAnsi="Arial"/>
                <w:sz w:val="13"/>
                <w:szCs w:val="13"/>
                <w:color w:val="auto"/>
                <w:w w:val="90"/>
              </w:rPr>
              <w:t>Delaware</w:t>
            </w:r>
          </w:p>
        </w:tc>
      </w:tr>
      <w:tr>
        <w:trPr>
          <w:trHeight w:val="157"/>
        </w:trPr>
        <w:tc>
          <w:tcPr>
            <w:tcW w:w="6560" w:type="dxa"/>
            <w:vAlign w:val="bottom"/>
          </w:tcPr>
          <w:p>
            <w:pPr>
              <w:spacing w:after="0"/>
              <w:rPr>
                <w:sz w:val="20"/>
                <w:szCs w:val="20"/>
                <w:color w:val="auto"/>
              </w:rPr>
            </w:pPr>
            <w:r>
              <w:rPr>
                <w:rFonts w:ascii="Arial" w:cs="Arial" w:eastAsia="Arial" w:hAnsi="Arial"/>
                <w:sz w:val="13"/>
                <w:szCs w:val="13"/>
                <w:color w:val="auto"/>
              </w:rPr>
              <w:t>Refuse Services, Inc.</w:t>
            </w:r>
          </w:p>
        </w:tc>
        <w:tc>
          <w:tcPr>
            <w:tcW w:w="4900" w:type="dxa"/>
            <w:vAlign w:val="bottom"/>
          </w:tcPr>
          <w:p>
            <w:pPr>
              <w:jc w:val="center"/>
              <w:ind w:left="3575"/>
              <w:spacing w:after="0"/>
              <w:rPr>
                <w:sz w:val="20"/>
                <w:szCs w:val="20"/>
                <w:color w:val="auto"/>
              </w:rPr>
            </w:pPr>
            <w:r>
              <w:rPr>
                <w:rFonts w:ascii="Arial" w:cs="Arial" w:eastAsia="Arial" w:hAnsi="Arial"/>
                <w:sz w:val="13"/>
                <w:szCs w:val="13"/>
                <w:color w:val="auto"/>
                <w:w w:val="95"/>
              </w:rPr>
              <w:t>Florida</w:t>
            </w:r>
          </w:p>
        </w:tc>
      </w:tr>
      <w:tr>
        <w:trPr>
          <w:trHeight w:val="157"/>
        </w:trPr>
        <w:tc>
          <w:tcPr>
            <w:tcW w:w="6560" w:type="dxa"/>
            <w:vAlign w:val="bottom"/>
            <w:shd w:val="clear" w:color="auto" w:fill="CCEEFF"/>
          </w:tcPr>
          <w:p>
            <w:pPr>
              <w:spacing w:after="0"/>
              <w:rPr>
                <w:sz w:val="20"/>
                <w:szCs w:val="20"/>
                <w:color w:val="auto"/>
              </w:rPr>
            </w:pPr>
            <w:r>
              <w:rPr>
                <w:rFonts w:ascii="Arial" w:cs="Arial" w:eastAsia="Arial" w:hAnsi="Arial"/>
                <w:sz w:val="13"/>
                <w:szCs w:val="13"/>
                <w:color w:val="auto"/>
              </w:rPr>
              <w:t>Refuse, Inc.</w:t>
            </w:r>
          </w:p>
        </w:tc>
        <w:tc>
          <w:tcPr>
            <w:tcW w:w="4900" w:type="dxa"/>
            <w:vAlign w:val="bottom"/>
            <w:shd w:val="clear" w:color="auto" w:fill="CCEEFF"/>
          </w:tcPr>
          <w:p>
            <w:pPr>
              <w:jc w:val="center"/>
              <w:ind w:left="3595"/>
              <w:spacing w:after="0"/>
              <w:rPr>
                <w:sz w:val="20"/>
                <w:szCs w:val="20"/>
                <w:color w:val="auto"/>
              </w:rPr>
            </w:pPr>
            <w:r>
              <w:rPr>
                <w:rFonts w:ascii="Arial" w:cs="Arial" w:eastAsia="Arial" w:hAnsi="Arial"/>
                <w:sz w:val="13"/>
                <w:szCs w:val="13"/>
                <w:color w:val="auto"/>
                <w:w w:val="89"/>
              </w:rPr>
              <w:t>Nevada</w:t>
            </w:r>
          </w:p>
        </w:tc>
      </w:tr>
      <w:tr>
        <w:trPr>
          <w:trHeight w:val="457"/>
        </w:trPr>
        <w:tc>
          <w:tcPr>
            <w:tcW w:w="6560" w:type="dxa"/>
            <w:vAlign w:val="bottom"/>
            <w:tcBorders>
              <w:bottom w:val="single" w:sz="8" w:color="808080"/>
            </w:tcBorders>
          </w:tcPr>
          <w:p>
            <w:pPr>
              <w:spacing w:after="0"/>
              <w:rPr>
                <w:sz w:val="24"/>
                <w:szCs w:val="24"/>
                <w:color w:val="auto"/>
              </w:rPr>
            </w:pPr>
          </w:p>
        </w:tc>
        <w:tc>
          <w:tcPr>
            <w:tcW w:w="4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3" w:right="21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15"/>
        </w:trPr>
        <w:tc>
          <w:tcPr>
            <w:tcW w:w="6340" w:type="dxa"/>
            <w:vAlign w:val="bottom"/>
          </w:tcPr>
          <w:p>
            <w:pPr>
              <w:spacing w:after="0"/>
              <w:rPr>
                <w:sz w:val="20"/>
                <w:szCs w:val="20"/>
                <w:color w:val="auto"/>
              </w:rPr>
            </w:pPr>
            <w:r>
              <w:rPr>
                <w:rFonts w:ascii="Arial" w:cs="Arial" w:eastAsia="Arial" w:hAnsi="Arial"/>
                <w:sz w:val="10"/>
                <w:szCs w:val="10"/>
                <w:b w:val="1"/>
                <w:bCs w:val="1"/>
                <w:i w:val="1"/>
                <w:iCs w:val="1"/>
                <w:color w:val="auto"/>
              </w:rPr>
              <w:t>Name</w:t>
            </w:r>
          </w:p>
        </w:tc>
        <w:tc>
          <w:tcPr>
            <w:tcW w:w="5120" w:type="dxa"/>
            <w:vAlign w:val="bottom"/>
          </w:tcPr>
          <w:p>
            <w:pPr>
              <w:jc w:val="center"/>
              <w:ind w:left="3795"/>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65"/>
        </w:trPr>
        <w:tc>
          <w:tcPr>
            <w:tcW w:w="6340" w:type="dxa"/>
            <w:vAlign w:val="bottom"/>
          </w:tcPr>
          <w:p>
            <w:pPr>
              <w:spacing w:after="0"/>
              <w:rPr>
                <w:sz w:val="20"/>
                <w:szCs w:val="20"/>
                <w:color w:val="auto"/>
              </w:rPr>
            </w:pPr>
            <w:r>
              <w:rPr>
                <w:rFonts w:ascii="Arial" w:cs="Arial" w:eastAsia="Arial" w:hAnsi="Arial"/>
                <w:sz w:val="13"/>
                <w:szCs w:val="13"/>
                <w:color w:val="auto"/>
              </w:rPr>
              <w:t>REI Holdings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9"/>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Reliable Landfill, L.L.C.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Remote Landfill Services,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83"/>
              </w:rPr>
              <w:t>Tennessee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Reno Disposal Co.</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89"/>
              </w:rPr>
              <w:t>Nevada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Resco Holdings L.L.C.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Resource Control Composting, Inc.</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87"/>
              </w:rPr>
              <w:t>Massachusetts</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Resource Control, Inc.</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87"/>
              </w:rPr>
              <w:t>Massachusetts</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Richland County Landfill, Inc.</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92"/>
              </w:rPr>
              <w:t>South Carolina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Riegel Ridge, LLC</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95"/>
              </w:rPr>
              <w:t>North Carolina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Riverbend Landfill Co.</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92"/>
              </w:rPr>
              <w:t>Oregon</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Rolling Meadows Landfill,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RRT Design &amp; Construction Corp.</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RRT Empire of Monroe County,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5"/>
              </w:rPr>
              <w:t>New York</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RTS Landfill,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Rust Engineering &amp; Construction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Rust Engineering (Thailand) Ltd</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2"/>
              </w:rPr>
              <w:t>Thailand</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Rust International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S &amp; J Landfill Limited Partnership</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84"/>
              </w:rPr>
              <w:t>Texas</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S &amp; S Grading, Inc.</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93"/>
              </w:rPr>
              <w:t>West Virginia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S. V. Farming Corp.</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88"/>
              </w:rPr>
              <w:t>New Jersey</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Sanifill de Mexico (US),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Sanifill de Mexico, S.A. de C.V.</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97"/>
              </w:rPr>
              <w:t>Mexico</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Sanifill Power Corporation</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SC Holdings,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Pennsylvania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Serubam Servicos Urbanos E Ambientais Ltda</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98"/>
              </w:rPr>
              <w:t>Brazil</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SES Bridgeport L.L.C.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Shade Landfill,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Sierra Estrella Landfill,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5"/>
              </w:rPr>
              <w:t>Arizona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Southern Alleghenies Landfill,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Pennsylvania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Southern One Land Corporation</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Southern Plains Landfill,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1"/>
              </w:rPr>
              <w:t>Oklahoma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Southern Waste Services, L.L.C.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Spruce Ridge, Inc.</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93"/>
              </w:rPr>
              <w:t>Minnesota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Stony Hollow Landfill,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Storey County Sanitation, Inc.</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89"/>
              </w:rPr>
              <w:t>Nevada</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Suburban Landfill,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Texarkana Landfill, L.L.C.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Texas Pack Rat — Austin #1 LLC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84"/>
              </w:rPr>
              <w:t>Texas</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Texas Pack Rat — Dallas #1 LLC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84"/>
              </w:rPr>
              <w:t>Texas</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Texas Pack Rat — Houston #1 LLC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84"/>
              </w:rPr>
              <w:t>Texas</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Texas Pack Rat — Houston #2 LLC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84"/>
              </w:rPr>
              <w:t>Texas</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Texas Pack Rat — Houston #3 LLC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84"/>
              </w:rPr>
              <w:t>Texas</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Texas Pack Rat — San Antonio #1 LLC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84"/>
              </w:rPr>
              <w:t>Texas</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Texas Pack Rat Service Company LLC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84"/>
              </w:rPr>
              <w:t>Texas</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The Peltz Group, LLC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1"/>
              </w:rPr>
              <w:t>Wisconsin</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The Waste Management Charitable Foundation</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The Woodlands of Van Buren,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TNT Sands, Inc.</w:t>
            </w:r>
          </w:p>
        </w:tc>
        <w:tc>
          <w:tcPr>
            <w:tcW w:w="5120" w:type="dxa"/>
            <w:vAlign w:val="bottom"/>
            <w:shd w:val="clear" w:color="auto" w:fill="CCEEFF"/>
          </w:tcPr>
          <w:p>
            <w:pPr>
              <w:jc w:val="center"/>
              <w:ind w:left="3815"/>
              <w:spacing w:after="0"/>
              <w:rPr>
                <w:sz w:val="20"/>
                <w:szCs w:val="20"/>
                <w:color w:val="auto"/>
              </w:rPr>
            </w:pPr>
            <w:r>
              <w:rPr>
                <w:rFonts w:ascii="Arial" w:cs="Arial" w:eastAsia="Arial" w:hAnsi="Arial"/>
                <w:sz w:val="13"/>
                <w:szCs w:val="13"/>
                <w:color w:val="auto"/>
                <w:w w:val="92"/>
              </w:rPr>
              <w:t>South Carolina</w:t>
            </w:r>
          </w:p>
        </w:tc>
      </w:tr>
      <w:tr>
        <w:trPr>
          <w:trHeight w:val="157"/>
        </w:trPr>
        <w:tc>
          <w:tcPr>
            <w:tcW w:w="6340" w:type="dxa"/>
            <w:vAlign w:val="bottom"/>
          </w:tcPr>
          <w:p>
            <w:pPr>
              <w:spacing w:after="0"/>
              <w:rPr>
                <w:sz w:val="20"/>
                <w:szCs w:val="20"/>
                <w:color w:val="auto"/>
              </w:rPr>
            </w:pPr>
            <w:r>
              <w:rPr>
                <w:rFonts w:ascii="Arial" w:cs="Arial" w:eastAsia="Arial" w:hAnsi="Arial"/>
                <w:sz w:val="13"/>
                <w:szCs w:val="13"/>
                <w:color w:val="auto"/>
              </w:rPr>
              <w:t>Trail Ridge Landfill, Inc.</w:t>
            </w:r>
          </w:p>
        </w:tc>
        <w:tc>
          <w:tcPr>
            <w:tcW w:w="5120" w:type="dxa"/>
            <w:vAlign w:val="bottom"/>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57"/>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Transamerican Waste Central Landfill, Inc.</w:t>
            </w:r>
          </w:p>
        </w:tc>
        <w:tc>
          <w:tcPr>
            <w:tcW w:w="5120" w:type="dxa"/>
            <w:vAlign w:val="bottom"/>
            <w:shd w:val="clear" w:color="auto" w:fill="CCEEFF"/>
          </w:tcPr>
          <w:p>
            <w:pPr>
              <w:jc w:val="center"/>
              <w:ind w:left="3795"/>
              <w:spacing w:after="0"/>
              <w:rPr>
                <w:sz w:val="20"/>
                <w:szCs w:val="20"/>
                <w:color w:val="auto"/>
              </w:rPr>
            </w:pPr>
            <w:r>
              <w:rPr>
                <w:rFonts w:ascii="Arial" w:cs="Arial" w:eastAsia="Arial" w:hAnsi="Arial"/>
                <w:sz w:val="13"/>
                <w:szCs w:val="13"/>
                <w:color w:val="auto"/>
                <w:w w:val="90"/>
              </w:rPr>
              <w:t>Delaware</w:t>
            </w:r>
          </w:p>
        </w:tc>
      </w:tr>
      <w:tr>
        <w:trPr>
          <w:trHeight w:val="165"/>
        </w:trPr>
        <w:tc>
          <w:tcPr>
            <w:tcW w:w="6340" w:type="dxa"/>
            <w:vAlign w:val="bottom"/>
          </w:tcPr>
          <w:p>
            <w:pPr>
              <w:spacing w:after="0"/>
              <w:rPr>
                <w:sz w:val="20"/>
                <w:szCs w:val="20"/>
                <w:color w:val="auto"/>
              </w:rPr>
            </w:pPr>
            <w:r>
              <w:rPr>
                <w:rFonts w:ascii="Arial" w:cs="Arial" w:eastAsia="Arial" w:hAnsi="Arial"/>
                <w:sz w:val="13"/>
                <w:szCs w:val="13"/>
                <w:color w:val="auto"/>
              </w:rPr>
              <w:t>Trash Hunters, Inc.</w:t>
            </w:r>
          </w:p>
        </w:tc>
        <w:tc>
          <w:tcPr>
            <w:tcW w:w="5120" w:type="dxa"/>
            <w:vAlign w:val="bottom"/>
          </w:tcPr>
          <w:p>
            <w:pPr>
              <w:jc w:val="center"/>
              <w:ind w:left="3815"/>
              <w:spacing w:after="0"/>
              <w:rPr>
                <w:sz w:val="20"/>
                <w:szCs w:val="20"/>
                <w:color w:val="auto"/>
              </w:rPr>
            </w:pPr>
            <w:r>
              <w:rPr>
                <w:rFonts w:ascii="Arial" w:cs="Arial" w:eastAsia="Arial" w:hAnsi="Arial"/>
                <w:sz w:val="13"/>
                <w:szCs w:val="13"/>
                <w:color w:val="auto"/>
                <w:w w:val="95"/>
              </w:rPr>
              <w:t>Mississippi</w:t>
            </w:r>
          </w:p>
        </w:tc>
      </w:tr>
      <w:tr>
        <w:trPr>
          <w:trHeight w:val="449"/>
        </w:trPr>
        <w:tc>
          <w:tcPr>
            <w:tcW w:w="634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1" w:right="21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21"/>
        </w:trPr>
        <w:tc>
          <w:tcPr>
            <w:tcW w:w="6800" w:type="dxa"/>
            <w:vAlign w:val="bottom"/>
          </w:tcPr>
          <w:p>
            <w:pPr>
              <w:spacing w:after="0"/>
              <w:rPr>
                <w:sz w:val="20"/>
                <w:szCs w:val="20"/>
                <w:color w:val="auto"/>
              </w:rPr>
            </w:pPr>
            <w:r>
              <w:rPr>
                <w:rFonts w:ascii="Arial" w:cs="Arial" w:eastAsia="Arial" w:hAnsi="Arial"/>
                <w:sz w:val="10"/>
                <w:szCs w:val="10"/>
                <w:b w:val="1"/>
                <w:bCs w:val="1"/>
                <w:i w:val="1"/>
                <w:iCs w:val="1"/>
                <w:color w:val="auto"/>
              </w:rPr>
              <w:t>Name</w:t>
            </w:r>
          </w:p>
        </w:tc>
        <w:tc>
          <w:tcPr>
            <w:tcW w:w="4660" w:type="dxa"/>
            <w:vAlign w:val="bottom"/>
          </w:tcPr>
          <w:p>
            <w:pPr>
              <w:jc w:val="center"/>
              <w:ind w:left="3335"/>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Tri-County Sanitary Landfill, L.L.C.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TX Newco, L.L.C.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United Waste Systems Leasing, Inc.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6"/>
              </w:rPr>
              <w:t>Michigan</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United Waste Systems of Gardner, Inc.</w:t>
            </w:r>
          </w:p>
        </w:tc>
        <w:tc>
          <w:tcPr>
            <w:tcW w:w="4660" w:type="dxa"/>
            <w:vAlign w:val="bottom"/>
          </w:tcPr>
          <w:p>
            <w:pPr>
              <w:jc w:val="center"/>
              <w:ind w:left="3355"/>
              <w:spacing w:after="0"/>
              <w:rPr>
                <w:sz w:val="20"/>
                <w:szCs w:val="20"/>
                <w:color w:val="auto"/>
              </w:rPr>
            </w:pPr>
            <w:r>
              <w:rPr>
                <w:rFonts w:ascii="Arial" w:cs="Arial" w:eastAsia="Arial" w:hAnsi="Arial"/>
                <w:sz w:val="13"/>
                <w:szCs w:val="13"/>
                <w:color w:val="auto"/>
                <w:w w:val="87"/>
              </w:rPr>
              <w:t>Massachusetts</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USA South Hills Landfill, Inc.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0"/>
              </w:rPr>
              <w:t>Pennsylvania</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USA Valley Facility,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USA Waste Geneva Landfill, Inc.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USA Waste Landfill Operations and Transfer,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84"/>
              </w:rPr>
              <w:t>Texas</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USA Waste of California, Inc.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USA Waste of Pennsylvania, LLC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USA Waste of Texas Landfills, Inc.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USA Waste of Virginia Landfills,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USA Waste Services of Nevada, Inc.</w:t>
            </w:r>
          </w:p>
        </w:tc>
        <w:tc>
          <w:tcPr>
            <w:tcW w:w="4660" w:type="dxa"/>
            <w:vAlign w:val="bottom"/>
            <w:shd w:val="clear" w:color="auto" w:fill="CCEEFF"/>
          </w:tcPr>
          <w:p>
            <w:pPr>
              <w:jc w:val="center"/>
              <w:ind w:left="3355"/>
              <w:spacing w:after="0"/>
              <w:rPr>
                <w:sz w:val="20"/>
                <w:szCs w:val="20"/>
                <w:color w:val="auto"/>
              </w:rPr>
            </w:pPr>
            <w:r>
              <w:rPr>
                <w:rFonts w:ascii="Arial" w:cs="Arial" w:eastAsia="Arial" w:hAnsi="Arial"/>
                <w:sz w:val="13"/>
                <w:szCs w:val="13"/>
                <w:color w:val="auto"/>
                <w:w w:val="89"/>
              </w:rPr>
              <w:t>Nevada</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USA Waste Services of NYC,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USA Waste-Management Resources, LLC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5"/>
              </w:rPr>
              <w:t>New York</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USA-Crinc, L.L.C.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UWS Barre, Inc.</w:t>
            </w:r>
          </w:p>
        </w:tc>
        <w:tc>
          <w:tcPr>
            <w:tcW w:w="4660" w:type="dxa"/>
            <w:vAlign w:val="bottom"/>
            <w:shd w:val="clear" w:color="auto" w:fill="CCEEFF"/>
          </w:tcPr>
          <w:p>
            <w:pPr>
              <w:jc w:val="center"/>
              <w:ind w:left="3355"/>
              <w:spacing w:after="0"/>
              <w:rPr>
                <w:sz w:val="20"/>
                <w:szCs w:val="20"/>
                <w:color w:val="auto"/>
              </w:rPr>
            </w:pPr>
            <w:r>
              <w:rPr>
                <w:rFonts w:ascii="Arial" w:cs="Arial" w:eastAsia="Arial" w:hAnsi="Arial"/>
                <w:sz w:val="13"/>
                <w:szCs w:val="13"/>
                <w:color w:val="auto"/>
                <w:w w:val="87"/>
              </w:rPr>
              <w:t>Massachusetts</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Valley Garbage and Rubbish Company,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8"/>
              </w:rPr>
              <w:t>California</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Vern’s Refuse Service, Inc.</w:t>
            </w:r>
          </w:p>
        </w:tc>
        <w:tc>
          <w:tcPr>
            <w:tcW w:w="4660" w:type="dxa"/>
            <w:vAlign w:val="bottom"/>
            <w:shd w:val="clear" w:color="auto" w:fill="CCEEFF"/>
          </w:tcPr>
          <w:p>
            <w:pPr>
              <w:jc w:val="center"/>
              <w:ind w:left="3355"/>
              <w:spacing w:after="0"/>
              <w:rPr>
                <w:sz w:val="20"/>
                <w:szCs w:val="20"/>
                <w:color w:val="auto"/>
              </w:rPr>
            </w:pPr>
            <w:r>
              <w:rPr>
                <w:rFonts w:ascii="Arial" w:cs="Arial" w:eastAsia="Arial" w:hAnsi="Arial"/>
                <w:sz w:val="13"/>
                <w:szCs w:val="13"/>
                <w:color w:val="auto"/>
                <w:w w:val="93"/>
              </w:rPr>
              <w:t>North Dakota</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VFB, LLC</w:t>
            </w:r>
          </w:p>
        </w:tc>
        <w:tc>
          <w:tcPr>
            <w:tcW w:w="4660" w:type="dxa"/>
            <w:vAlign w:val="bottom"/>
          </w:tcPr>
          <w:p>
            <w:pPr>
              <w:jc w:val="center"/>
              <w:ind w:left="3355"/>
              <w:spacing w:after="0"/>
              <w:rPr>
                <w:sz w:val="20"/>
                <w:szCs w:val="20"/>
                <w:color w:val="auto"/>
              </w:rPr>
            </w:pPr>
            <w:r>
              <w:rPr>
                <w:rFonts w:ascii="Arial" w:cs="Arial" w:eastAsia="Arial" w:hAnsi="Arial"/>
                <w:sz w:val="13"/>
                <w:szCs w:val="13"/>
                <w:color w:val="auto"/>
                <w:w w:val="88"/>
              </w:rPr>
              <w:t>New Jersey</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VHG, Inc.</w:t>
            </w:r>
          </w:p>
        </w:tc>
        <w:tc>
          <w:tcPr>
            <w:tcW w:w="4660" w:type="dxa"/>
            <w:vAlign w:val="bottom"/>
            <w:shd w:val="clear" w:color="auto" w:fill="CCEEFF"/>
          </w:tcPr>
          <w:p>
            <w:pPr>
              <w:jc w:val="center"/>
              <w:ind w:left="3355"/>
              <w:spacing w:after="0"/>
              <w:rPr>
                <w:sz w:val="20"/>
                <w:szCs w:val="20"/>
                <w:color w:val="auto"/>
              </w:rPr>
            </w:pPr>
            <w:r>
              <w:rPr>
                <w:rFonts w:ascii="Arial" w:cs="Arial" w:eastAsia="Arial" w:hAnsi="Arial"/>
                <w:sz w:val="13"/>
                <w:szCs w:val="13"/>
                <w:color w:val="auto"/>
                <w:w w:val="93"/>
              </w:rPr>
              <w:t>Minnesota</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Vickery Environmental,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4"/>
              </w:rPr>
              <w:t>Ohio</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Vista Landfill, LLC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5"/>
              </w:rPr>
              <w:t>Florida</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Voyageur Disposal Processing, Inc.</w:t>
            </w:r>
          </w:p>
        </w:tc>
        <w:tc>
          <w:tcPr>
            <w:tcW w:w="4660" w:type="dxa"/>
            <w:vAlign w:val="bottom"/>
          </w:tcPr>
          <w:p>
            <w:pPr>
              <w:jc w:val="center"/>
              <w:ind w:left="3355"/>
              <w:spacing w:after="0"/>
              <w:rPr>
                <w:sz w:val="20"/>
                <w:szCs w:val="20"/>
                <w:color w:val="auto"/>
              </w:rPr>
            </w:pPr>
            <w:r>
              <w:rPr>
                <w:rFonts w:ascii="Arial" w:cs="Arial" w:eastAsia="Arial" w:hAnsi="Arial"/>
                <w:sz w:val="13"/>
                <w:szCs w:val="13"/>
                <w:color w:val="auto"/>
                <w:w w:val="93"/>
              </w:rPr>
              <w:t>Minnesota</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Warner Company</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Warner Hill Development Company</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4"/>
              </w:rPr>
              <w:t>Ohio</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Away Group, Inc.</w:t>
            </w:r>
          </w:p>
        </w:tc>
        <w:tc>
          <w:tcPr>
            <w:tcW w:w="4660" w:type="dxa"/>
            <w:vAlign w:val="bottom"/>
            <w:shd w:val="clear" w:color="auto" w:fill="CCEEFF"/>
          </w:tcPr>
          <w:p>
            <w:pPr>
              <w:jc w:val="center"/>
              <w:ind w:left="3355"/>
              <w:spacing w:after="0"/>
              <w:rPr>
                <w:sz w:val="20"/>
                <w:szCs w:val="20"/>
                <w:color w:val="auto"/>
              </w:rPr>
            </w:pPr>
            <w:r>
              <w:rPr>
                <w:rFonts w:ascii="Arial" w:cs="Arial" w:eastAsia="Arial" w:hAnsi="Arial"/>
                <w:sz w:val="13"/>
                <w:szCs w:val="13"/>
                <w:color w:val="auto"/>
                <w:w w:val="93"/>
              </w:rPr>
              <w:t>Alabama</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Waste Management Arizona Landfills,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Buckeye, L.L.C.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Waste Management Collection and Recycling,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8"/>
              </w:rPr>
              <w:t>California</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Disposal Services of Colorado, Inc.</w:t>
            </w:r>
          </w:p>
        </w:tc>
        <w:tc>
          <w:tcPr>
            <w:tcW w:w="4660" w:type="dxa"/>
            <w:vAlign w:val="bottom"/>
            <w:shd w:val="clear" w:color="auto" w:fill="CCEEFF"/>
          </w:tcPr>
          <w:p>
            <w:pPr>
              <w:jc w:val="center"/>
              <w:ind w:left="3355"/>
              <w:spacing w:after="0"/>
              <w:rPr>
                <w:sz w:val="20"/>
                <w:szCs w:val="20"/>
                <w:color w:val="auto"/>
              </w:rPr>
            </w:pPr>
            <w:r>
              <w:rPr>
                <w:rFonts w:ascii="Arial" w:cs="Arial" w:eastAsia="Arial" w:hAnsi="Arial"/>
                <w:sz w:val="13"/>
                <w:szCs w:val="13"/>
                <w:color w:val="auto"/>
                <w:w w:val="90"/>
              </w:rPr>
              <w:t>Colorado</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Waste Management Disposal Services of Maine,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5"/>
              </w:rPr>
              <w:t>Maine</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Disposal Services of Maryland, Inc.</w:t>
            </w:r>
          </w:p>
        </w:tc>
        <w:tc>
          <w:tcPr>
            <w:tcW w:w="4660" w:type="dxa"/>
            <w:vAlign w:val="bottom"/>
            <w:shd w:val="clear" w:color="auto" w:fill="CCEEFF"/>
          </w:tcPr>
          <w:p>
            <w:pPr>
              <w:jc w:val="center"/>
              <w:ind w:left="3355"/>
              <w:spacing w:after="0"/>
              <w:rPr>
                <w:sz w:val="20"/>
                <w:szCs w:val="20"/>
                <w:color w:val="auto"/>
              </w:rPr>
            </w:pPr>
            <w:r>
              <w:rPr>
                <w:rFonts w:ascii="Arial" w:cs="Arial" w:eastAsia="Arial" w:hAnsi="Arial"/>
                <w:sz w:val="13"/>
                <w:szCs w:val="13"/>
                <w:color w:val="auto"/>
                <w:w w:val="97"/>
              </w:rPr>
              <w:t>Maryland</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Waste Management Disposal Services of Massachusetts, Inc.</w:t>
            </w:r>
          </w:p>
        </w:tc>
        <w:tc>
          <w:tcPr>
            <w:tcW w:w="4660" w:type="dxa"/>
            <w:vAlign w:val="bottom"/>
          </w:tcPr>
          <w:p>
            <w:pPr>
              <w:jc w:val="center"/>
              <w:ind w:left="3355"/>
              <w:spacing w:after="0"/>
              <w:rPr>
                <w:sz w:val="20"/>
                <w:szCs w:val="20"/>
                <w:color w:val="auto"/>
              </w:rPr>
            </w:pPr>
            <w:r>
              <w:rPr>
                <w:rFonts w:ascii="Arial" w:cs="Arial" w:eastAsia="Arial" w:hAnsi="Arial"/>
                <w:sz w:val="13"/>
                <w:szCs w:val="13"/>
                <w:color w:val="auto"/>
                <w:w w:val="87"/>
              </w:rPr>
              <w:t>Massachusetts</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Disposal Services of Oregon, Inc.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Waste Management Disposal Services of Pennsylvania,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0"/>
              </w:rPr>
              <w:t>Pennsylvania</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Disposal Services of Virginia, Inc.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Waste Management Financing Corporation</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Holdings, Inc.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Waste Management Inc. of Florida</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5"/>
              </w:rPr>
              <w:t>Florida</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Indycoke, L.L.C.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Waste Management International B.V.</w:t>
            </w:r>
          </w:p>
        </w:tc>
        <w:tc>
          <w:tcPr>
            <w:tcW w:w="4660" w:type="dxa"/>
            <w:vAlign w:val="bottom"/>
          </w:tcPr>
          <w:p>
            <w:pPr>
              <w:jc w:val="center"/>
              <w:ind w:left="3355"/>
              <w:spacing w:after="0"/>
              <w:rPr>
                <w:sz w:val="20"/>
                <w:szCs w:val="20"/>
                <w:color w:val="auto"/>
              </w:rPr>
            </w:pPr>
            <w:r>
              <w:rPr>
                <w:rFonts w:ascii="Arial" w:cs="Arial" w:eastAsia="Arial" w:hAnsi="Arial"/>
                <w:sz w:val="13"/>
                <w:szCs w:val="13"/>
                <w:color w:val="auto"/>
                <w:w w:val="91"/>
              </w:rPr>
              <w:t>Netherlands</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International plc</w:t>
            </w:r>
          </w:p>
        </w:tc>
        <w:tc>
          <w:tcPr>
            <w:tcW w:w="4660" w:type="dxa"/>
            <w:vAlign w:val="bottom"/>
            <w:shd w:val="clear" w:color="auto" w:fill="CCEEFF"/>
          </w:tcPr>
          <w:p>
            <w:pPr>
              <w:jc w:val="center"/>
              <w:ind w:left="3355"/>
              <w:spacing w:after="0"/>
              <w:rPr>
                <w:sz w:val="20"/>
                <w:szCs w:val="20"/>
                <w:color w:val="auto"/>
              </w:rPr>
            </w:pPr>
            <w:r>
              <w:rPr>
                <w:rFonts w:ascii="Arial" w:cs="Arial" w:eastAsia="Arial" w:hAnsi="Arial"/>
                <w:sz w:val="13"/>
                <w:szCs w:val="13"/>
                <w:color w:val="auto"/>
                <w:w w:val="95"/>
              </w:rPr>
              <w:t>United Kingdom</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Waste Management International,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International, Ltd.</w:t>
            </w:r>
          </w:p>
        </w:tc>
        <w:tc>
          <w:tcPr>
            <w:tcW w:w="4660" w:type="dxa"/>
            <w:vAlign w:val="bottom"/>
            <w:shd w:val="clear" w:color="auto" w:fill="CCEEFF"/>
          </w:tcPr>
          <w:p>
            <w:pPr>
              <w:jc w:val="center"/>
              <w:ind w:left="3355"/>
              <w:spacing w:after="0"/>
              <w:rPr>
                <w:sz w:val="20"/>
                <w:szCs w:val="20"/>
                <w:color w:val="auto"/>
              </w:rPr>
            </w:pPr>
            <w:r>
              <w:rPr>
                <w:rFonts w:ascii="Arial" w:cs="Arial" w:eastAsia="Arial" w:hAnsi="Arial"/>
                <w:sz w:val="13"/>
                <w:szCs w:val="13"/>
                <w:color w:val="auto"/>
                <w:w w:val="90"/>
              </w:rPr>
              <w:t>Bermuda</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Waste Management Municipal Services of California,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8"/>
              </w:rPr>
              <w:t>California</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National Services, Inc.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Waste Management New England Environmental Transport,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Alameda County, Inc.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8"/>
              </w:rPr>
              <w:t>California</w:t>
            </w:r>
          </w:p>
        </w:tc>
      </w:tr>
      <w:tr>
        <w:trPr>
          <w:trHeight w:val="157"/>
        </w:trPr>
        <w:tc>
          <w:tcPr>
            <w:tcW w:w="6800" w:type="dxa"/>
            <w:vAlign w:val="bottom"/>
          </w:tcPr>
          <w:p>
            <w:pPr>
              <w:spacing w:after="0"/>
              <w:rPr>
                <w:sz w:val="20"/>
                <w:szCs w:val="20"/>
                <w:color w:val="auto"/>
              </w:rPr>
            </w:pPr>
            <w:r>
              <w:rPr>
                <w:rFonts w:ascii="Arial" w:cs="Arial" w:eastAsia="Arial" w:hAnsi="Arial"/>
                <w:sz w:val="13"/>
                <w:szCs w:val="13"/>
                <w:color w:val="auto"/>
              </w:rPr>
              <w:t>Waste Management of Alaska, Inc.</w:t>
            </w:r>
          </w:p>
        </w:tc>
        <w:tc>
          <w:tcPr>
            <w:tcW w:w="4660" w:type="dxa"/>
            <w:vAlign w:val="bottom"/>
          </w:tcPr>
          <w:p>
            <w:pPr>
              <w:jc w:val="center"/>
              <w:ind w:left="3335"/>
              <w:spacing w:after="0"/>
              <w:rPr>
                <w:sz w:val="20"/>
                <w:szCs w:val="20"/>
                <w:color w:val="auto"/>
              </w:rPr>
            </w:pPr>
            <w:r>
              <w:rPr>
                <w:rFonts w:ascii="Arial" w:cs="Arial" w:eastAsia="Arial" w:hAnsi="Arial"/>
                <w:sz w:val="13"/>
                <w:szCs w:val="13"/>
                <w:color w:val="auto"/>
                <w:w w:val="90"/>
              </w:rPr>
              <w:t>Delaware</w:t>
            </w:r>
          </w:p>
        </w:tc>
      </w:tr>
      <w:tr>
        <w:trPr>
          <w:trHeight w:val="157"/>
        </w:trPr>
        <w:tc>
          <w:tcPr>
            <w:tcW w:w="680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Arizona, Inc.</w:t>
            </w:r>
          </w:p>
        </w:tc>
        <w:tc>
          <w:tcPr>
            <w:tcW w:w="4660" w:type="dxa"/>
            <w:vAlign w:val="bottom"/>
            <w:shd w:val="clear" w:color="auto" w:fill="CCEEFF"/>
          </w:tcPr>
          <w:p>
            <w:pPr>
              <w:jc w:val="center"/>
              <w:ind w:left="3335"/>
              <w:spacing w:after="0"/>
              <w:rPr>
                <w:sz w:val="20"/>
                <w:szCs w:val="20"/>
                <w:color w:val="auto"/>
              </w:rPr>
            </w:pPr>
            <w:r>
              <w:rPr>
                <w:rFonts w:ascii="Arial" w:cs="Arial" w:eastAsia="Arial" w:hAnsi="Arial"/>
                <w:sz w:val="13"/>
                <w:szCs w:val="13"/>
                <w:color w:val="auto"/>
                <w:w w:val="98"/>
              </w:rPr>
              <w:t>California</w:t>
            </w:r>
          </w:p>
        </w:tc>
      </w:tr>
      <w:tr>
        <w:trPr>
          <w:trHeight w:val="457"/>
        </w:trPr>
        <w:tc>
          <w:tcPr>
            <w:tcW w:w="680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15"/>
        </w:trPr>
        <w:tc>
          <w:tcPr>
            <w:tcW w:w="6960" w:type="dxa"/>
            <w:vAlign w:val="bottom"/>
          </w:tcPr>
          <w:p>
            <w:pPr>
              <w:spacing w:after="0"/>
              <w:rPr>
                <w:sz w:val="20"/>
                <w:szCs w:val="20"/>
                <w:color w:val="auto"/>
              </w:rPr>
            </w:pPr>
            <w:r>
              <w:rPr>
                <w:rFonts w:ascii="Arial" w:cs="Arial" w:eastAsia="Arial" w:hAnsi="Arial"/>
                <w:sz w:val="10"/>
                <w:szCs w:val="10"/>
                <w:b w:val="1"/>
                <w:bCs w:val="1"/>
                <w:i w:val="1"/>
                <w:iCs w:val="1"/>
                <w:color w:val="auto"/>
              </w:rPr>
              <w:t>Name</w:t>
            </w:r>
          </w:p>
        </w:tc>
        <w:tc>
          <w:tcPr>
            <w:tcW w:w="4500" w:type="dxa"/>
            <w:vAlign w:val="bottom"/>
          </w:tcPr>
          <w:p>
            <w:pPr>
              <w:jc w:val="center"/>
              <w:ind w:left="3175"/>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65"/>
        </w:trPr>
        <w:tc>
          <w:tcPr>
            <w:tcW w:w="6960" w:type="dxa"/>
            <w:vAlign w:val="bottom"/>
          </w:tcPr>
          <w:p>
            <w:pPr>
              <w:spacing w:after="0"/>
              <w:rPr>
                <w:sz w:val="20"/>
                <w:szCs w:val="20"/>
                <w:color w:val="auto"/>
              </w:rPr>
            </w:pPr>
            <w:r>
              <w:rPr>
                <w:rFonts w:ascii="Arial" w:cs="Arial" w:eastAsia="Arial" w:hAnsi="Arial"/>
                <w:sz w:val="13"/>
                <w:szCs w:val="13"/>
                <w:color w:val="auto"/>
              </w:rPr>
              <w:t>Waste Management of Arkansas,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9"/>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California,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8"/>
              </w:rPr>
              <w:t>California</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Canada Corporation</w:t>
            </w:r>
          </w:p>
        </w:tc>
        <w:tc>
          <w:tcPr>
            <w:tcW w:w="4500" w:type="dxa"/>
            <w:vAlign w:val="bottom"/>
          </w:tcPr>
          <w:p>
            <w:pPr>
              <w:jc w:val="center"/>
              <w:ind w:left="3195"/>
              <w:spacing w:after="0"/>
              <w:rPr>
                <w:sz w:val="20"/>
                <w:szCs w:val="20"/>
                <w:color w:val="auto"/>
              </w:rPr>
            </w:pPr>
            <w:r>
              <w:rPr>
                <w:rFonts w:ascii="Arial" w:cs="Arial" w:eastAsia="Arial" w:hAnsi="Arial"/>
                <w:sz w:val="13"/>
                <w:szCs w:val="13"/>
                <w:color w:val="auto"/>
                <w:w w:val="91"/>
              </w:rPr>
              <w:t>Nova Scotia</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Canada Corporation</w:t>
            </w:r>
          </w:p>
        </w:tc>
        <w:tc>
          <w:tcPr>
            <w:tcW w:w="4500" w:type="dxa"/>
            <w:vAlign w:val="bottom"/>
            <w:shd w:val="clear" w:color="auto" w:fill="CCEEFF"/>
          </w:tcPr>
          <w:p>
            <w:pPr>
              <w:jc w:val="center"/>
              <w:ind w:left="3195"/>
              <w:spacing w:after="0"/>
              <w:rPr>
                <w:sz w:val="20"/>
                <w:szCs w:val="20"/>
                <w:color w:val="auto"/>
              </w:rPr>
            </w:pPr>
            <w:r>
              <w:rPr>
                <w:rFonts w:ascii="Arial" w:cs="Arial" w:eastAsia="Arial" w:hAnsi="Arial"/>
                <w:sz w:val="13"/>
                <w:szCs w:val="13"/>
                <w:color w:val="auto"/>
                <w:w w:val="93"/>
              </w:rPr>
              <w:t>Ontario</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Carolinas, Inc.</w:t>
            </w:r>
          </w:p>
        </w:tc>
        <w:tc>
          <w:tcPr>
            <w:tcW w:w="4500" w:type="dxa"/>
            <w:vAlign w:val="bottom"/>
          </w:tcPr>
          <w:p>
            <w:pPr>
              <w:jc w:val="center"/>
              <w:ind w:left="3195"/>
              <w:spacing w:after="0"/>
              <w:rPr>
                <w:sz w:val="20"/>
                <w:szCs w:val="20"/>
                <w:color w:val="auto"/>
              </w:rPr>
            </w:pPr>
            <w:r>
              <w:rPr>
                <w:rFonts w:ascii="Arial" w:cs="Arial" w:eastAsia="Arial" w:hAnsi="Arial"/>
                <w:sz w:val="13"/>
                <w:szCs w:val="13"/>
                <w:color w:val="auto"/>
                <w:w w:val="95"/>
              </w:rPr>
              <w:t>North Carolina</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Colorado, Inc.</w:t>
            </w:r>
          </w:p>
        </w:tc>
        <w:tc>
          <w:tcPr>
            <w:tcW w:w="4500" w:type="dxa"/>
            <w:vAlign w:val="bottom"/>
            <w:shd w:val="clear" w:color="auto" w:fill="CCEEFF"/>
          </w:tcPr>
          <w:p>
            <w:pPr>
              <w:jc w:val="center"/>
              <w:ind w:left="3195"/>
              <w:spacing w:after="0"/>
              <w:rPr>
                <w:sz w:val="20"/>
                <w:szCs w:val="20"/>
                <w:color w:val="auto"/>
              </w:rPr>
            </w:pPr>
            <w:r>
              <w:rPr>
                <w:rFonts w:ascii="Arial" w:cs="Arial" w:eastAsia="Arial" w:hAnsi="Arial"/>
                <w:sz w:val="13"/>
                <w:szCs w:val="13"/>
                <w:color w:val="auto"/>
                <w:w w:val="90"/>
              </w:rPr>
              <w:t>Colorado</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Connecticut,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Delaware,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Fairless, L.L.C.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Five Oaks Recycling and Disposal Facility,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Georgia,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Georgia</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Hawaii,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Idaho,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2"/>
              </w:rPr>
              <w:t>Idaho</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Illinois,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Indiana Holdings One,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Indiana Holdings Two,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Indiana, L.L.C.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Iowa,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4"/>
              </w:rPr>
              <w:t>Iowa</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Kansas,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87"/>
              </w:rPr>
              <w:t>Kansas</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Kentucky Holdings,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Kentucky, L.L.C.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Leon County,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5"/>
              </w:rPr>
              <w:t>Florida</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Londonderry,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Louisiana Holdings One,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Louisiana, L.L.C.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Maine,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5"/>
              </w:rPr>
              <w:t>Maine</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Maryland, Inc.</w:t>
            </w:r>
          </w:p>
        </w:tc>
        <w:tc>
          <w:tcPr>
            <w:tcW w:w="4500" w:type="dxa"/>
            <w:vAlign w:val="bottom"/>
          </w:tcPr>
          <w:p>
            <w:pPr>
              <w:jc w:val="center"/>
              <w:ind w:left="3195"/>
              <w:spacing w:after="0"/>
              <w:rPr>
                <w:sz w:val="20"/>
                <w:szCs w:val="20"/>
                <w:color w:val="auto"/>
              </w:rPr>
            </w:pPr>
            <w:r>
              <w:rPr>
                <w:rFonts w:ascii="Arial" w:cs="Arial" w:eastAsia="Arial" w:hAnsi="Arial"/>
                <w:sz w:val="13"/>
                <w:szCs w:val="13"/>
                <w:color w:val="auto"/>
                <w:w w:val="97"/>
              </w:rPr>
              <w:t>Maryland</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Massachusetts, Inc.</w:t>
            </w:r>
          </w:p>
        </w:tc>
        <w:tc>
          <w:tcPr>
            <w:tcW w:w="4500" w:type="dxa"/>
            <w:vAlign w:val="bottom"/>
            <w:shd w:val="clear" w:color="auto" w:fill="CCEEFF"/>
          </w:tcPr>
          <w:p>
            <w:pPr>
              <w:jc w:val="center"/>
              <w:ind w:left="3195"/>
              <w:spacing w:after="0"/>
              <w:rPr>
                <w:sz w:val="20"/>
                <w:szCs w:val="20"/>
                <w:color w:val="auto"/>
              </w:rPr>
            </w:pPr>
            <w:r>
              <w:rPr>
                <w:rFonts w:ascii="Arial" w:cs="Arial" w:eastAsia="Arial" w:hAnsi="Arial"/>
                <w:sz w:val="13"/>
                <w:szCs w:val="13"/>
                <w:color w:val="auto"/>
                <w:w w:val="87"/>
              </w:rPr>
              <w:t>Massachusetts</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Metro Atlanta,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Georgia</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Michigan,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6"/>
              </w:rPr>
              <w:t>Michigan</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Minnesota, Inc.</w:t>
            </w:r>
          </w:p>
        </w:tc>
        <w:tc>
          <w:tcPr>
            <w:tcW w:w="4500" w:type="dxa"/>
            <w:vAlign w:val="bottom"/>
          </w:tcPr>
          <w:p>
            <w:pPr>
              <w:jc w:val="center"/>
              <w:ind w:left="3195"/>
              <w:spacing w:after="0"/>
              <w:rPr>
                <w:sz w:val="20"/>
                <w:szCs w:val="20"/>
                <w:color w:val="auto"/>
              </w:rPr>
            </w:pPr>
            <w:r>
              <w:rPr>
                <w:rFonts w:ascii="Arial" w:cs="Arial" w:eastAsia="Arial" w:hAnsi="Arial"/>
                <w:sz w:val="13"/>
                <w:szCs w:val="13"/>
                <w:color w:val="auto"/>
                <w:w w:val="93"/>
              </w:rPr>
              <w:t>Minnesota</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Mississippi, Inc.</w:t>
            </w:r>
          </w:p>
        </w:tc>
        <w:tc>
          <w:tcPr>
            <w:tcW w:w="4500" w:type="dxa"/>
            <w:vAlign w:val="bottom"/>
            <w:shd w:val="clear" w:color="auto" w:fill="CCEEFF"/>
          </w:tcPr>
          <w:p>
            <w:pPr>
              <w:jc w:val="center"/>
              <w:ind w:left="3195"/>
              <w:spacing w:after="0"/>
              <w:rPr>
                <w:sz w:val="20"/>
                <w:szCs w:val="20"/>
                <w:color w:val="auto"/>
              </w:rPr>
            </w:pPr>
            <w:r>
              <w:rPr>
                <w:rFonts w:ascii="Arial" w:cs="Arial" w:eastAsia="Arial" w:hAnsi="Arial"/>
                <w:sz w:val="13"/>
                <w:szCs w:val="13"/>
                <w:color w:val="auto"/>
                <w:w w:val="95"/>
              </w:rPr>
              <w:t>Mississippi</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Missouri,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Montana,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Nebraska,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Nevada, Inc.</w:t>
            </w:r>
          </w:p>
        </w:tc>
        <w:tc>
          <w:tcPr>
            <w:tcW w:w="4500" w:type="dxa"/>
            <w:vAlign w:val="bottom"/>
            <w:shd w:val="clear" w:color="auto" w:fill="CCEEFF"/>
          </w:tcPr>
          <w:p>
            <w:pPr>
              <w:jc w:val="center"/>
              <w:ind w:left="3195"/>
              <w:spacing w:after="0"/>
              <w:rPr>
                <w:sz w:val="20"/>
                <w:szCs w:val="20"/>
                <w:color w:val="auto"/>
              </w:rPr>
            </w:pPr>
            <w:r>
              <w:rPr>
                <w:rFonts w:ascii="Arial" w:cs="Arial" w:eastAsia="Arial" w:hAnsi="Arial"/>
                <w:sz w:val="13"/>
                <w:szCs w:val="13"/>
                <w:color w:val="auto"/>
                <w:w w:val="89"/>
              </w:rPr>
              <w:t>Nevada</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New Hampshire, Inc.</w:t>
            </w:r>
          </w:p>
        </w:tc>
        <w:tc>
          <w:tcPr>
            <w:tcW w:w="4500" w:type="dxa"/>
            <w:vAlign w:val="bottom"/>
          </w:tcPr>
          <w:p>
            <w:pPr>
              <w:jc w:val="center"/>
              <w:ind w:left="3195"/>
              <w:spacing w:after="0"/>
              <w:rPr>
                <w:sz w:val="20"/>
                <w:szCs w:val="20"/>
                <w:color w:val="auto"/>
              </w:rPr>
            </w:pPr>
            <w:r>
              <w:rPr>
                <w:rFonts w:ascii="Arial" w:cs="Arial" w:eastAsia="Arial" w:hAnsi="Arial"/>
                <w:sz w:val="13"/>
                <w:szCs w:val="13"/>
                <w:color w:val="auto"/>
                <w:w w:val="93"/>
              </w:rPr>
              <w:t>Connecticut</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New Jersey,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New Mexico, Inc.</w:t>
            </w:r>
          </w:p>
        </w:tc>
        <w:tc>
          <w:tcPr>
            <w:tcW w:w="4500" w:type="dxa"/>
            <w:vAlign w:val="bottom"/>
          </w:tcPr>
          <w:p>
            <w:pPr>
              <w:jc w:val="center"/>
              <w:ind w:left="3195"/>
              <w:spacing w:after="0"/>
              <w:rPr>
                <w:sz w:val="20"/>
                <w:szCs w:val="20"/>
                <w:color w:val="auto"/>
              </w:rPr>
            </w:pPr>
            <w:r>
              <w:rPr>
                <w:rFonts w:ascii="Arial" w:cs="Arial" w:eastAsia="Arial" w:hAnsi="Arial"/>
                <w:sz w:val="13"/>
                <w:szCs w:val="13"/>
                <w:color w:val="auto"/>
                <w:w w:val="95"/>
              </w:rPr>
              <w:t>New Mexico</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New York, L.L.C.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North Dakota,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Ohio,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4"/>
              </w:rPr>
              <w:t>Ohio</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Oklahoma,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1"/>
              </w:rPr>
              <w:t>Oklahoma</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Oregon, Inc.</w:t>
            </w:r>
          </w:p>
        </w:tc>
        <w:tc>
          <w:tcPr>
            <w:tcW w:w="4500" w:type="dxa"/>
            <w:vAlign w:val="bottom"/>
            <w:shd w:val="clear" w:color="auto" w:fill="CCEEFF"/>
          </w:tcPr>
          <w:p>
            <w:pPr>
              <w:jc w:val="center"/>
              <w:ind w:left="3195"/>
              <w:spacing w:after="0"/>
              <w:rPr>
                <w:sz w:val="20"/>
                <w:szCs w:val="20"/>
                <w:color w:val="auto"/>
              </w:rPr>
            </w:pPr>
            <w:r>
              <w:rPr>
                <w:rFonts w:ascii="Arial" w:cs="Arial" w:eastAsia="Arial" w:hAnsi="Arial"/>
                <w:sz w:val="13"/>
                <w:szCs w:val="13"/>
                <w:color w:val="auto"/>
                <w:w w:val="92"/>
              </w:rPr>
              <w:t>Oregon</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Pennsylvania Gas Recovery, L.L.C.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Pennsylvania,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0"/>
              </w:rPr>
              <w:t>Pennsylvania</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Plainfield, L.L.C.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Rhode Island, Inc.</w:t>
            </w:r>
          </w:p>
        </w:tc>
        <w:tc>
          <w:tcPr>
            <w:tcW w:w="450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Waste Management of South Carolina, Inc.</w:t>
            </w:r>
          </w:p>
        </w:tc>
        <w:tc>
          <w:tcPr>
            <w:tcW w:w="4500" w:type="dxa"/>
            <w:vAlign w:val="bottom"/>
          </w:tcPr>
          <w:p>
            <w:pPr>
              <w:jc w:val="center"/>
              <w:ind w:left="3195"/>
              <w:spacing w:after="0"/>
              <w:rPr>
                <w:sz w:val="20"/>
                <w:szCs w:val="20"/>
                <w:color w:val="auto"/>
              </w:rPr>
            </w:pPr>
            <w:r>
              <w:rPr>
                <w:rFonts w:ascii="Arial" w:cs="Arial" w:eastAsia="Arial" w:hAnsi="Arial"/>
                <w:sz w:val="13"/>
                <w:szCs w:val="13"/>
                <w:color w:val="auto"/>
                <w:w w:val="92"/>
              </w:rPr>
              <w:t>South Carolina</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South Dakota, Inc.</w:t>
            </w:r>
          </w:p>
        </w:tc>
        <w:tc>
          <w:tcPr>
            <w:tcW w:w="4500" w:type="dxa"/>
            <w:vAlign w:val="bottom"/>
            <w:shd w:val="clear" w:color="auto" w:fill="CCEEFF"/>
          </w:tcPr>
          <w:p>
            <w:pPr>
              <w:jc w:val="center"/>
              <w:ind w:left="3195"/>
              <w:spacing w:after="0"/>
              <w:rPr>
                <w:sz w:val="20"/>
                <w:szCs w:val="20"/>
                <w:color w:val="auto"/>
              </w:rPr>
            </w:pPr>
            <w:r>
              <w:rPr>
                <w:rFonts w:ascii="Arial" w:cs="Arial" w:eastAsia="Arial" w:hAnsi="Arial"/>
                <w:sz w:val="13"/>
                <w:szCs w:val="13"/>
                <w:color w:val="auto"/>
                <w:w w:val="91"/>
              </w:rPr>
              <w:t>South Dakota</w:t>
            </w:r>
          </w:p>
        </w:tc>
      </w:tr>
      <w:tr>
        <w:trPr>
          <w:trHeight w:val="165"/>
        </w:trPr>
        <w:tc>
          <w:tcPr>
            <w:tcW w:w="6960" w:type="dxa"/>
            <w:vAlign w:val="bottom"/>
          </w:tcPr>
          <w:p>
            <w:pPr>
              <w:spacing w:after="0"/>
              <w:rPr>
                <w:sz w:val="20"/>
                <w:szCs w:val="20"/>
                <w:color w:val="auto"/>
              </w:rPr>
            </w:pPr>
            <w:r>
              <w:rPr>
                <w:rFonts w:ascii="Arial" w:cs="Arial" w:eastAsia="Arial" w:hAnsi="Arial"/>
                <w:sz w:val="13"/>
                <w:szCs w:val="13"/>
                <w:color w:val="auto"/>
              </w:rPr>
              <w:t>Waste Management of Texas Holdings, Inc.</w:t>
            </w:r>
          </w:p>
        </w:tc>
        <w:tc>
          <w:tcPr>
            <w:tcW w:w="4500" w:type="dxa"/>
            <w:vAlign w:val="bottom"/>
          </w:tcPr>
          <w:p>
            <w:pPr>
              <w:jc w:val="center"/>
              <w:ind w:left="3175"/>
              <w:spacing w:after="0"/>
              <w:rPr>
                <w:sz w:val="20"/>
                <w:szCs w:val="20"/>
                <w:color w:val="auto"/>
              </w:rPr>
            </w:pPr>
            <w:r>
              <w:rPr>
                <w:rFonts w:ascii="Arial" w:cs="Arial" w:eastAsia="Arial" w:hAnsi="Arial"/>
                <w:sz w:val="13"/>
                <w:szCs w:val="13"/>
                <w:color w:val="auto"/>
                <w:w w:val="90"/>
              </w:rPr>
              <w:t>Delaware</w:t>
            </w:r>
          </w:p>
        </w:tc>
      </w:tr>
      <w:tr>
        <w:trPr>
          <w:trHeight w:val="449"/>
        </w:trPr>
        <w:tc>
          <w:tcPr>
            <w:tcW w:w="696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1" w:right="2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21"/>
        </w:trPr>
        <w:tc>
          <w:tcPr>
            <w:tcW w:w="6980" w:type="dxa"/>
            <w:vAlign w:val="bottom"/>
          </w:tcPr>
          <w:p>
            <w:pPr>
              <w:spacing w:after="0"/>
              <w:rPr>
                <w:sz w:val="20"/>
                <w:szCs w:val="20"/>
                <w:color w:val="auto"/>
              </w:rPr>
            </w:pPr>
            <w:r>
              <w:rPr>
                <w:rFonts w:ascii="Arial" w:cs="Arial" w:eastAsia="Arial" w:hAnsi="Arial"/>
                <w:sz w:val="10"/>
                <w:szCs w:val="10"/>
                <w:b w:val="1"/>
                <w:bCs w:val="1"/>
                <w:i w:val="1"/>
                <w:iCs w:val="1"/>
                <w:color w:val="auto"/>
              </w:rPr>
              <w:t>Name</w:t>
            </w:r>
          </w:p>
        </w:tc>
        <w:tc>
          <w:tcPr>
            <w:tcW w:w="4480" w:type="dxa"/>
            <w:vAlign w:val="bottom"/>
          </w:tcPr>
          <w:p>
            <w:pPr>
              <w:jc w:val="center"/>
              <w:ind w:left="3155"/>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Texas,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84"/>
              </w:rPr>
              <w:t>Texas</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Waste Management of Tunica Landfill, Inc.</w:t>
            </w:r>
          </w:p>
        </w:tc>
        <w:tc>
          <w:tcPr>
            <w:tcW w:w="4480" w:type="dxa"/>
            <w:vAlign w:val="bottom"/>
          </w:tcPr>
          <w:p>
            <w:pPr>
              <w:jc w:val="center"/>
              <w:ind w:left="3175"/>
              <w:spacing w:after="0"/>
              <w:rPr>
                <w:sz w:val="20"/>
                <w:szCs w:val="20"/>
                <w:color w:val="auto"/>
              </w:rPr>
            </w:pPr>
            <w:r>
              <w:rPr>
                <w:rFonts w:ascii="Arial" w:cs="Arial" w:eastAsia="Arial" w:hAnsi="Arial"/>
                <w:sz w:val="13"/>
                <w:szCs w:val="13"/>
                <w:color w:val="auto"/>
                <w:w w:val="95"/>
              </w:rPr>
              <w:t>Mississippi</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Utah,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4"/>
              </w:rPr>
              <w:t>Utah</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Waste Management of Virginia, Inc.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6"/>
              </w:rPr>
              <w:t>Virginia</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Washington,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Waste Management of West Virginia, Inc.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of Wisconsin,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1"/>
              </w:rPr>
              <w:t>Wisconsin</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Waste Management of Wyoming, Inc.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Partners,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Waste Management Recycle Asia, L.L.C.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4"/>
              </w:rPr>
              <w:t>Ohio</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Recycling and Disposal Services of California,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8"/>
              </w:rPr>
              <w:t>California</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Waste Management Recycling of New Jersey, L.L.C.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Security, L.L.C.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Waste Management Service Center, Inc.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Waste Management,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Waste Management, Inc. of Tennessee</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83"/>
              </w:rPr>
              <w:t>Tennessee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Waste Resources of Tennessee,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83"/>
              </w:rPr>
              <w:t>Tennessee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Waste Services of Kentucky, L.L.C.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Waste to Energy Holdings,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Waste to Energy I, LLC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Waste to Energy II, LLC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Wastech Inc.</w:t>
            </w:r>
          </w:p>
        </w:tc>
        <w:tc>
          <w:tcPr>
            <w:tcW w:w="4480" w:type="dxa"/>
            <w:vAlign w:val="bottom"/>
          </w:tcPr>
          <w:p>
            <w:pPr>
              <w:jc w:val="center"/>
              <w:ind w:left="3175"/>
              <w:spacing w:after="0"/>
              <w:rPr>
                <w:sz w:val="20"/>
                <w:szCs w:val="20"/>
                <w:color w:val="auto"/>
              </w:rPr>
            </w:pPr>
            <w:r>
              <w:rPr>
                <w:rFonts w:ascii="Arial" w:cs="Arial" w:eastAsia="Arial" w:hAnsi="Arial"/>
                <w:sz w:val="13"/>
                <w:szCs w:val="13"/>
                <w:color w:val="auto"/>
                <w:w w:val="89"/>
              </w:rPr>
              <w:t>Nevada</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WESI Baltimore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WESI Capital Inc.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WESI Peekskill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WESI Westchester Inc.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Westchester Resco Associates, L.P.</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Western One Land Corporation</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Western Waste Industries</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8"/>
              </w:rPr>
              <w:t>California</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Western Waste of Texas, L.L.C.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Wheelabrator Baltimore L.L.C.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Wheelabrator Baltimore, L.P.</w:t>
            </w:r>
          </w:p>
        </w:tc>
        <w:tc>
          <w:tcPr>
            <w:tcW w:w="4480" w:type="dxa"/>
            <w:vAlign w:val="bottom"/>
          </w:tcPr>
          <w:p>
            <w:pPr>
              <w:jc w:val="center"/>
              <w:ind w:left="3175"/>
              <w:spacing w:after="0"/>
              <w:rPr>
                <w:sz w:val="20"/>
                <w:szCs w:val="20"/>
                <w:color w:val="auto"/>
              </w:rPr>
            </w:pPr>
            <w:r>
              <w:rPr>
                <w:rFonts w:ascii="Arial" w:cs="Arial" w:eastAsia="Arial" w:hAnsi="Arial"/>
                <w:sz w:val="13"/>
                <w:szCs w:val="13"/>
                <w:color w:val="auto"/>
                <w:w w:val="97"/>
              </w:rPr>
              <w:t>Maryland</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Wheelabrator Bridgeport, L.P.</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Wheelabrator Cedar Creek Inc.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Wheelabrator Chambers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Wheelabrator Claremont Company, L.P.</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Wheelabrator Claremont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Wheelabrator Concord Company, L.P.</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Wheelabrator Concord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Wheelabrator Connecticut Inc.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Wheelabrator Culm Services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Wheelabrator Environmental Systems Inc.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Wheelabrator Falls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Wheelabrator Frackville Energy Company Inc.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Wheelabrator Frackville Properties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Wheelabrator Fuel Services Inc.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Wheelabrator Gloucester Company, L.P.</w:t>
            </w:r>
          </w:p>
        </w:tc>
        <w:tc>
          <w:tcPr>
            <w:tcW w:w="4480" w:type="dxa"/>
            <w:vAlign w:val="bottom"/>
            <w:shd w:val="clear" w:color="auto" w:fill="CCEEFF"/>
          </w:tcPr>
          <w:p>
            <w:pPr>
              <w:jc w:val="center"/>
              <w:ind w:left="3175"/>
              <w:spacing w:after="0"/>
              <w:rPr>
                <w:sz w:val="20"/>
                <w:szCs w:val="20"/>
                <w:color w:val="auto"/>
              </w:rPr>
            </w:pPr>
            <w:r>
              <w:rPr>
                <w:rFonts w:ascii="Arial" w:cs="Arial" w:eastAsia="Arial" w:hAnsi="Arial"/>
                <w:sz w:val="13"/>
                <w:szCs w:val="13"/>
                <w:color w:val="auto"/>
                <w:w w:val="88"/>
              </w:rPr>
              <w:t>New Jersey</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Wheelabrator Gloucester Inc.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Wheelabrator Guam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tcPr>
          <w:p>
            <w:pPr>
              <w:spacing w:after="0"/>
              <w:rPr>
                <w:sz w:val="20"/>
                <w:szCs w:val="20"/>
                <w:color w:val="auto"/>
              </w:rPr>
            </w:pPr>
            <w:r>
              <w:rPr>
                <w:rFonts w:ascii="Arial" w:cs="Arial" w:eastAsia="Arial" w:hAnsi="Arial"/>
                <w:sz w:val="13"/>
                <w:szCs w:val="13"/>
                <w:color w:val="auto"/>
              </w:rPr>
              <w:t>Wheelabrator Hudson Falls L.L.C.</w:t>
            </w:r>
          </w:p>
        </w:tc>
        <w:tc>
          <w:tcPr>
            <w:tcW w:w="4480" w:type="dxa"/>
            <w:vAlign w:val="bottom"/>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157"/>
        </w:trPr>
        <w:tc>
          <w:tcPr>
            <w:tcW w:w="6980" w:type="dxa"/>
            <w:vAlign w:val="bottom"/>
            <w:shd w:val="clear" w:color="auto" w:fill="CCEEFF"/>
          </w:tcPr>
          <w:p>
            <w:pPr>
              <w:spacing w:after="0"/>
              <w:rPr>
                <w:sz w:val="20"/>
                <w:szCs w:val="20"/>
                <w:color w:val="auto"/>
              </w:rPr>
            </w:pPr>
            <w:r>
              <w:rPr>
                <w:rFonts w:ascii="Arial" w:cs="Arial" w:eastAsia="Arial" w:hAnsi="Arial"/>
                <w:sz w:val="13"/>
                <w:szCs w:val="13"/>
                <w:color w:val="auto"/>
              </w:rPr>
              <w:t>Wheelabrator Lassen Inc.</w:t>
            </w:r>
          </w:p>
        </w:tc>
        <w:tc>
          <w:tcPr>
            <w:tcW w:w="4480" w:type="dxa"/>
            <w:vAlign w:val="bottom"/>
            <w:shd w:val="clear" w:color="auto" w:fill="CCEEFF"/>
          </w:tcPr>
          <w:p>
            <w:pPr>
              <w:jc w:val="center"/>
              <w:ind w:left="3155"/>
              <w:spacing w:after="0"/>
              <w:rPr>
                <w:sz w:val="20"/>
                <w:szCs w:val="20"/>
                <w:color w:val="auto"/>
              </w:rPr>
            </w:pPr>
            <w:r>
              <w:rPr>
                <w:rFonts w:ascii="Arial" w:cs="Arial" w:eastAsia="Arial" w:hAnsi="Arial"/>
                <w:sz w:val="13"/>
                <w:szCs w:val="13"/>
                <w:color w:val="auto"/>
                <w:w w:val="90"/>
              </w:rPr>
              <w:t>Delaware</w:t>
            </w:r>
          </w:p>
        </w:tc>
      </w:tr>
      <w:tr>
        <w:trPr>
          <w:trHeight w:val="457"/>
        </w:trPr>
        <w:tc>
          <w:tcPr>
            <w:tcW w:w="698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15"/>
        </w:trPr>
        <w:tc>
          <w:tcPr>
            <w:tcW w:w="6520" w:type="dxa"/>
            <w:vAlign w:val="bottom"/>
          </w:tcPr>
          <w:p>
            <w:pPr>
              <w:spacing w:after="0"/>
              <w:rPr>
                <w:sz w:val="20"/>
                <w:szCs w:val="20"/>
                <w:color w:val="auto"/>
              </w:rPr>
            </w:pPr>
            <w:r>
              <w:rPr>
                <w:rFonts w:ascii="Arial" w:cs="Arial" w:eastAsia="Arial" w:hAnsi="Arial"/>
                <w:sz w:val="10"/>
                <w:szCs w:val="10"/>
                <w:b w:val="1"/>
                <w:bCs w:val="1"/>
                <w:i w:val="1"/>
                <w:iCs w:val="1"/>
                <w:color w:val="auto"/>
              </w:rPr>
              <w:t>Name</w:t>
            </w:r>
          </w:p>
        </w:tc>
        <w:tc>
          <w:tcPr>
            <w:tcW w:w="4940" w:type="dxa"/>
            <w:vAlign w:val="bottom"/>
          </w:tcPr>
          <w:p>
            <w:pPr>
              <w:jc w:val="center"/>
              <w:ind w:left="3615"/>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65"/>
        </w:trPr>
        <w:tc>
          <w:tcPr>
            <w:tcW w:w="6520" w:type="dxa"/>
            <w:vAlign w:val="bottom"/>
          </w:tcPr>
          <w:p>
            <w:pPr>
              <w:spacing w:after="0"/>
              <w:rPr>
                <w:sz w:val="20"/>
                <w:szCs w:val="20"/>
                <w:color w:val="auto"/>
              </w:rPr>
            </w:pPr>
            <w:r>
              <w:rPr>
                <w:rFonts w:ascii="Arial" w:cs="Arial" w:eastAsia="Arial" w:hAnsi="Arial"/>
                <w:sz w:val="13"/>
                <w:szCs w:val="13"/>
                <w:color w:val="auto"/>
              </w:rPr>
              <w:t>Wheelabrator Lisbon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9"/>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Wheelabrator McKay Bay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5"/>
              </w:rPr>
              <w:t>Florida</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Wheelabrator Millbury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Wheelabrator Netherlands B.V.</w:t>
            </w:r>
          </w:p>
        </w:tc>
        <w:tc>
          <w:tcPr>
            <w:tcW w:w="494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91"/>
              </w:rPr>
              <w:t>Netherlands</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Wheelabrator New Hampshire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Wheelabrator New Jersey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Wheelabrator NHC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Wheelabrator North Andover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Wheelabrator North Broward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Wheelabrator Norwalk Energy Company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Wheelabrator Penacook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Wheelabrator Pinellas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Wheelabrator Putnam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Wheelabrator Ridge Energy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Wheelabrator Saugus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Wheelabrator Saugus, J.V.</w:t>
            </w:r>
          </w:p>
        </w:tc>
        <w:tc>
          <w:tcPr>
            <w:tcW w:w="4940" w:type="dxa"/>
            <w:vAlign w:val="bottom"/>
            <w:shd w:val="clear" w:color="auto" w:fill="CCEEFF"/>
          </w:tcPr>
          <w:p>
            <w:pPr>
              <w:jc w:val="center"/>
              <w:ind w:left="3635"/>
              <w:spacing w:after="0"/>
              <w:rPr>
                <w:sz w:val="20"/>
                <w:szCs w:val="20"/>
                <w:color w:val="auto"/>
              </w:rPr>
            </w:pPr>
            <w:r>
              <w:rPr>
                <w:rFonts w:ascii="Arial" w:cs="Arial" w:eastAsia="Arial" w:hAnsi="Arial"/>
                <w:sz w:val="13"/>
                <w:szCs w:val="13"/>
                <w:color w:val="auto"/>
                <w:w w:val="87"/>
              </w:rPr>
              <w:t>Massachusetts</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Wheelabrator Shasta Energy Company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Wheelabrator Sherman Energy Company, G.P.</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5"/>
              </w:rPr>
              <w:t>Maine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Wheelabrator Sherman Station L.L.C.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Wheelabrator Sherman Station One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Wheelabrator South Broward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Wheelabrator Spokane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Wheelabrator Technologies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Wheelabrator Technologies International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Wheelabrator Westchester, L.P.</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White Lake Landfill,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6"/>
              </w:rPr>
              <w:t>Michigan</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Williams Landfill, L.L.C.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Willow Oak Landfill, LLC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Georgia</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WM Arizona Operations, L.L.C.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WM Conversion Energy, LLC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WM Emergency Employee Support Fund,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WM Energy Solutions,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WM Green Squad, LLC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WM GreenOps, LLC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WM GTL,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WM GTL, LLC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WM Healthcare Solutions,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WM Illinois Renewable Energy, L.L.C.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WM InEnTec Energy, LLC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WM International Holdings,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WM International Services (UK) Limited</w:t>
            </w:r>
          </w:p>
        </w:tc>
        <w:tc>
          <w:tcPr>
            <w:tcW w:w="4940" w:type="dxa"/>
            <w:vAlign w:val="bottom"/>
          </w:tcPr>
          <w:p>
            <w:pPr>
              <w:jc w:val="center"/>
              <w:ind w:left="3635"/>
              <w:spacing w:after="0"/>
              <w:rPr>
                <w:sz w:val="20"/>
                <w:szCs w:val="20"/>
                <w:color w:val="auto"/>
              </w:rPr>
            </w:pPr>
            <w:r>
              <w:rPr>
                <w:rFonts w:ascii="Arial" w:cs="Arial" w:eastAsia="Arial" w:hAnsi="Arial"/>
                <w:sz w:val="13"/>
                <w:szCs w:val="13"/>
                <w:color w:val="auto"/>
                <w:w w:val="92"/>
              </w:rPr>
              <w:t>England</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WM LampTracker Holdings,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WM LampTracker,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WM Landfills of Ohio,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WM Landfills of Tennessee, Inc.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WM Leasing of Arizona, L.L.C.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WM Leasing of Texas, L.P.</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WM LNG,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tcPr>
          <w:p>
            <w:pPr>
              <w:spacing w:after="0"/>
              <w:rPr>
                <w:sz w:val="20"/>
                <w:szCs w:val="20"/>
                <w:color w:val="auto"/>
              </w:rPr>
            </w:pPr>
            <w:r>
              <w:rPr>
                <w:rFonts w:ascii="Arial" w:cs="Arial" w:eastAsia="Arial" w:hAnsi="Arial"/>
                <w:sz w:val="13"/>
                <w:szCs w:val="13"/>
                <w:color w:val="auto"/>
              </w:rPr>
              <w:t>WM Middle Tennessee Environmental Center, L.L.C.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57"/>
        </w:trPr>
        <w:tc>
          <w:tcPr>
            <w:tcW w:w="6520" w:type="dxa"/>
            <w:vAlign w:val="bottom"/>
            <w:shd w:val="clear" w:color="auto" w:fill="CCEEFF"/>
          </w:tcPr>
          <w:p>
            <w:pPr>
              <w:spacing w:after="0"/>
              <w:rPr>
                <w:sz w:val="20"/>
                <w:szCs w:val="20"/>
                <w:color w:val="auto"/>
              </w:rPr>
            </w:pPr>
            <w:r>
              <w:rPr>
                <w:rFonts w:ascii="Arial" w:cs="Arial" w:eastAsia="Arial" w:hAnsi="Arial"/>
                <w:sz w:val="13"/>
                <w:szCs w:val="13"/>
                <w:color w:val="auto"/>
              </w:rPr>
              <w:t>WM Mobile Bay Environmental Center, Inc.</w:t>
            </w:r>
          </w:p>
        </w:tc>
        <w:tc>
          <w:tcPr>
            <w:tcW w:w="4940" w:type="dxa"/>
            <w:vAlign w:val="bottom"/>
            <w:shd w:val="clear" w:color="auto" w:fill="CCEEFF"/>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165"/>
        </w:trPr>
        <w:tc>
          <w:tcPr>
            <w:tcW w:w="6520" w:type="dxa"/>
            <w:vAlign w:val="bottom"/>
          </w:tcPr>
          <w:p>
            <w:pPr>
              <w:spacing w:after="0"/>
              <w:rPr>
                <w:sz w:val="20"/>
                <w:szCs w:val="20"/>
                <w:color w:val="auto"/>
              </w:rPr>
            </w:pPr>
            <w:r>
              <w:rPr>
                <w:rFonts w:ascii="Arial" w:cs="Arial" w:eastAsia="Arial" w:hAnsi="Arial"/>
                <w:sz w:val="13"/>
                <w:szCs w:val="13"/>
                <w:color w:val="auto"/>
              </w:rPr>
              <w:t>WM of Texas, L.L.C.</w:t>
            </w:r>
          </w:p>
        </w:tc>
        <w:tc>
          <w:tcPr>
            <w:tcW w:w="4940" w:type="dxa"/>
            <w:vAlign w:val="bottom"/>
          </w:tcPr>
          <w:p>
            <w:pPr>
              <w:jc w:val="center"/>
              <w:ind w:left="3615"/>
              <w:spacing w:after="0"/>
              <w:rPr>
                <w:sz w:val="20"/>
                <w:szCs w:val="20"/>
                <w:color w:val="auto"/>
              </w:rPr>
            </w:pPr>
            <w:r>
              <w:rPr>
                <w:rFonts w:ascii="Arial" w:cs="Arial" w:eastAsia="Arial" w:hAnsi="Arial"/>
                <w:sz w:val="13"/>
                <w:szCs w:val="13"/>
                <w:color w:val="auto"/>
                <w:w w:val="90"/>
              </w:rPr>
              <w:t>Delaware</w:t>
            </w:r>
          </w:p>
        </w:tc>
      </w:tr>
      <w:tr>
        <w:trPr>
          <w:trHeight w:val="449"/>
        </w:trPr>
        <w:tc>
          <w:tcPr>
            <w:tcW w:w="652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1" w:right="21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21"/>
        </w:trPr>
        <w:tc>
          <w:tcPr>
            <w:tcW w:w="6420" w:type="dxa"/>
            <w:vAlign w:val="bottom"/>
          </w:tcPr>
          <w:p>
            <w:pPr>
              <w:spacing w:after="0"/>
              <w:rPr>
                <w:sz w:val="20"/>
                <w:szCs w:val="20"/>
                <w:color w:val="auto"/>
              </w:rPr>
            </w:pPr>
            <w:r>
              <w:rPr>
                <w:rFonts w:ascii="Arial" w:cs="Arial" w:eastAsia="Arial" w:hAnsi="Arial"/>
                <w:sz w:val="10"/>
                <w:szCs w:val="10"/>
                <w:b w:val="1"/>
                <w:bCs w:val="1"/>
                <w:i w:val="1"/>
                <w:iCs w:val="1"/>
                <w:color w:val="auto"/>
              </w:rPr>
              <w:t>Name</w:t>
            </w:r>
          </w:p>
        </w:tc>
        <w:tc>
          <w:tcPr>
            <w:tcW w:w="5040" w:type="dxa"/>
            <w:vAlign w:val="bottom"/>
          </w:tcPr>
          <w:p>
            <w:pPr>
              <w:jc w:val="center"/>
              <w:ind w:left="3715"/>
              <w:spacing w:after="0"/>
              <w:rPr>
                <w:sz w:val="20"/>
                <w:szCs w:val="20"/>
                <w:color w:val="auto"/>
              </w:rPr>
            </w:pPr>
            <w:r>
              <w:rPr>
                <w:rFonts w:ascii="Arial" w:cs="Arial" w:eastAsia="Arial" w:hAnsi="Arial"/>
                <w:sz w:val="10"/>
                <w:szCs w:val="10"/>
                <w:b w:val="1"/>
                <w:bCs w:val="1"/>
                <w:i w:val="1"/>
                <w:iCs w:val="1"/>
                <w:color w:val="auto"/>
                <w:w w:val="92"/>
              </w:rPr>
              <w:t>Jurisdiction of Incorporation</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Organic Growth, Inc.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Pack-Rat of California, LLC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Pack-Rat of Illinois, LLC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Pack-Rat of Kentucky, LLC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Pack-Rat of Maryland, LLC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Pack-Rat of Massachusetts, LLC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Pack-Rat of Michigan, LLC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Pack-Rat of Ohio, LLC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Pack-Rat of Rhode Island, LLC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Pack-Rat, LLC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Partnership Holdings, Inc.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Quebec Inc.</w:t>
            </w:r>
          </w:p>
        </w:tc>
        <w:tc>
          <w:tcPr>
            <w:tcW w:w="5040" w:type="dxa"/>
            <w:vAlign w:val="bottom"/>
          </w:tcPr>
          <w:p>
            <w:pPr>
              <w:jc w:val="center"/>
              <w:ind w:left="3735"/>
              <w:spacing w:after="0"/>
              <w:rPr>
                <w:sz w:val="20"/>
                <w:szCs w:val="20"/>
                <w:color w:val="auto"/>
              </w:rPr>
            </w:pPr>
            <w:r>
              <w:rPr>
                <w:rFonts w:ascii="Arial" w:cs="Arial" w:eastAsia="Arial" w:hAnsi="Arial"/>
                <w:sz w:val="13"/>
                <w:szCs w:val="13"/>
                <w:color w:val="auto"/>
                <w:w w:val="87"/>
              </w:rPr>
              <w:t>Canada</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RA Canada Inc.</w:t>
            </w:r>
          </w:p>
        </w:tc>
        <w:tc>
          <w:tcPr>
            <w:tcW w:w="5040" w:type="dxa"/>
            <w:vAlign w:val="bottom"/>
            <w:shd w:val="clear" w:color="auto" w:fill="CCEEFF"/>
          </w:tcPr>
          <w:p>
            <w:pPr>
              <w:jc w:val="center"/>
              <w:ind w:left="3735"/>
              <w:spacing w:after="0"/>
              <w:rPr>
                <w:sz w:val="20"/>
                <w:szCs w:val="20"/>
                <w:color w:val="auto"/>
              </w:rPr>
            </w:pPr>
            <w:r>
              <w:rPr>
                <w:rFonts w:ascii="Arial" w:cs="Arial" w:eastAsia="Arial" w:hAnsi="Arial"/>
                <w:sz w:val="13"/>
                <w:szCs w:val="13"/>
                <w:color w:val="auto"/>
                <w:w w:val="93"/>
              </w:rPr>
              <w:t>Ontario</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Recycle America, L.L.C.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Recycle Europe, L.L.C.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Renewable Energy, L.L.C.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Resource Recovery &amp; Recycling Center, Inc.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Resources, Inc.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Pennsylvania</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Safety Services, L.L.C.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Security Services, Inc.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Services SA</w:t>
            </w:r>
          </w:p>
        </w:tc>
        <w:tc>
          <w:tcPr>
            <w:tcW w:w="5040" w:type="dxa"/>
            <w:vAlign w:val="bottom"/>
            <w:shd w:val="clear" w:color="auto" w:fill="CCEEFF"/>
          </w:tcPr>
          <w:p>
            <w:pPr>
              <w:jc w:val="center"/>
              <w:ind w:left="3735"/>
              <w:spacing w:after="0"/>
              <w:rPr>
                <w:sz w:val="20"/>
                <w:szCs w:val="20"/>
                <w:color w:val="auto"/>
              </w:rPr>
            </w:pPr>
            <w:r>
              <w:rPr>
                <w:rFonts w:ascii="Arial" w:cs="Arial" w:eastAsia="Arial" w:hAnsi="Arial"/>
                <w:sz w:val="13"/>
                <w:szCs w:val="13"/>
                <w:color w:val="auto"/>
                <w:w w:val="93"/>
              </w:rPr>
              <w:t>Argentina</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Storage, Inc.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Texas Pack Rat, LLC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Trash Monitor Plus, L.L.C.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 Universal Waste LampTracker 1, Inc.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 Universal Waste LampTracker 2, Inc.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WMI Medical Services of Indiana, Inc.</w:t>
            </w:r>
          </w:p>
        </w:tc>
        <w:tc>
          <w:tcPr>
            <w:tcW w:w="5040" w:type="dxa"/>
            <w:vAlign w:val="bottom"/>
            <w:shd w:val="clear" w:color="auto" w:fill="CCEEFF"/>
          </w:tcPr>
          <w:p>
            <w:pPr>
              <w:jc w:val="center"/>
              <w:ind w:left="3735"/>
              <w:spacing w:after="0"/>
              <w:rPr>
                <w:sz w:val="20"/>
                <w:szCs w:val="20"/>
                <w:color w:val="auto"/>
              </w:rPr>
            </w:pPr>
            <w:r>
              <w:rPr>
                <w:rFonts w:ascii="Arial" w:cs="Arial" w:eastAsia="Arial" w:hAnsi="Arial"/>
                <w:sz w:val="13"/>
                <w:szCs w:val="13"/>
                <w:color w:val="auto"/>
                <w:w w:val="93"/>
              </w:rPr>
              <w:t>Indiana</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WMI Mexico Holdings, Inc.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WMNA Container Recycling, L.L.C.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WMSALSA, Inc.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84"/>
              </w:rPr>
              <w:t>Texas</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WMST Illinois, L.L.C.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rPr>
              <w:t>Illinois</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WTI Air Pollution Control Inc.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WTI Financial L.L.C.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tcPr>
          <w:p>
            <w:pPr>
              <w:spacing w:after="0"/>
              <w:rPr>
                <w:sz w:val="20"/>
                <w:szCs w:val="20"/>
                <w:color w:val="auto"/>
              </w:rPr>
            </w:pPr>
            <w:r>
              <w:rPr>
                <w:rFonts w:ascii="Arial" w:cs="Arial" w:eastAsia="Arial" w:hAnsi="Arial"/>
                <w:sz w:val="13"/>
                <w:szCs w:val="13"/>
                <w:color w:val="auto"/>
              </w:rPr>
              <w:t>WTI International Holdings Inc.</w:t>
            </w:r>
          </w:p>
        </w:tc>
        <w:tc>
          <w:tcPr>
            <w:tcW w:w="5040" w:type="dxa"/>
            <w:vAlign w:val="bottom"/>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57"/>
        </w:trPr>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WTI Rust Holdings Inc.</w:t>
            </w:r>
          </w:p>
        </w:tc>
        <w:tc>
          <w:tcPr>
            <w:tcW w:w="5040" w:type="dxa"/>
            <w:vAlign w:val="bottom"/>
            <w:shd w:val="clear" w:color="auto" w:fill="CCEEFF"/>
          </w:tcPr>
          <w:p>
            <w:pPr>
              <w:jc w:val="center"/>
              <w:ind w:left="3715"/>
              <w:spacing w:after="0"/>
              <w:rPr>
                <w:sz w:val="20"/>
                <w:szCs w:val="20"/>
                <w:color w:val="auto"/>
              </w:rPr>
            </w:pPr>
            <w:r>
              <w:rPr>
                <w:rFonts w:ascii="Arial" w:cs="Arial" w:eastAsia="Arial" w:hAnsi="Arial"/>
                <w:sz w:val="13"/>
                <w:szCs w:val="13"/>
                <w:color w:val="auto"/>
                <w:w w:val="90"/>
              </w:rPr>
              <w:t>Delaware</w:t>
            </w:r>
          </w:p>
        </w:tc>
      </w:tr>
      <w:tr>
        <w:trPr>
          <w:trHeight w:val="165"/>
        </w:trPr>
        <w:tc>
          <w:tcPr>
            <w:tcW w:w="6420" w:type="dxa"/>
            <w:vAlign w:val="bottom"/>
          </w:tcPr>
          <w:p>
            <w:pPr>
              <w:spacing w:after="0"/>
              <w:rPr>
                <w:sz w:val="20"/>
                <w:szCs w:val="20"/>
                <w:color w:val="auto"/>
              </w:rPr>
            </w:pPr>
            <w:r>
              <w:rPr>
                <w:rFonts w:ascii="Arial" w:cs="Arial" w:eastAsia="Arial" w:hAnsi="Arial"/>
                <w:sz w:val="13"/>
                <w:szCs w:val="13"/>
                <w:color w:val="auto"/>
              </w:rPr>
              <w:t>WTI UK Ltd.</w:t>
            </w:r>
          </w:p>
        </w:tc>
        <w:tc>
          <w:tcPr>
            <w:tcW w:w="5040" w:type="dxa"/>
            <w:vAlign w:val="bottom"/>
          </w:tcPr>
          <w:p>
            <w:pPr>
              <w:jc w:val="center"/>
              <w:ind w:left="3735"/>
              <w:spacing w:after="0"/>
              <w:rPr>
                <w:sz w:val="20"/>
                <w:szCs w:val="20"/>
                <w:color w:val="auto"/>
              </w:rPr>
            </w:pPr>
            <w:r>
              <w:rPr>
                <w:rFonts w:ascii="Arial" w:cs="Arial" w:eastAsia="Arial" w:hAnsi="Arial"/>
                <w:sz w:val="13"/>
                <w:szCs w:val="13"/>
                <w:color w:val="auto"/>
                <w:w w:val="95"/>
              </w:rPr>
              <w:t>United Kingdom</w:t>
            </w:r>
          </w:p>
        </w:tc>
      </w:tr>
    </w:tbl>
    <w:p>
      <w:pPr>
        <w:sectPr>
          <w:pgSz w:w="11900" w:h="16838" w:orient="portrait"/>
          <w:cols w:equalWidth="0" w:num="1">
            <w:col w:w="11460"/>
          </w:cols>
          <w:pgMar w:left="220" w:top="873" w:right="2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auto"/>
        </w:rPr>
        <w:t>Exhibit 23.1</w:t>
      </w:r>
    </w:p>
    <w:p>
      <w:pPr>
        <w:spacing w:after="0" w:line="13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We consent to the incorporation by reference in the following Registration Statements:</w:t>
      </w:r>
    </w:p>
    <w:p>
      <w:pPr>
        <w:spacing w:after="0" w:line="86" w:lineRule="exact"/>
        <w:rPr>
          <w:sz w:val="20"/>
          <w:szCs w:val="20"/>
          <w:color w:val="auto"/>
        </w:rPr>
      </w:pPr>
    </w:p>
    <w:p>
      <w:pPr>
        <w:ind w:left="680" w:right="300" w:hanging="455"/>
        <w:spacing w:after="0" w:line="276" w:lineRule="auto"/>
        <w:tabs>
          <w:tab w:leader="none" w:pos="6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Registration Statement (Form S-8 No. 333-110293) of Waste Management, Inc. pertaining to the issuance of shares of common stock pursuant to the 2003 Waste Management, Inc. Directors’ Deferred Compensation Plan,</w:t>
      </w:r>
    </w:p>
    <w:p>
      <w:pPr>
        <w:spacing w:after="0" w:line="59" w:lineRule="exact"/>
        <w:rPr>
          <w:rFonts w:ascii="Arial" w:cs="Arial" w:eastAsia="Arial" w:hAnsi="Arial"/>
          <w:sz w:val="13"/>
          <w:szCs w:val="13"/>
          <w:color w:val="auto"/>
        </w:rPr>
      </w:pPr>
    </w:p>
    <w:p>
      <w:pPr>
        <w:ind w:left="680" w:right="240" w:hanging="455"/>
        <w:spacing w:after="0" w:line="276" w:lineRule="auto"/>
        <w:tabs>
          <w:tab w:leader="none" w:pos="6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Registration Statement (Form S-8 No. 333-135379) of Waste Management, Inc. pertaining to the issuance of shares of common stock pursuant to the Waste Management, Inc. Employee Stock Purchase Plan,</w:t>
      </w:r>
    </w:p>
    <w:p>
      <w:pPr>
        <w:spacing w:after="0" w:line="59" w:lineRule="exact"/>
        <w:rPr>
          <w:rFonts w:ascii="Arial" w:cs="Arial" w:eastAsia="Arial" w:hAnsi="Arial"/>
          <w:sz w:val="13"/>
          <w:szCs w:val="13"/>
          <w:color w:val="auto"/>
        </w:rPr>
      </w:pPr>
    </w:p>
    <w:p>
      <w:pPr>
        <w:ind w:left="680" w:right="280" w:hanging="455"/>
        <w:spacing w:after="0" w:line="264" w:lineRule="auto"/>
        <w:tabs>
          <w:tab w:leader="none" w:pos="6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Registration Statement (Form S-8 No. 333-45066) of Waste Management, Inc. pertaining to the issuance of shares of common stock pursuant to the WMI 2000 Stock Incentive Plan, WMI 2000 Broad-Based Stock Plan, WMI 1993 Stock Incentive Plan, WMI 1996 Stock Option Plan for Non-Employee Directors, Waste Management Holdings, Inc. 1997 Equity Incentive Plan, Waste Management Holdings, Inc. 1992 Stock Option Plan for Non-Employee Directors and Eastern Environmental Services, Inc. 1997 Stock Option Plan.</w:t>
      </w:r>
    </w:p>
    <w:p>
      <w:pPr>
        <w:spacing w:after="0" w:line="66" w:lineRule="exact"/>
        <w:rPr>
          <w:rFonts w:ascii="Arial" w:cs="Arial" w:eastAsia="Arial" w:hAnsi="Arial"/>
          <w:sz w:val="13"/>
          <w:szCs w:val="13"/>
          <w:color w:val="auto"/>
        </w:rPr>
      </w:pPr>
    </w:p>
    <w:p>
      <w:pPr>
        <w:ind w:left="680" w:hanging="455"/>
        <w:spacing w:after="0"/>
        <w:tabs>
          <w:tab w:leader="none" w:pos="6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Registration Statement (Form S-8 No. 333-115932) of Waste Management, Inc. pertaining to the issuance of shares of common stock pursuant to the 2004 Stock Incentive Plan,</w:t>
      </w:r>
    </w:p>
    <w:p>
      <w:pPr>
        <w:spacing w:after="0" w:line="96" w:lineRule="exact"/>
        <w:rPr>
          <w:rFonts w:ascii="Arial" w:cs="Arial" w:eastAsia="Arial" w:hAnsi="Arial"/>
          <w:sz w:val="13"/>
          <w:szCs w:val="13"/>
          <w:color w:val="auto"/>
        </w:rPr>
      </w:pPr>
    </w:p>
    <w:p>
      <w:pPr>
        <w:ind w:left="680" w:right="160" w:hanging="455"/>
        <w:spacing w:after="0" w:line="276" w:lineRule="auto"/>
        <w:tabs>
          <w:tab w:leader="none" w:pos="6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Registration Statement (Form S-8 No. 333-153363) of Waste Management, Inc. pertaining to the issuance of shares of common stock pursuant to the Waste Management Retirement Savings Plan and the Waste Management Retirement Savings Plan for Bargaining Unit Employees,</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Registration Statement (Post-Effective Amendment No. 1 to Form S-3 Automatic Shelf Registration No. 333-137526) of Waste Management, Inc.,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Registration Statement (Post-Effective Amendment No. 1 to Form S-4 No. 333-32805) of Waste Management, Inc.</w:t>
      </w:r>
    </w:p>
    <w:p>
      <w:pPr>
        <w:spacing w:after="0" w:line="136" w:lineRule="exact"/>
        <w:rPr>
          <w:sz w:val="20"/>
          <w:szCs w:val="20"/>
          <w:color w:val="auto"/>
        </w:rPr>
      </w:pPr>
    </w:p>
    <w:p>
      <w:pPr>
        <w:ind w:right="580"/>
        <w:spacing w:after="0" w:line="276" w:lineRule="auto"/>
        <w:rPr>
          <w:sz w:val="20"/>
          <w:szCs w:val="20"/>
          <w:color w:val="auto"/>
        </w:rPr>
      </w:pPr>
      <w:r>
        <w:rPr>
          <w:rFonts w:ascii="Arial" w:cs="Arial" w:eastAsia="Arial" w:hAnsi="Arial"/>
          <w:sz w:val="13"/>
          <w:szCs w:val="13"/>
          <w:color w:val="auto"/>
        </w:rPr>
        <w:t>of our reports dated February 17, 2009, with respect to the consolidated financial statements and schedule of Waste Management, Inc. and the effectiveness of internal control over financial reporting of Waste Management, Inc. included in this Annual Report (Form 10-K) for the year ended December 31, 2008.</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17, 2009</w:t>
      </w:r>
    </w:p>
    <w:p>
      <w:pPr>
        <w:sectPr>
          <w:pgSz w:w="11900" w:h="16838" w:orient="portrait"/>
          <w:cols w:equalWidth="0" w:num="1">
            <w:col w:w="11460"/>
          </w:cols>
          <w:pgMar w:left="220" w:top="127" w:right="2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3"/>
          <w:szCs w:val="13"/>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680" w:hanging="455"/>
        <w:spacing w:after="0"/>
        <w:tabs>
          <w:tab w:leader="none" w:pos="6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 have reviewed this report on Form 10-K of Waste Management,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1140" w:right="440" w:hanging="453"/>
        <w:spacing w:after="0" w:line="320" w:lineRule="auto"/>
        <w:tabs>
          <w:tab w:leader="none" w:pos="114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100" w:hanging="453"/>
        <w:spacing w:after="0" w:line="320" w:lineRule="auto"/>
        <w:tabs>
          <w:tab w:leader="none" w:pos="114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60" w:hanging="453"/>
        <w:spacing w:after="0" w:line="276" w:lineRule="auto"/>
        <w:tabs>
          <w:tab w:leader="none" w:pos="114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hanging="453"/>
        <w:spacing w:after="0" w:line="276" w:lineRule="auto"/>
        <w:tabs>
          <w:tab w:leader="none" w:pos="114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440" w:hanging="455"/>
        <w:spacing w:after="0" w:line="276" w:lineRule="auto"/>
        <w:tabs>
          <w:tab w:leader="none" w:pos="6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140" w:right="160" w:hanging="453"/>
        <w:spacing w:after="0" w:line="276" w:lineRule="auto"/>
        <w:tabs>
          <w:tab w:leader="none" w:pos="114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17, 2009</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Chief Executive Officer</w:t>
      </w:r>
    </w:p>
    <w:p>
      <w:pPr>
        <w:sectPr>
          <w:pgSz w:w="11900" w:h="16838" w:orient="portrait"/>
          <w:cols w:equalWidth="0" w:num="1">
            <w:col w:w="11460"/>
          </w:cols>
          <w:pgMar w:left="220" w:top="127" w:right="2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680" w:hanging="455"/>
        <w:spacing w:after="0"/>
        <w:tabs>
          <w:tab w:leader="none" w:pos="6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 have reviewed this report on Form 10-K of Waste Management,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1140" w:right="440" w:hanging="453"/>
        <w:spacing w:after="0" w:line="320" w:lineRule="auto"/>
        <w:tabs>
          <w:tab w:leader="none" w:pos="1140" w:val="left"/>
        </w:tabs>
        <w:numPr>
          <w:ilvl w:val="1"/>
          <w:numId w:val="1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100" w:hanging="453"/>
        <w:spacing w:after="0" w:line="320" w:lineRule="auto"/>
        <w:tabs>
          <w:tab w:leader="none" w:pos="1140" w:val="left"/>
        </w:tabs>
        <w:numPr>
          <w:ilvl w:val="1"/>
          <w:numId w:val="12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60" w:hanging="453"/>
        <w:spacing w:after="0" w:line="276" w:lineRule="auto"/>
        <w:tabs>
          <w:tab w:leader="none" w:pos="114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hanging="453"/>
        <w:spacing w:after="0" w:line="276" w:lineRule="auto"/>
        <w:tabs>
          <w:tab w:leader="none" w:pos="114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440" w:hanging="455"/>
        <w:spacing w:after="0" w:line="276" w:lineRule="auto"/>
        <w:tabs>
          <w:tab w:leader="none" w:pos="68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140" w:right="160" w:hanging="453"/>
        <w:spacing w:after="0" w:line="276" w:lineRule="auto"/>
        <w:tabs>
          <w:tab w:leader="none" w:pos="114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17, 2009</w:t>
      </w:r>
    </w:p>
    <w:p>
      <w:pPr>
        <w:spacing w:after="0" w:line="322"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60286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028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and Chief Financial Officer</w:t>
      </w:r>
    </w:p>
    <w:p>
      <w:pPr>
        <w:sectPr>
          <w:pgSz w:w="11900" w:h="16838" w:orient="portrait"/>
          <w:cols w:equalWidth="0" w:num="1">
            <w:col w:w="11460"/>
          </w:cols>
          <w:pgMar w:left="220" w:top="441" w:right="2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3"/>
          <w:szCs w:val="13"/>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00" w:firstLine="164"/>
        <w:spacing w:after="0" w:line="320" w:lineRule="auto"/>
        <w:rPr>
          <w:sz w:val="20"/>
          <w:szCs w:val="20"/>
          <w:color w:val="auto"/>
        </w:rPr>
      </w:pPr>
      <w:r>
        <w:rPr>
          <w:rFonts w:ascii="Arial" w:cs="Arial" w:eastAsia="Arial" w:hAnsi="Arial"/>
          <w:sz w:val="12"/>
          <w:szCs w:val="12"/>
          <w:color w:val="auto"/>
        </w:rPr>
        <w:t>In connection with the Annual Report of Waste Management, Inc. (the “Company”) on Form 10-K for the period ended December 31, 2008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340" w:hanging="178"/>
        <w:spacing w:after="0"/>
        <w:tabs>
          <w:tab w:leader="none" w:pos="3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10795</wp:posOffset>
            </wp:positionV>
            <wp:extent cx="3320415"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Chief Executive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February 17, 2009</w:t>
      </w:r>
    </w:p>
    <w:p>
      <w:pPr>
        <w:sectPr>
          <w:pgSz w:w="11900" w:h="16838" w:orient="portrait"/>
          <w:cols w:equalWidth="0" w:num="1">
            <w:col w:w="11460"/>
          </w:cols>
          <w:pgMar w:left="220" w:top="441" w:right="2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3"/>
          <w:szCs w:val="13"/>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00" w:firstLine="164"/>
        <w:spacing w:after="0" w:line="320" w:lineRule="auto"/>
        <w:rPr>
          <w:sz w:val="20"/>
          <w:szCs w:val="20"/>
          <w:color w:val="auto"/>
        </w:rPr>
      </w:pPr>
      <w:r>
        <w:rPr>
          <w:rFonts w:ascii="Arial" w:cs="Arial" w:eastAsia="Arial" w:hAnsi="Arial"/>
          <w:sz w:val="12"/>
          <w:szCs w:val="12"/>
          <w:color w:val="auto"/>
        </w:rPr>
        <w:t>In connection with the Annual Report of Waste Management, Inc. (the “Company”) on Form 10-K for the period ended December 31, 2008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340" w:hanging="178"/>
        <w:spacing w:after="0"/>
        <w:tabs>
          <w:tab w:leader="none" w:pos="3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28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10795</wp:posOffset>
            </wp:positionV>
            <wp:extent cx="332041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February 17, 2009</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o"/>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1)"/>
      <w:numFmt w:val="lowerLetter"/>
      <w:start w:val="1"/>
    </w:lvl>
  </w:abstractNum>
  <w:abstractNum w:abstractNumId="5">
    <w:nsid w:val="310C50B3"/>
    <w:multiLevelType w:val="hybridMultilevel"/>
    <w:lvl w:ilvl="0">
      <w:lvlJc w:val="left"/>
      <w:lvlText w:val="(%1)"/>
      <w:numFmt w:val="lowerLetter"/>
      <w:start w:val="6"/>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1)"/>
      <w:numFmt w:val="lowerLetter"/>
      <w:start w:val="1"/>
    </w:lvl>
  </w:abstractNum>
  <w:abstractNum w:abstractNumId="13">
    <w:nsid w:val="5DB70AE5"/>
    <w:multiLevelType w:val="hybridMultilevel"/>
    <w:lvl w:ilvl="0">
      <w:lvlJc w:val="left"/>
      <w:lvlText w:val="(%1)"/>
      <w:numFmt w:val="lowerLetter"/>
      <w:start w:val="1"/>
    </w:lvl>
  </w:abstractNum>
  <w:abstractNum w:abstractNumId="14">
    <w:nsid w:val="100F8FCA"/>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1)"/>
      <w:numFmt w:val="lowerLetter"/>
      <w:start w:val="1"/>
    </w:lvl>
  </w:abstractNum>
  <w:abstractNum w:abstractNumId="18">
    <w:nsid w:val="98A3148"/>
    <w:multiLevelType w:val="hybridMultilevel"/>
    <w:lvl w:ilvl="0">
      <w:lvlJc w:val="left"/>
      <w:lvlText w:val="(%1)"/>
      <w:numFmt w:val="lowerLetter"/>
      <w:start w:val="2"/>
    </w:lvl>
  </w:abstractNum>
  <w:abstractNum w:abstractNumId="19">
    <w:nsid w:val="799D0247"/>
    <w:multiLevelType w:val="hybridMultilevel"/>
    <w:lvl w:ilvl="0">
      <w:lvlJc w:val="left"/>
      <w:lvlText w:val="(%1)"/>
      <w:numFmt w:val="lowerRoman"/>
      <w:start w:val="9"/>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1)"/>
      <w:numFmt w:val="lowerRoman"/>
      <w:start w:val="2"/>
    </w:lvl>
  </w:abstractNum>
  <w:abstractNum w:abstractNumId="30">
    <w:nsid w:val="BF72B14"/>
    <w:multiLevelType w:val="hybridMultilevel"/>
    <w:lvl w:ilvl="0">
      <w:lvlJc w:val="left"/>
      <w:lvlText w:val="(%1)"/>
      <w:numFmt w:val="lowerRoman"/>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1)"/>
      <w:numFmt w:val="lowerRoman"/>
      <w:start w:val="1"/>
    </w:lvl>
  </w:abstractNum>
  <w:abstractNum w:abstractNumId="33">
    <w:nsid w:val="A0382C5"/>
    <w:multiLevelType w:val="hybridMultilevel"/>
    <w:lvl w:ilvl="0">
      <w:lvlJc w:val="left"/>
      <w:lvlText w:val="(%1)"/>
      <w:numFmt w:val="lowerRoman"/>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1)"/>
      <w:numFmt w:val="lowerLetter"/>
      <w:start w:val="1"/>
    </w:lvl>
  </w:abstractNum>
  <w:abstractNum w:abstractNumId="43">
    <w:nsid w:val="1A27709E"/>
    <w:multiLevelType w:val="hybridMultilevel"/>
    <w:lvl w:ilvl="0">
      <w:lvlJc w:val="left"/>
      <w:lvlText w:val="(%1)"/>
      <w:numFmt w:val="lowerLetter"/>
      <w:start w:val="1"/>
    </w:lvl>
  </w:abstractNum>
  <w:abstractNum w:abstractNumId="44">
    <w:nsid w:val="71EA1109"/>
    <w:multiLevelType w:val="hybridMultilevel"/>
    <w:lvl w:ilvl="0">
      <w:lvlJc w:val="left"/>
      <w:lvlText w:val="(%1)"/>
      <w:numFmt w:val="lowerLetter"/>
      <w:start w:val="1"/>
    </w:lvl>
  </w:abstractNum>
  <w:abstractNum w:abstractNumId="45">
    <w:nsid w:val="100F59DC"/>
    <w:multiLevelType w:val="hybridMultilevel"/>
    <w:lvl w:ilvl="0">
      <w:lvlJc w:val="left"/>
      <w:lvlText w:val="(%1)"/>
      <w:numFmt w:val="lowerLetter"/>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1)"/>
      <w:numFmt w:val="lowerRoman"/>
      <w:start w:val="2"/>
    </w:lvl>
  </w:abstractNum>
  <w:abstractNum w:abstractNumId="48">
    <w:nsid w:val="6F6DD9AC"/>
    <w:multiLevelType w:val="hybridMultilevel"/>
    <w:lvl w:ilvl="0">
      <w:lvlJc w:val="left"/>
      <w:lvlText w:val="(%1)"/>
      <w:numFmt w:val="lowerLetter"/>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1)"/>
      <w:numFmt w:val="lowerLetter"/>
      <w:start w:val="1"/>
    </w:lvl>
  </w:abstractNum>
  <w:abstractNum w:abstractNumId="58">
    <w:nsid w:val="2DF6D648"/>
    <w:multiLevelType w:val="hybridMultilevel"/>
    <w:lvl w:ilvl="0">
      <w:lvlJc w:val="left"/>
      <w:lvlText w:val="%1."/>
      <w:numFmt w:val="decimal"/>
      <w:start w:val="1"/>
    </w:lvl>
  </w:abstractNum>
  <w:abstractNum w:abstractNumId="59">
    <w:nsid w:val="46B7D447"/>
    <w:multiLevelType w:val="hybridMultilevel"/>
    <w:lvl w:ilvl="0">
      <w:lvlJc w:val="left"/>
      <w:lvlText w:val="%1."/>
      <w:numFmt w:val="decimal"/>
      <w:start w:val="2"/>
    </w:lvl>
  </w:abstractNum>
  <w:abstractNum w:abstractNumId="60">
    <w:nsid w:val="4A2AC315"/>
    <w:multiLevelType w:val="hybridMultilevel"/>
    <w:lvl w:ilvl="0">
      <w:lvlJc w:val="left"/>
      <w:lvlText w:val="%1."/>
      <w:numFmt w:val="decimal"/>
      <w:start w:val="3"/>
    </w:lvl>
  </w:abstractNum>
  <w:abstractNum w:abstractNumId="61">
    <w:nsid w:val="39EE015C"/>
    <w:multiLevelType w:val="hybridMultilevel"/>
    <w:lvl w:ilvl="0">
      <w:lvlJc w:val="left"/>
      <w:lvlText w:val="•"/>
      <w:numFmt w:val="bullet"/>
      <w:start w:val="1"/>
    </w:lvl>
  </w:abstractNum>
  <w:abstractNum w:abstractNumId="62">
    <w:nsid w:val="57FC4FBB"/>
    <w:multiLevelType w:val="hybridMultilevel"/>
    <w:lvl w:ilvl="0">
      <w:lvlJc w:val="left"/>
      <w:lvlText w:val="•"/>
      <w:numFmt w:val="bullet"/>
      <w:start w:val="1"/>
    </w:lvl>
    <w:lvl w:ilvl="1">
      <w:lvlJc w:val="left"/>
      <w:lvlText w:val="•"/>
      <w:numFmt w:val="bullet"/>
      <w:start w:val="1"/>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
      <w:numFmt w:val="bullet"/>
      <w:start w:val="1"/>
    </w:lvl>
  </w:abstractNum>
  <w:abstractNum w:abstractNumId="65">
    <w:nsid w:val="60EF0119"/>
    <w:multiLevelType w:val="hybridMultilevel"/>
    <w:lvl w:ilvl="0">
      <w:lvlJc w:val="left"/>
      <w:lvlText w:val="(%1)"/>
      <w:numFmt w:val="lowerLetter"/>
      <w:start w:val="1"/>
    </w:lvl>
  </w:abstractNum>
  <w:abstractNum w:abstractNumId="66">
    <w:nsid w:val="26F324BA"/>
    <w:multiLevelType w:val="hybridMultilevel"/>
    <w:lvl w:ilvl="0">
      <w:lvlJc w:val="left"/>
      <w:lvlText w:val="(%1)"/>
      <w:numFmt w:val="lowerRoman"/>
      <w:start w:val="3"/>
    </w:lvl>
  </w:abstractNum>
  <w:abstractNum w:abstractNumId="67">
    <w:nsid w:val="7F01579B"/>
    <w:multiLevelType w:val="hybridMultilevel"/>
    <w:lvl w:ilvl="0">
      <w:lvlJc w:val="left"/>
      <w:lvlText w:val="(%1)"/>
      <w:numFmt w:val="lowerRoman"/>
      <w:start w:val="1"/>
    </w:lvl>
  </w:abstractNum>
  <w:abstractNum w:abstractNumId="68">
    <w:nsid w:val="49DA307D"/>
    <w:multiLevelType w:val="hybridMultilevel"/>
    <w:lvl w:ilvl="0">
      <w:lvlJc w:val="left"/>
      <w:lvlText w:val="•"/>
      <w:numFmt w:val="bullet"/>
      <w:start w:val="1"/>
    </w:lvl>
  </w:abstractNum>
  <w:abstractNum w:abstractNumId="69">
    <w:nsid w:val="7055A5F5"/>
    <w:multiLevelType w:val="hybridMultilevel"/>
    <w:lvl w:ilvl="0">
      <w:lvlJc w:val="left"/>
      <w:lvlText w:val="%1."/>
      <w:numFmt w:val="decimal"/>
      <w:start w:val="4"/>
    </w:lvl>
  </w:abstractNum>
  <w:abstractNum w:abstractNumId="70">
    <w:nsid w:val="5FB8370B"/>
    <w:multiLevelType w:val="hybridMultilevel"/>
    <w:lvl w:ilvl="0">
      <w:lvlJc w:val="left"/>
      <w:lvlText w:val="%1."/>
      <w:numFmt w:val="decimal"/>
      <w:start w:val="6"/>
    </w:lvl>
  </w:abstractNum>
  <w:abstractNum w:abstractNumId="71">
    <w:nsid w:val="50801EE1"/>
    <w:multiLevelType w:val="hybridMultilevel"/>
    <w:lvl w:ilvl="0">
      <w:lvlJc w:val="left"/>
      <w:lvlText w:val="%1."/>
      <w:numFmt w:val="decimal"/>
      <w:start w:val="7"/>
    </w:lvl>
  </w:abstractNum>
  <w:abstractNum w:abstractNumId="72">
    <w:nsid w:val="488AC1A"/>
    <w:multiLevelType w:val="hybridMultilevel"/>
    <w:lvl w:ilvl="0">
      <w:lvlJc w:val="left"/>
      <w:lvlText w:val="(%1)"/>
      <w:numFmt w:val="lowerRoman"/>
      <w:start w:val="6"/>
    </w:lvl>
  </w:abstractNum>
  <w:abstractNum w:abstractNumId="73">
    <w:nsid w:val="5FB8011C"/>
    <w:multiLevelType w:val="hybridMultilevel"/>
    <w:lvl w:ilvl="0">
      <w:lvlJc w:val="left"/>
      <w:lvlText w:val="(%1)"/>
      <w:numFmt w:val="lowerLetter"/>
      <w:start w:val="1"/>
    </w:lvl>
  </w:abstractNum>
  <w:abstractNum w:abstractNumId="74">
    <w:nsid w:val="6AA78F7F"/>
    <w:multiLevelType w:val="hybridMultilevel"/>
    <w:lvl w:ilvl="0">
      <w:lvlJc w:val="left"/>
      <w:lvlText w:val="(%1)"/>
      <w:numFmt w:val="lowerLetter"/>
      <w:start w:val="2"/>
    </w:lvl>
  </w:abstractNum>
  <w:abstractNum w:abstractNumId="75">
    <w:nsid w:val="7672BD23"/>
    <w:multiLevelType w:val="hybridMultilevel"/>
    <w:lvl w:ilvl="0">
      <w:lvlJc w:val="left"/>
      <w:lvlText w:val="(%1)"/>
      <w:numFmt w:val="lowerLetter"/>
      <w:start w:val="1"/>
    </w:lvl>
  </w:abstractNum>
  <w:abstractNum w:abstractNumId="76">
    <w:nsid w:val="6FC75AF8"/>
    <w:multiLevelType w:val="hybridMultilevel"/>
    <w:lvl w:ilvl="0">
      <w:lvlJc w:val="left"/>
      <w:lvlText w:val="(%1)"/>
      <w:numFmt w:val="lowerLetter"/>
      <w:start w:val="1"/>
    </w:lvl>
  </w:abstractNum>
  <w:abstractNum w:abstractNumId="77">
    <w:nsid w:val="6A5F7029"/>
    <w:multiLevelType w:val="hybridMultilevel"/>
    <w:lvl w:ilvl="0">
      <w:lvlJc w:val="left"/>
      <w:lvlText w:val="%1."/>
      <w:numFmt w:val="decimal"/>
      <w:start w:val="9"/>
    </w:lvl>
  </w:abstractNum>
  <w:abstractNum w:abstractNumId="78">
    <w:nsid w:val="7D5E18F8"/>
    <w:multiLevelType w:val="hybridMultilevel"/>
    <w:lvl w:ilvl="0">
      <w:lvlJc w:val="left"/>
      <w:lvlText w:val="%1."/>
      <w:numFmt w:val="decimal"/>
      <w:start w:val="10"/>
    </w:lvl>
  </w:abstractNum>
  <w:abstractNum w:abstractNumId="79">
    <w:nsid w:val="5F3534A4"/>
    <w:multiLevelType w:val="hybridMultilevel"/>
    <w:lvl w:ilvl="0">
      <w:lvlJc w:val="left"/>
      <w:lvlText w:val="(%1)"/>
      <w:numFmt w:val="lowerLetter"/>
      <w:start w:val="1"/>
    </w:lvl>
  </w:abstractNum>
  <w:abstractNum w:abstractNumId="80">
    <w:nsid w:val="73A1821B"/>
    <w:multiLevelType w:val="hybridMultilevel"/>
    <w:lvl w:ilvl="0">
      <w:lvlJc w:val="left"/>
      <w:lvlText w:val="•"/>
      <w:numFmt w:val="bullet"/>
      <w:start w:val="1"/>
    </w:lvl>
  </w:abstractNum>
  <w:abstractNum w:abstractNumId="81">
    <w:nsid w:val="7DE67713"/>
    <w:multiLevelType w:val="hybridMultilevel"/>
    <w:lvl w:ilvl="0">
      <w:lvlJc w:val="left"/>
      <w:lvlText w:val="•"/>
      <w:numFmt w:val="bullet"/>
      <w:start w:val="1"/>
    </w:lvl>
  </w:abstractNum>
  <w:abstractNum w:abstractNumId="82">
    <w:nsid w:val="555C55B5"/>
    <w:multiLevelType w:val="hybridMultilevel"/>
    <w:lvl w:ilvl="0">
      <w:lvlJc w:val="left"/>
      <w:lvlText w:val="•"/>
      <w:numFmt w:val="bullet"/>
      <w:start w:val="1"/>
    </w:lvl>
  </w:abstractNum>
  <w:abstractNum w:abstractNumId="83">
    <w:nsid w:val="3FA62ACA"/>
    <w:multiLevelType w:val="hybridMultilevel"/>
    <w:lvl w:ilvl="0">
      <w:lvlJc w:val="left"/>
      <w:lvlText w:val="•"/>
      <w:numFmt w:val="bullet"/>
      <w:start w:val="1"/>
    </w:lvl>
  </w:abstractNum>
  <w:abstractNum w:abstractNumId="84">
    <w:nsid w:val="14FCE74E"/>
    <w:multiLevelType w:val="hybridMultilevel"/>
    <w:lvl w:ilvl="0">
      <w:lvlJc w:val="left"/>
      <w:lvlText w:val="%1."/>
      <w:numFmt w:val="decimal"/>
      <w:start w:val="11"/>
    </w:lvl>
  </w:abstractNum>
  <w:abstractNum w:abstractNumId="85">
    <w:nsid w:val="6A3DD3E8"/>
    <w:multiLevelType w:val="hybridMultilevel"/>
    <w:lvl w:ilvl="0">
      <w:lvlJc w:val="left"/>
      <w:lvlText w:val="%1."/>
      <w:numFmt w:val="decimal"/>
      <w:start w:val="14"/>
    </w:lvl>
  </w:abstractNum>
  <w:abstractNum w:abstractNumId="86">
    <w:nsid w:val="71C91298"/>
    <w:multiLevelType w:val="hybridMultilevel"/>
    <w:lvl w:ilvl="0">
      <w:lvlJc w:val="left"/>
      <w:lvlText w:val="(%1)"/>
      <w:numFmt w:val="lowerLetter"/>
      <w:start w:val="1"/>
    </w:lvl>
  </w:abstractNum>
  <w:abstractNum w:abstractNumId="87">
    <w:nsid w:val="9DAF632"/>
    <w:multiLevelType w:val="hybridMultilevel"/>
    <w:lvl w:ilvl="0">
      <w:lvlJc w:val="left"/>
      <w:lvlText w:val="%1."/>
      <w:numFmt w:val="decimal"/>
      <w:start w:val="15"/>
    </w:lvl>
  </w:abstractNum>
  <w:abstractNum w:abstractNumId="88">
    <w:nsid w:val="53299938"/>
    <w:multiLevelType w:val="hybridMultilevel"/>
    <w:lvl w:ilvl="0">
      <w:lvlJc w:val="left"/>
      <w:lvlText w:val="(%1)"/>
      <w:numFmt w:val="lowerLetter"/>
      <w:start w:val="1"/>
    </w:lvl>
  </w:abstractNum>
  <w:abstractNum w:abstractNumId="89">
    <w:nsid w:val="1FBFE8E0"/>
    <w:multiLevelType w:val="hybridMultilevel"/>
    <w:lvl w:ilvl="0">
      <w:lvlJc w:val="left"/>
      <w:lvlText w:val="(%1)"/>
      <w:numFmt w:val="lowerLetter"/>
      <w:start w:val="1"/>
    </w:lvl>
  </w:abstractNum>
  <w:abstractNum w:abstractNumId="90">
    <w:nsid w:val="5092CA79"/>
    <w:multiLevelType w:val="hybridMultilevel"/>
    <w:lvl w:ilvl="0">
      <w:lvlJc w:val="left"/>
      <w:lvlText w:val="(%1)"/>
      <w:numFmt w:val="lowerLetter"/>
      <w:start w:val="1"/>
    </w:lvl>
  </w:abstractNum>
  <w:abstractNum w:abstractNumId="91">
    <w:nsid w:val="1D545C4D"/>
    <w:multiLevelType w:val="hybridMultilevel"/>
    <w:lvl w:ilvl="0">
      <w:lvlJc w:val="left"/>
      <w:lvlText w:val="%1."/>
      <w:numFmt w:val="decimal"/>
      <w:start w:val="16"/>
    </w:lvl>
  </w:abstractNum>
  <w:abstractNum w:abstractNumId="92">
    <w:nsid w:val="59ADEA3D"/>
    <w:multiLevelType w:val="hybridMultilevel"/>
    <w:lvl w:ilvl="0">
      <w:lvlJc w:val="left"/>
      <w:lvlText w:val="%1."/>
      <w:numFmt w:val="decimal"/>
      <w:start w:val="17"/>
    </w:lvl>
  </w:abstractNum>
  <w:abstractNum w:abstractNumId="93">
    <w:nsid w:val="288F1A34"/>
    <w:multiLevelType w:val="hybridMultilevel"/>
    <w:lvl w:ilvl="0">
      <w:lvlJc w:val="left"/>
      <w:lvlText w:val="(%1)"/>
      <w:numFmt w:val="lowerLetter"/>
      <w:start w:val="1"/>
    </w:lvl>
  </w:abstractNum>
  <w:abstractNum w:abstractNumId="94">
    <w:nsid w:val="2A155DBC"/>
    <w:multiLevelType w:val="hybridMultilevel"/>
    <w:lvl w:ilvl="0">
      <w:lvlJc w:val="left"/>
      <w:lvlText w:val="%1."/>
      <w:numFmt w:val="decimal"/>
      <w:start w:val="18"/>
    </w:lvl>
  </w:abstractNum>
  <w:abstractNum w:abstractNumId="95">
    <w:nsid w:val="1D9F6E5F"/>
    <w:multiLevelType w:val="hybridMultilevel"/>
    <w:lvl w:ilvl="0">
      <w:lvlJc w:val="left"/>
      <w:lvlText w:val="%1."/>
      <w:numFmt w:val="decimal"/>
      <w:start w:val="19"/>
    </w:lvl>
  </w:abstractNum>
  <w:abstractNum w:abstractNumId="96">
    <w:nsid w:val="97E1B4E"/>
    <w:multiLevelType w:val="hybridMultilevel"/>
    <w:lvl w:ilvl="0">
      <w:lvlJc w:val="left"/>
      <w:lvlText w:val="%1."/>
      <w:numFmt w:val="decimal"/>
      <w:start w:val="20"/>
    </w:lvl>
  </w:abstractNum>
  <w:abstractNum w:abstractNumId="97">
    <w:nsid w:val="51088277"/>
    <w:multiLevelType w:val="hybridMultilevel"/>
    <w:lvl w:ilvl="0">
      <w:lvlJc w:val="left"/>
      <w:lvlText w:val="(%1)"/>
      <w:numFmt w:val="lowerLetter"/>
      <w:start w:val="1"/>
    </w:lvl>
  </w:abstractNum>
  <w:abstractNum w:abstractNumId="98">
    <w:nsid w:val="1CA0C5FA"/>
    <w:multiLevelType w:val="hybridMultilevel"/>
    <w:lvl w:ilvl="0">
      <w:lvlJc w:val="left"/>
      <w:lvlText w:val="(%1)"/>
      <w:numFmt w:val="lowerLetter"/>
      <w:start w:val="2"/>
    </w:lvl>
  </w:abstractNum>
  <w:abstractNum w:abstractNumId="99">
    <w:nsid w:val="53584BCB"/>
    <w:multiLevelType w:val="hybridMultilevel"/>
    <w:lvl w:ilvl="0">
      <w:lvlJc w:val="left"/>
      <w:lvlText w:val="(%1)"/>
      <w:numFmt w:val="lowerLetter"/>
      <w:start w:val="8"/>
    </w:lvl>
  </w:abstractNum>
  <w:abstractNum w:abstractNumId="100">
    <w:nsid w:val="415E286C"/>
    <w:multiLevelType w:val="hybridMultilevel"/>
    <w:lvl w:ilvl="0">
      <w:lvlJc w:val="left"/>
      <w:lvlText w:val="(%1)"/>
      <w:numFmt w:val="lowerRoman"/>
      <w:start w:val="1"/>
    </w:lvl>
  </w:abstractNum>
  <w:abstractNum w:abstractNumId="101">
    <w:nsid w:val="7C58FD05"/>
    <w:multiLevelType w:val="hybridMultilevel"/>
    <w:lvl w:ilvl="0">
      <w:lvlJc w:val="left"/>
      <w:lvlText w:val="(%1)"/>
      <w:numFmt w:val="lowerLetter"/>
      <w:start w:val="1"/>
    </w:lvl>
  </w:abstractNum>
  <w:abstractNum w:abstractNumId="102">
    <w:nsid w:val="23D86AAC"/>
    <w:multiLevelType w:val="hybridMultilevel"/>
    <w:lvl w:ilvl="0">
      <w:lvlJc w:val="left"/>
      <w:lvlText w:val="%1."/>
      <w:numFmt w:val="decimal"/>
      <w:start w:val="21"/>
    </w:lvl>
  </w:abstractNum>
  <w:abstractNum w:abstractNumId="103">
    <w:nsid w:val="45E6D486"/>
    <w:multiLevelType w:val="hybridMultilevel"/>
    <w:lvl w:ilvl="0">
      <w:lvlJc w:val="left"/>
      <w:lvlText w:val="•"/>
      <w:numFmt w:val="bullet"/>
      <w:start w:val="1"/>
    </w:lvl>
  </w:abstractNum>
  <w:abstractNum w:abstractNumId="104">
    <w:nsid w:val="5C10FE21"/>
    <w:multiLevelType w:val="hybridMultilevel"/>
    <w:lvl w:ilvl="0">
      <w:lvlJc w:val="left"/>
      <w:lvlText w:val="•"/>
      <w:numFmt w:val="bullet"/>
      <w:start w:val="1"/>
    </w:lvl>
  </w:abstractNum>
  <w:abstractNum w:abstractNumId="105">
    <w:nsid w:val="E7FFA2B"/>
    <w:multiLevelType w:val="hybridMultilevel"/>
    <w:lvl w:ilvl="0">
      <w:lvlJc w:val="left"/>
      <w:lvlText w:val="•"/>
      <w:numFmt w:val="bullet"/>
      <w:start w:val="1"/>
    </w:lvl>
  </w:abstractNum>
  <w:abstractNum w:abstractNumId="106">
    <w:nsid w:val="3C5991AA"/>
    <w:multiLevelType w:val="hybridMultilevel"/>
    <w:lvl w:ilvl="0">
      <w:lvlJc w:val="left"/>
      <w:lvlText w:val="•"/>
      <w:numFmt w:val="bullet"/>
      <w:start w:val="1"/>
    </w:lvl>
  </w:abstractNum>
  <w:abstractNum w:abstractNumId="107">
    <w:nsid w:val="4BD8591A"/>
    <w:multiLevelType w:val="hybridMultilevel"/>
    <w:lvl w:ilvl="0">
      <w:lvlJc w:val="left"/>
      <w:lvlText w:val="•"/>
      <w:numFmt w:val="bullet"/>
      <w:start w:val="1"/>
    </w:lvl>
  </w:abstractNum>
  <w:abstractNum w:abstractNumId="108">
    <w:nsid w:val="78DF6A55"/>
    <w:multiLevelType w:val="hybridMultilevel"/>
    <w:lvl w:ilvl="0">
      <w:lvlJc w:val="left"/>
      <w:lvlText w:val="•"/>
      <w:numFmt w:val="bullet"/>
      <w:start w:val="1"/>
    </w:lvl>
  </w:abstractNum>
  <w:abstractNum w:abstractNumId="109">
    <w:nsid w:val="39B7AAA2"/>
    <w:multiLevelType w:val="hybridMultilevel"/>
    <w:lvl w:ilvl="0">
      <w:lvlJc w:val="left"/>
      <w:lvlText w:val="•"/>
      <w:numFmt w:val="bullet"/>
      <w:start w:val="1"/>
    </w:lvl>
  </w:abstractNum>
  <w:abstractNum w:abstractNumId="110">
    <w:nsid w:val="2B0D8DBE"/>
    <w:multiLevelType w:val="hybridMultilevel"/>
    <w:lvl w:ilvl="0">
      <w:lvlJc w:val="left"/>
      <w:lvlText w:val="•"/>
      <w:numFmt w:val="bullet"/>
      <w:start w:val="1"/>
    </w:lvl>
  </w:abstractNum>
  <w:abstractNum w:abstractNumId="111">
    <w:nsid w:val="6C80EC70"/>
    <w:multiLevelType w:val="hybridMultilevel"/>
    <w:lvl w:ilvl="0">
      <w:lvlJc w:val="left"/>
      <w:lvlText w:val="%1."/>
      <w:numFmt w:val="decimal"/>
      <w:start w:val="22"/>
    </w:lvl>
  </w:abstractNum>
  <w:abstractNum w:abstractNumId="112">
    <w:nsid w:val="379E21B5"/>
    <w:multiLevelType w:val="hybridMultilevel"/>
    <w:lvl w:ilvl="0">
      <w:lvlJc w:val="left"/>
      <w:lvlText w:val="%1."/>
      <w:numFmt w:val="decimal"/>
      <w:start w:val="23"/>
    </w:lvl>
  </w:abstractNum>
  <w:abstractNum w:abstractNumId="113">
    <w:nsid w:val="69E373"/>
    <w:multiLevelType w:val="hybridMultilevel"/>
    <w:lvl w:ilvl="0">
      <w:lvlJc w:val="left"/>
      <w:lvlText w:val="%1."/>
      <w:numFmt w:val="decimal"/>
      <w:start w:val="24"/>
    </w:lvl>
  </w:abstractNum>
  <w:abstractNum w:abstractNumId="114">
    <w:nsid w:val="2C27173B"/>
    <w:multiLevelType w:val="hybridMultilevel"/>
    <w:lvl w:ilvl="0">
      <w:lvlJc w:val="left"/>
      <w:lvlText w:val="(%1)"/>
      <w:numFmt w:val="lowerLetter"/>
      <w:start w:val="2"/>
    </w:lvl>
  </w:abstractNum>
  <w:abstractNum w:abstractNumId="115">
    <w:nsid w:val="4C9B0904"/>
    <w:multiLevelType w:val="hybridMultilevel"/>
    <w:lvl w:ilvl="0">
      <w:lvlJc w:val="left"/>
      <w:lvlText w:val="(%1)"/>
      <w:numFmt w:val="lowerLetter"/>
      <w:start w:val="1"/>
    </w:lvl>
  </w:abstractNum>
  <w:abstractNum w:abstractNumId="116">
    <w:nsid w:val="6AA7B75C"/>
    <w:multiLevelType w:val="hybridMultilevel"/>
    <w:lvl w:ilvl="0">
      <w:lvlJc w:val="left"/>
      <w:lvlText w:val="(%1)"/>
      <w:numFmt w:val="lowerLetter"/>
      <w:start w:val="1"/>
    </w:lvl>
  </w:abstractNum>
  <w:abstractNum w:abstractNumId="117">
    <w:nsid w:val="1DF029D3"/>
    <w:multiLevelType w:val="hybridMultilevel"/>
    <w:lvl w:ilvl="0">
      <w:lvlJc w:val="left"/>
      <w:lvlText w:val="(%1)"/>
      <w:numFmt w:val="decimal"/>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2019-12-10T07:08:44Z</dcterms:created>
  <dcterms:modified xsi:type="dcterms:W3CDTF">2019-12-10T07:08:44Z</dcterms:modified>
</cp:coreProperties>
</file>