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483235</wp:posOffset>
            </wp:positionH>
            <wp:positionV relativeFrom="page">
              <wp:posOffset>431800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500380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500" w:right="240" w:hanging="343"/>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3"/>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0380"/>
          </w:cols>
          <w:pgMar w:left="760" w:top="900" w:right="759" w:bottom="1440" w:gutter="0" w:footer="0" w:header="0"/>
        </w:sectPr>
      </w:pPr>
    </w:p>
    <w:p>
      <w:pPr>
        <w:spacing w:after="0" w:line="111"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Delaware</w:t>
      </w:r>
    </w:p>
    <w:p>
      <w:pPr>
        <w:ind w:left="1580"/>
        <w:spacing w:after="0" w:line="234" w:lineRule="auto"/>
        <w:rPr>
          <w:sz w:val="20"/>
          <w:szCs w:val="20"/>
          <w:color w:val="auto"/>
        </w:rPr>
      </w:pPr>
      <w:r>
        <w:rPr>
          <w:rFonts w:ascii="Arial" w:cs="Arial" w:eastAsia="Arial" w:hAnsi="Arial"/>
          <w:sz w:val="17"/>
          <w:szCs w:val="17"/>
          <w:i w:val="1"/>
          <w:iCs w:val="1"/>
          <w:color w:val="auto"/>
        </w:rPr>
        <w:t>(State or other jurisdiction of</w:t>
      </w:r>
    </w:p>
    <w:p>
      <w:pPr>
        <w:spacing w:after="0" w:line="1" w:lineRule="exact"/>
        <w:rPr>
          <w:sz w:val="24"/>
          <w:szCs w:val="24"/>
          <w:color w:val="auto"/>
        </w:rPr>
      </w:pPr>
    </w:p>
    <w:p>
      <w:pPr>
        <w:ind w:left="15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73-1309529</w:t>
      </w:r>
    </w:p>
    <w:p>
      <w:pPr>
        <w:jc w:val="center"/>
        <w:ind w:right="1880"/>
        <w:spacing w:after="0" w:line="221" w:lineRule="auto"/>
        <w:rPr>
          <w:sz w:val="20"/>
          <w:szCs w:val="20"/>
          <w:color w:val="auto"/>
        </w:rPr>
      </w:pPr>
      <w:r>
        <w:rPr>
          <w:rFonts w:ascii="Arial" w:cs="Arial" w:eastAsia="Arial" w:hAnsi="Arial"/>
          <w:sz w:val="18"/>
          <w:szCs w:val="18"/>
          <w:i w:val="1"/>
          <w:iCs w:val="1"/>
          <w:color w:val="auto"/>
        </w:rPr>
        <w:t>(I.R.S. Employer</w:t>
      </w:r>
    </w:p>
    <w:p>
      <w:pPr>
        <w:spacing w:after="0" w:line="1" w:lineRule="exact"/>
        <w:rPr>
          <w:sz w:val="24"/>
          <w:szCs w:val="24"/>
          <w:color w:val="auto"/>
        </w:rPr>
      </w:pPr>
    </w:p>
    <w:p>
      <w:pPr>
        <w:jc w:val="center"/>
        <w:ind w:right="1880"/>
        <w:spacing w:after="0"/>
        <w:rPr>
          <w:sz w:val="20"/>
          <w:szCs w:val="20"/>
          <w:color w:val="auto"/>
        </w:rPr>
      </w:pPr>
      <w:r>
        <w:rPr>
          <w:rFonts w:ascii="Arial" w:cs="Arial" w:eastAsia="Arial" w:hAnsi="Arial"/>
          <w:sz w:val="17"/>
          <w:szCs w:val="17"/>
          <w:i w:val="1"/>
          <w:iCs w:val="1"/>
          <w:color w:val="auto"/>
        </w:rPr>
        <w:t>Identification No.)</w:t>
      </w:r>
    </w:p>
    <w:p>
      <w:pPr>
        <w:spacing w:after="0" w:line="109" w:lineRule="exact"/>
        <w:rPr>
          <w:sz w:val="24"/>
          <w:szCs w:val="24"/>
          <w:color w:val="auto"/>
        </w:rPr>
      </w:pPr>
    </w:p>
    <w:p>
      <w:pPr>
        <w:sectPr>
          <w:pgSz w:w="11900" w:h="16838" w:orient="portrait"/>
          <w:cols w:equalWidth="0" w:num="2">
            <w:col w:w="6440" w:space="720"/>
            <w:col w:w="3220"/>
          </w:cols>
          <w:pgMar w:left="760" w:top="900" w:right="7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0380"/>
          </w:cols>
          <w:pgMar w:left="760" w:top="900" w:right="75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WM</w:t>
            </w:r>
          </w:p>
        </w:tc>
        <w:tc>
          <w:tcPr>
            <w:tcW w:w="18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p>
    <w:p>
      <w:pPr>
        <w:spacing w:after="0" w:line="1" w:lineRule="exact"/>
        <w:rPr>
          <w:sz w:val="24"/>
          <w:szCs w:val="24"/>
          <w:color w:val="auto"/>
        </w:rPr>
      </w:pPr>
    </w:p>
    <w:p>
      <w:pPr>
        <w:ind w:left="300" w:hanging="257"/>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2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900" w:right="759" w:bottom="1440" w:gutter="0" w:footer="0" w:header="0"/>
          <w:type w:val="continuous"/>
        </w:sectPr>
      </w:pPr>
    </w:p>
    <w:p>
      <w:pPr>
        <w:spacing w:after="0" w:line="100"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2300" w:space="720"/>
            <w:col w:w="4480" w:space="720"/>
            <w:col w:w="2160"/>
          </w:cols>
          <w:pgMar w:left="760" w:top="900" w:right="75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22, 2019 was 424,232,181 (excluding treasury shares of 206,050,280).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469265</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91440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900" w:right="7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08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4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 of $28 and $29, respectively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Property and equipment, net of accumulated depreciation and amortization of $18,619 and</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$18,264, respectively</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300"/>
              <w:spacing w:after="0"/>
              <w:rPr>
                <w:sz w:val="20"/>
                <w:szCs w:val="20"/>
                <w:color w:val="auto"/>
              </w:rPr>
            </w:pPr>
            <w:r>
              <w:rPr>
                <w:rFonts w:ascii="Arial" w:cs="Arial" w:eastAsia="Arial" w:hAnsi="Arial"/>
                <w:sz w:val="17"/>
                <w:szCs w:val="17"/>
                <w:b w:val="1"/>
                <w:bCs w:val="1"/>
                <w:color w:val="auto"/>
              </w:rPr>
              <w:t>LIABILITIES AND EQUITY</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908</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Common stock, $0.01 par value; 1,500,000,000 shares authorized; 630,282,461 shares issued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Accumulated other comprehensive income (loss)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Treasury stock at cost, 206,481,746 and 206,299,352 shares, respectively</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(Gain) loss from divestitures, asset impairments and unusual items, net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6,325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2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40" w:type="dxa"/>
            <w:vAlign w:val="bottom"/>
            <w:tcBorders>
              <w:bottom w:val="single" w:sz="8" w:color="auto"/>
            </w:tcBorders>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00" w:type="dxa"/>
            <w:vAlign w:val="bottom"/>
            <w:tcBorders>
              <w:bottom w:val="single" w:sz="8" w:color="auto"/>
            </w:tcBorders>
            <w:gridSpan w:val="2"/>
          </w:tcPr>
          <w:p>
            <w:pPr>
              <w:jc w:val="right"/>
              <w:ind w:right="2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8180" w:type="dxa"/>
            <w:vAlign w:val="bottom"/>
            <w:gridSpan w:val="16"/>
          </w:tcPr>
          <w:p>
            <w:pPr>
              <w:jc w:val="center"/>
              <w:ind w:left="75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jc w:val="center"/>
              <w:ind w:left="3450"/>
              <w:spacing w:after="0"/>
              <w:rPr>
                <w:sz w:val="20"/>
                <w:szCs w:val="20"/>
                <w:color w:val="auto"/>
              </w:rPr>
            </w:pPr>
            <w:r>
              <w:rPr>
                <w:rFonts w:ascii="Arial" w:cs="Arial" w:eastAsia="Arial" w:hAnsi="Arial"/>
                <w:sz w:val="18"/>
                <w:szCs w:val="18"/>
                <w:b w:val="1"/>
                <w:bCs w:val="1"/>
                <w:color w:val="auto"/>
                <w:w w:val="95"/>
              </w:rPr>
              <w:t>(In Millions)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jc w:val="center"/>
              <w:ind w:left="34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jc w:val="right"/>
              <w:ind w:right="131"/>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Post-retirement benefit obligations, net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0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3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5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729</w:t>
            </w:r>
          </w:p>
        </w:tc>
        <w:tc>
          <w:tcPr>
            <w:tcW w:w="180" w:type="dxa"/>
            <w:vAlign w:val="bottom"/>
          </w:tcPr>
          <w:p>
            <w:pPr>
              <w:spacing w:after="0"/>
              <w:rPr>
                <w:sz w:val="17"/>
                <w:szCs w:val="17"/>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consolidated net income to net cash provided by operating activities: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Interest accretion on landfill liabilities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42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current assets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Deferred revenues and other liabilities</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193"/>
        </w:trPr>
        <w:tc>
          <w:tcPr>
            <w:tcW w:w="66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193"/>
        </w:trPr>
        <w:tc>
          <w:tcPr>
            <w:tcW w:w="668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paid on early extinguishment of debt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Net commercial paper borrowings (repayments)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repurchase program</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Cash dividends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common stock options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6680" w:type="dxa"/>
            <w:vAlign w:val="bottom"/>
            <w:gridSpan w:val="2"/>
          </w:tcPr>
          <w:p>
            <w:pPr>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Effect of exchange rate changes on cash, cash equivalents and restricted cash and cash equivalents</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6680" w:type="dxa"/>
            <w:vAlign w:val="bottom"/>
            <w:gridSpan w:val="2"/>
          </w:tcPr>
          <w:p>
            <w:pPr>
              <w:spacing w:after="0"/>
              <w:rPr>
                <w:sz w:val="20"/>
                <w:szCs w:val="20"/>
                <w:color w:val="auto"/>
              </w:rPr>
            </w:pPr>
            <w:r>
              <w:rPr>
                <w:rFonts w:ascii="Arial" w:cs="Arial" w:eastAsia="Arial" w:hAnsi="Arial"/>
                <w:sz w:val="16"/>
                <w:szCs w:val="16"/>
                <w:color w:val="auto"/>
              </w:rPr>
              <w:t>Increase (decrease) in cash, cash equivalents and restricted cash and cash equivalents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6"/>
        </w:trPr>
        <w:tc>
          <w:tcPr>
            <w:tcW w:w="66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320" w:type="dxa"/>
            <w:vAlign w:val="bottom"/>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6"/>
                <w:szCs w:val="16"/>
                <w:color w:val="auto"/>
                <w:w w:val="95"/>
              </w:rPr>
              <w:t>Reconciliation of cash, cash equivalents and restricted cash and cash equivalents at end of period: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96"/>
        </w:trPr>
        <w:tc>
          <w:tcPr>
            <w:tcW w:w="668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3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3"/>
          </w:tcPr>
          <w:p>
            <w:pPr>
              <w:ind w:left="240"/>
              <w:spacing w:after="0"/>
              <w:rPr>
                <w:sz w:val="20"/>
                <w:szCs w:val="20"/>
                <w:color w:val="auto"/>
              </w:rPr>
            </w:pPr>
            <w:r>
              <w:rPr>
                <w:rFonts w:ascii="Arial" w:cs="Arial" w:eastAsia="Arial" w:hAnsi="Arial"/>
                <w:sz w:val="14"/>
                <w:szCs w:val="14"/>
                <w:b w:val="1"/>
                <w:bCs w:val="1"/>
                <w:color w:val="auto"/>
              </w:rPr>
              <w:t>Waste Management, Inc. Stockholders’ Equity</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29"/>
        </w:trPr>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1"/>
        </w:trPr>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Paid-In</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Retained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Comprehensive</w:t>
            </w:r>
          </w:p>
        </w:tc>
        <w:tc>
          <w:tcPr>
            <w:tcW w:w="13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Noncontrolling</w:t>
            </w:r>
          </w:p>
        </w:tc>
      </w:tr>
      <w:tr>
        <w:trPr>
          <w:trHeight w:val="142"/>
        </w:trPr>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Capital</w:t>
            </w:r>
          </w:p>
        </w:tc>
        <w:tc>
          <w:tcPr>
            <w:tcW w:w="6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0"/>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4"/>
              </w:rPr>
              <w:t>Income (Loss)</w:t>
            </w:r>
          </w:p>
        </w:tc>
        <w:tc>
          <w:tcPr>
            <w:tcW w:w="7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5"/>
              </w:rPr>
              <w:t>Interests</w:t>
            </w:r>
          </w:p>
        </w:tc>
      </w:tr>
      <w:tr>
        <w:trPr>
          <w:trHeight w:val="129"/>
        </w:trPr>
        <w:tc>
          <w:tcPr>
            <w:tcW w:w="266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29"/>
        </w:trPr>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2019</w:t>
            </w:r>
          </w:p>
        </w:tc>
        <w:tc>
          <w:tcPr>
            <w:tcW w:w="1580" w:type="dxa"/>
            <w:vAlign w:val="bottom"/>
            <w:tcBorders>
              <w:top w:val="single" w:sz="8" w:color="auto"/>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r>
      <w:tr>
        <w:trPr>
          <w:trHeight w:val="142"/>
        </w:trPr>
        <w:tc>
          <w:tcPr>
            <w:tcW w:w="26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March 31, 2019</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$ 6,417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4,978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(53)</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(205,556)</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 (8,440)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Consolidated net income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 net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2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tax</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3"/>
          </w:tcPr>
          <w:p>
            <w:pPr>
              <w:spacing w:after="0" w:line="130" w:lineRule="exact"/>
              <w:rPr>
                <w:sz w:val="20"/>
                <w:szCs w:val="20"/>
                <w:color w:val="auto"/>
              </w:rPr>
            </w:pPr>
            <w:r>
              <w:rPr>
                <w:rFonts w:ascii="Arial" w:cs="Arial" w:eastAsia="Arial" w:hAnsi="Arial"/>
                <w:sz w:val="14"/>
                <w:szCs w:val="14"/>
                <w:color w:val="auto"/>
              </w:rPr>
              <w:t>Cash dividends declared of $0.5125 per</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2660" w:type="dxa"/>
            <w:vAlign w:val="bottom"/>
            <w:gridSpan w:val="3"/>
          </w:tcPr>
          <w:p>
            <w:pPr>
              <w:ind w:left="14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(217)</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Equity-based compensation transactions, net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(1,314)</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82"/>
        </w:trPr>
        <w:tc>
          <w:tcPr>
            <w:tcW w:w="26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Balance, June 30, 2019</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$ 6,467</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4,962</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10,088</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(206,482)</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 (8,568)</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r>
      <w:tr>
        <w:trPr>
          <w:trHeight w:val="129"/>
        </w:trPr>
        <w:tc>
          <w:tcPr>
            <w:tcW w:w="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3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9"/>
              </w:rPr>
              <w:t>2018</w:t>
            </w:r>
          </w:p>
        </w:tc>
        <w:tc>
          <w:tcPr>
            <w:tcW w:w="1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2"/>
        </w:trPr>
        <w:tc>
          <w:tcPr>
            <w:tcW w:w="26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March 31, 2018</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$ 6,065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(198,511)</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 (7,717)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Consolidated net income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 net of</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2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tax</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3"/>
          </w:tcPr>
          <w:p>
            <w:pPr>
              <w:spacing w:after="0" w:line="130" w:lineRule="exact"/>
              <w:rPr>
                <w:sz w:val="20"/>
                <w:szCs w:val="20"/>
                <w:color w:val="auto"/>
              </w:rPr>
            </w:pPr>
            <w:r>
              <w:rPr>
                <w:rFonts w:ascii="Arial" w:cs="Arial" w:eastAsia="Arial" w:hAnsi="Arial"/>
                <w:sz w:val="14"/>
                <w:szCs w:val="14"/>
                <w:color w:val="auto"/>
              </w:rPr>
              <w:t>Cash dividends declared of $0.465 per</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2660" w:type="dxa"/>
            <w:vAlign w:val="bottom"/>
            <w:gridSpan w:val="3"/>
          </w:tcPr>
          <w:p>
            <w:pPr>
              <w:ind w:left="14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Equity-based compensation transactions, net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(3,537)</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(292)</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Divestiture of noncontrolling interest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r>
      <w:tr>
        <w:trPr>
          <w:trHeight w:val="149"/>
        </w:trPr>
        <w:tc>
          <w:tcPr>
            <w:tcW w:w="2660" w:type="dxa"/>
            <w:vAlign w:val="bottom"/>
            <w:gridSpan w:val="3"/>
          </w:tcPr>
          <w:p>
            <w:pPr>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6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June 30, 2018</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(201,906)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 (8,004)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CONDENSED CONSOLIDATED STATEMENT OF CHANGES IN EQUITY ─ (Continued)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3"/>
          </w:tcPr>
          <w:p>
            <w:pPr>
              <w:jc w:val="right"/>
              <w:ind w:right="560"/>
              <w:spacing w:after="0"/>
              <w:rPr>
                <w:sz w:val="20"/>
                <w:szCs w:val="20"/>
                <w:color w:val="auto"/>
              </w:rPr>
            </w:pPr>
            <w:r>
              <w:rPr>
                <w:rFonts w:ascii="Arial" w:cs="Arial" w:eastAsia="Arial" w:hAnsi="Arial"/>
                <w:sz w:val="14"/>
                <w:szCs w:val="14"/>
                <w:b w:val="1"/>
                <w:bCs w:val="1"/>
                <w:color w:val="auto"/>
                <w:w w:val="96"/>
              </w:rPr>
              <w:t>Waste Management, Inc. Stockholders’ Equity</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Paid-In</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Comprehensive</w:t>
            </w:r>
          </w:p>
        </w:tc>
        <w:tc>
          <w:tcPr>
            <w:tcW w:w="1340" w:type="dxa"/>
            <w:vAlign w:val="bottom"/>
            <w:gridSpan w:val="5"/>
          </w:tcPr>
          <w:p>
            <w:pPr>
              <w:ind w:left="200"/>
              <w:spacing w:after="0"/>
              <w:rPr>
                <w:sz w:val="20"/>
                <w:szCs w:val="20"/>
                <w:color w:val="auto"/>
              </w:rPr>
            </w:pPr>
            <w:r>
              <w:rPr>
                <w:rFonts w:ascii="Arial" w:cs="Arial" w:eastAsia="Arial" w:hAnsi="Arial"/>
                <w:sz w:val="14"/>
                <w:szCs w:val="14"/>
                <w:b w:val="1"/>
                <w:bCs w:val="1"/>
                <w:color w:val="auto"/>
              </w:rPr>
              <w:t>Treasury Stock</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Noncontrolling</w:t>
            </w:r>
          </w:p>
        </w:tc>
      </w:tr>
      <w:tr>
        <w:trPr>
          <w:trHeight w:val="142"/>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Interests</w:t>
            </w:r>
          </w:p>
        </w:tc>
      </w:tr>
      <w:tr>
        <w:trPr>
          <w:trHeight w:val="129"/>
        </w:trPr>
        <w:tc>
          <w:tcPr>
            <w:tcW w:w="26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2019</w:t>
            </w:r>
          </w:p>
        </w:tc>
        <w:tc>
          <w:tcPr>
            <w:tcW w:w="1400" w:type="dxa"/>
            <w:vAlign w:val="bottom"/>
            <w:tcBorders>
              <w:top w:val="single" w:sz="8" w:color="auto"/>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$ 6,276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(87)</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(206,299)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(8,434)</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30"/>
        </w:trPr>
        <w:tc>
          <w:tcPr>
            <w:tcW w:w="26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Other comprehensive income (loss),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30"/>
        </w:trPr>
        <w:tc>
          <w:tcPr>
            <w:tcW w:w="2620" w:type="dxa"/>
            <w:vAlign w:val="bottom"/>
            <w:gridSpan w:val="3"/>
          </w:tcPr>
          <w:p>
            <w:pPr>
              <w:spacing w:after="0" w:line="130" w:lineRule="exact"/>
              <w:rPr>
                <w:sz w:val="20"/>
                <w:szCs w:val="20"/>
                <w:color w:val="auto"/>
              </w:rPr>
            </w:pPr>
            <w:r>
              <w:rPr>
                <w:rFonts w:ascii="Arial" w:cs="Arial" w:eastAsia="Arial" w:hAnsi="Arial"/>
                <w:sz w:val="14"/>
                <w:szCs w:val="14"/>
                <w:color w:val="auto"/>
              </w:rPr>
              <w:t>Cash dividends declared of $1.025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620" w:type="dxa"/>
            <w:vAlign w:val="bottom"/>
            <w:gridSpan w:val="3"/>
          </w:tcPr>
          <w:p>
            <w:pPr>
              <w:ind w:left="140"/>
              <w:spacing w:after="0"/>
              <w:rPr>
                <w:sz w:val="20"/>
                <w:szCs w:val="20"/>
                <w:color w:val="auto"/>
              </w:rPr>
            </w:pPr>
            <w:r>
              <w:rPr>
                <w:rFonts w:ascii="Arial" w:cs="Arial" w:eastAsia="Arial" w:hAnsi="Arial"/>
                <w:sz w:val="14"/>
                <w:szCs w:val="14"/>
                <w:color w:val="auto"/>
              </w:rPr>
              <w:t>common share</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(440)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(1,993)</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82"/>
        </w:trPr>
        <w:tc>
          <w:tcPr>
            <w:tcW w:w="26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Balance, June 30,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$ 6,467</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4,962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10,088</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(206,482)</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(8,568)</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r>
      <w:tr>
        <w:trPr>
          <w:trHeight w:val="129"/>
        </w:trPr>
        <w:tc>
          <w:tcPr>
            <w:tcW w:w="3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3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9"/>
              </w:rPr>
              <w:t>2018</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$ 6,042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(196,964)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(7,516)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Adoption of new accounting standards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30"/>
        </w:trPr>
        <w:tc>
          <w:tcPr>
            <w:tcW w:w="2620" w:type="dxa"/>
            <w:vAlign w:val="bottom"/>
            <w:gridSpan w:val="3"/>
          </w:tcPr>
          <w:p>
            <w:pPr>
              <w:spacing w:after="0" w:line="130" w:lineRule="exact"/>
              <w:rPr>
                <w:sz w:val="20"/>
                <w:szCs w:val="20"/>
                <w:color w:val="auto"/>
              </w:rPr>
            </w:pPr>
            <w:r>
              <w:rPr>
                <w:rFonts w:ascii="Arial" w:cs="Arial" w:eastAsia="Arial" w:hAnsi="Arial"/>
                <w:sz w:val="14"/>
                <w:szCs w:val="14"/>
                <w:color w:val="auto"/>
                <w:w w:val="98"/>
              </w:rPr>
              <w:t>Other comprehensive income (loss),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620" w:type="dxa"/>
            <w:vAlign w:val="bottom"/>
            <w:gridSpan w:val="3"/>
          </w:tcPr>
          <w:p>
            <w:pPr>
              <w:ind w:left="140"/>
              <w:spacing w:after="0"/>
              <w:rPr>
                <w:sz w:val="20"/>
                <w:szCs w:val="20"/>
                <w:color w:val="auto"/>
              </w:rPr>
            </w:pPr>
            <w:r>
              <w:rPr>
                <w:rFonts w:ascii="Arial" w:cs="Arial" w:eastAsia="Arial" w:hAnsi="Arial"/>
                <w:sz w:val="14"/>
                <w:szCs w:val="14"/>
                <w:color w:val="auto"/>
              </w:rPr>
              <w:t>tax</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(52)</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of $0.93 per</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common share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(6,568)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Divestiture of noncontrolling interest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r>
      <w:tr>
        <w:trPr>
          <w:trHeight w:val="149"/>
        </w:trPr>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2"/>
        </w:trPr>
        <w:tc>
          <w:tcPr>
            <w:tcW w:w="2620" w:type="dxa"/>
            <w:vAlign w:val="bottom"/>
            <w:gridSpan w:val="3"/>
          </w:tcPr>
          <w:p>
            <w:pPr>
              <w:spacing w:after="0" w:line="142" w:lineRule="exact"/>
              <w:rPr>
                <w:sz w:val="20"/>
                <w:szCs w:val="20"/>
                <w:color w:val="auto"/>
              </w:rPr>
            </w:pPr>
            <w:r>
              <w:rPr>
                <w:rFonts w:ascii="Arial" w:cs="Arial" w:eastAsia="Arial" w:hAnsi="Arial"/>
                <w:sz w:val="14"/>
                <w:szCs w:val="14"/>
                <w:color w:val="auto"/>
              </w:rPr>
              <w:t>Balance, June 30, 2018</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$ 6,056</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9,166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(201,906)</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(8,004)</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1" w:right="1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14.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Financial Statements as of June 30, 2019 and for the three and six months ended June 30, 2019 and 2018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2018.</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2019 and December 31, 2018, we had $149 million and $145 million, respectively, of deferred contract costs, of which $113 million and $109 million, respectively, was related to deferred sales incentives. During the three and six months ended June 30, 2019, we amortized $6 million and $11 million of sales incentives to selling, general and administrative expense, and $5 million and $11 million of other contract acquisition costs as a reduction in revenue, respectively. During the three and six months ended June 30, 2018, we amortized $5 million and $11 million of sales incentives to selling, general and administrative expense, and $9 million and $19 million of other contract acquisition costs as a reduction in revenue, respectively.</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Financial Accounting Standards Board (“FASB”) issued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2016-02 associated with lease accounting. There were further amendments, including practical expedients, with the issuance of ASU 2018-01 in January 2018, ASU 2018-11 in July 2018 and ASU 2018-20 in December 2018. On January 1, 2019, we adopted these ASUs using the optional transition method which allows entities to continue to apply historical accounting guidance in the comparative periods presented in the year of adoption. Accordingly, our financial statements for the reported periods after January 1, 2019 are presented under this amended guidance, while prior period amounts are not adjusted and continue to be reported in accordance with historical accounting guidance.</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In addition, we applied (i) the practical expedient for land easements, which allows the Company to not apply the lease standard to certain existing land easements at transition and (ii) the practical expedient to include both the lease and non-lease components as a single component and account for it as a lease.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adopting the amended guidance primarily relates to the recognition of lease assets and lease liabilities on the balance sheet for all leases previously classified as operating leases. We recognized $385 million of right-of-use assets and $385 million of related lease liabilities as of January 1, 2019 for our contracts that are classified as operating leases. Leases with an initial term of 12 months, which are not expected to be renewed beyond one year, are not recorded on the balance sheet and are recognized as lease expense on a straight-line basis over the lease term. Our accounting for financing leases, which were formerly referred to as capital leases, remained substantially unchanged. There were no other material impacts on our consolidated financial statements. See Note 4 for additional information and disclosures related to our adoption of this amended guidance.</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 Pending Adoption</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amended guidance is effective for the Company on January 1, 2020. We are assessing the provisions of this amended guidance and evaluating the impact on our consolidated financial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ind w:left="320" w:hanging="311"/>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Remediation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Remediation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2019 are reflected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1"/>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 reported for our environmental remediation liabilities includes an increase of $8 million due to a decrease in the risk-free discount rate used to measure our liabilities from 2.75% at December 31, 2018 to 2.0% at June 30, 2019.</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our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June 30,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182"/>
        </w:trPr>
        <w:tc>
          <w:tcPr>
            <w:tcW w:w="20" w:type="dxa"/>
            <w:vAlign w:val="bottom"/>
          </w:tcPr>
          <w:p>
            <w:pPr>
              <w:spacing w:after="0"/>
              <w:rPr>
                <w:sz w:val="15"/>
                <w:szCs w:val="15"/>
                <w:color w:val="auto"/>
              </w:rPr>
            </w:pPr>
          </w:p>
        </w:tc>
        <w:tc>
          <w:tcPr>
            <w:tcW w:w="6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$2.75 billion revolving credit facility (weighted average interest rate of 3.1% as of</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1"/>
              </w:rPr>
              <w:t>Commercial paper program (weighted average interest rate of 2.9% as of December 31, 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Senior notes, maturing through 2049, interest rates ranging from 2.4% to 7.75% (weighted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average interest rate of 3.9% as of June 30, 2019 and 4.3% as of December 31, 2018)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1"/>
              </w:rPr>
              <w:t>1.35% to 4.3% (weighted average interest rate of 2.4% as of June 30, 2019 and 2.35% as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 and other, maturing through 2056, interest rates up to 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issuance costs, discounts and 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June 30, 2019, we had $1.2 billion of debt maturing within the next 12 months, including (i) $600 million of 4.75% senior notes that mature in June 2020; (ii) $524 million of tax-exempt bonds with term interest rate periods that expire within the next 12 months, which is prior to their scheduled maturities, and (iii) $116 million of other debt with scheduled maturities within the next 12 months, including $42 million of tax-exempt bonds. As of June 30, 2019, we have classified $1.1 billion of debt maturing in the next 12 months as long-term because we have the intent and ability to refinance these borrowings on a long-term basis as supported by the forecasted available capacity under our $2.75 billion long-term U.S. and Canadian revolving credit facility (“$2.75 billion revolving credit facility”), as discussed below. The remaining $116 million is classified as current obligations.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June 30, 2019,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Condensed Consolidated Balance Sheet as of June 30, 2019.</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$2.75 Billion Revolving Credit Facility — </w:t>
      </w:r>
      <w:r>
        <w:rPr>
          <w:rFonts w:ascii="Arial" w:cs="Arial" w:eastAsia="Arial" w:hAnsi="Arial"/>
          <w:sz w:val="16"/>
          <w:szCs w:val="16"/>
          <w:color w:val="auto"/>
        </w:rPr>
        <w:t>Our $2.75 billion revolving credit facility provides us with credit capacity to</w:t>
      </w:r>
      <w:r>
        <w:rPr>
          <w:rFonts w:ascii="Arial" w:cs="Arial" w:eastAsia="Arial" w:hAnsi="Arial"/>
          <w:sz w:val="16"/>
          <w:szCs w:val="16"/>
          <w:i w:val="1"/>
          <w:iCs w:val="1"/>
          <w:color w:val="auto"/>
        </w:rPr>
        <w:t xml:space="preserve"> </w:t>
      </w:r>
      <w:r>
        <w:rPr>
          <w:rFonts w:ascii="Arial" w:cs="Arial" w:eastAsia="Arial" w:hAnsi="Arial"/>
          <w:sz w:val="16"/>
          <w:szCs w:val="16"/>
          <w:color w:val="auto"/>
        </w:rPr>
        <w:t>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As of June 30, 2019, we had no borrowings outstanding under this facility. We had $512 million of letters of credit issued and no outstanding borrowings under our commercial paper program, both supported by this facility, leaving unused and available credit capacity of $2.2 billion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June 30, 2019. WM Holdings, a wholly-owned subsidiary of WM, guarantees all of the obligations under the $2.75 billion revolving credit facility.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 397 days</w:t>
      </w:r>
      <w:r>
        <w:rPr>
          <w:rFonts w:ascii="Arial" w:cs="Arial" w:eastAsia="Arial" w:hAnsi="Arial"/>
          <w:sz w:val="18"/>
          <w:szCs w:val="18"/>
          <w:i w:val="1"/>
          <w:iCs w:val="1"/>
          <w:color w:val="auto"/>
        </w:rPr>
        <w:t xml:space="preserve"> </w:t>
      </w:r>
      <w:r>
        <w:rPr>
          <w:rFonts w:ascii="Arial" w:cs="Arial" w:eastAsia="Arial" w:hAnsi="Arial"/>
          <w:sz w:val="18"/>
          <w:szCs w:val="18"/>
          <w:color w:val="auto"/>
        </w:rPr>
        <w:t>at competitive interest rates. The rates we pay for outstanding borrowings are based on the term of the notes. The commercial paper program is fully supported by our $2.75 billion revolving credit facility. As of June 30, 2019, we had no outstanding borrowings under our commercial paper program.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June 30, 2019, we utilized $542 million of other letter of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both committed and uncommitted, with terms maturing through December 2020.</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$2.75 Billion Revolving Credit Facility </w:t>
      </w:r>
      <w:r>
        <w:rPr>
          <w:rFonts w:ascii="Arial" w:cs="Arial" w:eastAsia="Arial" w:hAnsi="Arial"/>
          <w:sz w:val="18"/>
          <w:szCs w:val="18"/>
          <w:color w:val="auto"/>
        </w:rPr>
        <w:t>— During the six months ended June 30, 2019, we repaid C$15 million, or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Canadian borrowings under our $2.75 billion revolving credit facility with available cash.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2019, WM issued $4.0 billion of senior notes consisting of:</w:t>
      </w:r>
    </w:p>
    <w:p>
      <w:pPr>
        <w:spacing w:after="0" w:line="117" w:lineRule="exact"/>
        <w:rPr>
          <w:sz w:val="20"/>
          <w:szCs w:val="20"/>
          <w:color w:val="auto"/>
        </w:rPr>
      </w:pPr>
    </w:p>
    <w:p>
      <w:pPr>
        <w:ind w:left="1000" w:hanging="316"/>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 million of 2.95% senior notes due June 15, 2024;</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 million of 3.20% senior notes due June 15, 2026;</w:t>
      </w:r>
    </w:p>
    <w:p>
      <w:pPr>
        <w:ind w:left="1000" w:hanging="316"/>
        <w:spacing w:after="0" w:line="23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billion of 3.45% senior notes due June 15, 2029;</w:t>
      </w:r>
    </w:p>
    <w:p>
      <w:pPr>
        <w:ind w:left="1000" w:hanging="316"/>
        <w:spacing w:after="0" w:line="23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 million of 4.00% senior notes due July 15, 2039; and</w:t>
      </w:r>
    </w:p>
    <w:p>
      <w:pPr>
        <w:ind w:left="1000" w:hanging="316"/>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billion of 4.15% senior notes due July 15, 2049.</w:t>
      </w:r>
    </w:p>
    <w:p>
      <w:pPr>
        <w:spacing w:after="0" w:line="18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which are classified as loss on early extinguishment of debt in our Condensed Consolidated Statement of Operations, and $3 million of accrued interest. The principal amount of senior notes redeemed within each series was as follows:</w:t>
      </w:r>
    </w:p>
    <w:p>
      <w:pPr>
        <w:spacing w:after="0" w:line="95" w:lineRule="exact"/>
        <w:rPr>
          <w:sz w:val="20"/>
          <w:szCs w:val="20"/>
          <w:color w:val="auto"/>
        </w:rPr>
      </w:pPr>
    </w:p>
    <w:p>
      <w:pPr>
        <w:ind w:left="1000" w:hanging="316"/>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$304 million of WM Holdings 7.10% senior notes due 2026, of which $56 million were tendered;</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$395 million of WM 7.00% senior notes due 2028, of which $64 million were tendered;</w:t>
      </w:r>
    </w:p>
    <w:p>
      <w:pPr>
        <w:ind w:left="1000" w:hanging="316"/>
        <w:spacing w:after="0" w:line="23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$139 million of WM 7.375% senior notes due 2029, of which $58 million were tendered;</w:t>
      </w:r>
    </w:p>
    <w:p>
      <w:pPr>
        <w:ind w:left="1000" w:hanging="316"/>
        <w:spacing w:after="0" w:line="23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$210 million of WM 7.75% senior notes due 2032, of which $57 million were tendered; and</w:t>
      </w:r>
    </w:p>
    <w:p>
      <w:pPr>
        <w:ind w:left="1000" w:hanging="316"/>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$274 million of WM 6.125% senior notes due 2039, of which $22 million were tendered.</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We used a portion of the proceeds to repay our commercial paper borrowings as discussed further below. We intend to use the remaining net proceeds to pay a portion of the consideration related to our pending acquisition of Advanced Disposal Services, Inc. (“Advanced Disposal”), pursuant to an Agreement and Plan of Merger (the “Merger Agreement”) which is discussed further in Note 9, and for general corporate purposes. The newly-issued senior notes due 2024, 2026, 2029 and 2039 include a special mandatory redemption feature, which provides that if the acquisition of Advanced Disposal is not completed on or prior to July 14, 2020, or if, prior to such date, the Merger Agreement is terminated for any reason, we will be required to redeem all of the outstanding notes equal to 101% of the aggregate principal amounts of such notes, plus accrued but unpaid interest on the principal amount of such notes.</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six months ended June 30, 2019, we made net cash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$1.0 billion (net of the related discount on issuance). During the first quarter of 2019, we had net cash borrowings of $357 million (net of the related discount on issuance), which were primarily used to support our acquisition of Petro Waste Environmental LP (“Petro Waste”), which is discussed further in Note 9, and for general corporate purposes. In the second quarter of 2019, we repaid the outstanding balance with proceeds from the May 2019 issuance of senior notes discussed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six months ended June 30, 2019, we repaid $94 million of our tax-exempt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change during the six months ended June 30, 2019, is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$119 million primarily related to non-cash financing arrangements offset, in part, by $23 million of net cash repayments of debt at maturity.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operating lease activities primarily consist of leases for real estate, landfills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at our sole discretion.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When the implicit interest rate is not readily available for our operating leases, we discount future cash flows of the remaining lease payments using the current interest rate that would be paid to borrow on collateralized debt over a similar term, or incremental borrowing rate, at the commencement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for our leases is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tcPr>
          <w:p>
            <w:pPr>
              <w:ind w:left="1060"/>
              <w:spacing w:after="0"/>
              <w:rPr>
                <w:sz w:val="20"/>
                <w:szCs w:val="20"/>
                <w:color w:val="auto"/>
              </w:rPr>
            </w:pPr>
            <w:r>
              <w:rPr>
                <w:rFonts w:ascii="Arial" w:cs="Arial" w:eastAsia="Arial" w:hAnsi="Arial"/>
                <w:sz w:val="14"/>
                <w:szCs w:val="14"/>
                <w:b w:val="1"/>
                <w:bCs w:val="1"/>
                <w:color w:val="auto"/>
              </w:rPr>
              <w:t>Leases</w:t>
            </w:r>
          </w:p>
        </w:tc>
        <w:tc>
          <w:tcPr>
            <w:tcW w:w="4400" w:type="dxa"/>
            <w:vAlign w:val="bottom"/>
            <w:gridSpan w:val="2"/>
          </w:tcPr>
          <w:p>
            <w:pPr>
              <w:ind w:left="164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4"/>
                <w:szCs w:val="14"/>
                <w:color w:val="auto"/>
              </w:rPr>
            </w:pPr>
          </w:p>
        </w:tc>
        <w:tc>
          <w:tcPr>
            <w:tcW w:w="16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2"/>
        </w:trPr>
        <w:tc>
          <w:tcPr>
            <w:tcW w:w="28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Financing</w:t>
            </w: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assets</w:t>
            </w:r>
          </w:p>
        </w:tc>
        <w:tc>
          <w:tcPr>
            <w:tcW w:w="4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Financing</w:t>
            </w:r>
          </w:p>
        </w:tc>
        <w:tc>
          <w:tcPr>
            <w:tcW w:w="44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44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Financing</w:t>
            </w: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84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vMerge w:val="restart"/>
          </w:tcPr>
          <w:p>
            <w:pPr>
              <w:ind w:left="16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lease expense for the three and six months ended June 30, 2019 was $31 million and $59 million, respectively, and is included in operating and selling, general and administrative expenses in our Condensed Consolidated Statement of Operations. Our financing lease expense for the three and six months ended June 30, 2019 was $11 million and $25 million, respectively, and is included in depreciation and amortization expense and interest expense, net in our Condensed Consolidated Statement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Minimum contractual obligations for our leases (undiscounted) as of June 30, 2019 are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4"/>
                <w:szCs w:val="14"/>
                <w:color w:val="auto"/>
              </w:rPr>
            </w:pPr>
          </w:p>
        </w:tc>
        <w:tc>
          <w:tcPr>
            <w:tcW w:w="1340" w:type="dxa"/>
            <w:vAlign w:val="bottom"/>
          </w:tcPr>
          <w:p>
            <w:pPr>
              <w:jc w:val="right"/>
              <w:ind w:right="352"/>
              <w:spacing w:after="0"/>
              <w:rPr>
                <w:sz w:val="20"/>
                <w:szCs w:val="20"/>
                <w:color w:val="auto"/>
              </w:rPr>
            </w:pPr>
            <w:r>
              <w:rPr>
                <w:rFonts w:ascii="Arial" w:cs="Arial" w:eastAsia="Arial" w:hAnsi="Arial"/>
                <w:sz w:val="14"/>
                <w:szCs w:val="14"/>
                <w:b w:val="1"/>
                <w:bCs w:val="1"/>
                <w:color w:val="auto"/>
              </w:rPr>
              <w:t>Financing</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(excluding six months ended June 30, 2019)</w:t>
            </w: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Less: interest</w:t>
            </w:r>
          </w:p>
        </w:tc>
        <w:tc>
          <w:tcPr>
            <w:tcW w:w="34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Discounted lease liabilities</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we entered into leases, primarily for real estate, that have not yet commenced with future lease payments of $167 million that are not reflected in the table above. These leases will commence through 2020 with non-cancelable lease terms up to 15 years.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paid for our operating and financing leases was $44 million and $17 million, respectively, for the six months ended June 30, 2019. Right-of-use assets obtained in exchange for lease obligations for our operating and financing leases were $32 million and $110 million, respectively, for the six months ended June 30, 2019.</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the weighted average remaining lease terms of our operating and financing leases were 16 years and 15 years, respectively. The weighted average discount rates used to determine the lease liabilities as of June 30, 2019 for our operating and financing leases were 3.79% and 4.16%, respectively.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income tax expense was $115 million and $230 million for the three and six months ended June 30, 2019, respectively, compared to $110 million and $226 million for the three and six months ended June 30, 2018, respectively. Our effective income tax rate was 23.3% and 24.0% for the three and six months ended June 30, 2019, respectively, compared with 18.1% and 20.2% for the three and six months ended June 30, 2018, respectively. We evaluate our effective income tax rate at each interim period and adjust it as facts and circumstances warrant. The increase in our effective income tax rate when comparing the three and six months ended June 30, 2019 with the prior year periods is due to a $33 million income tax benefit related to the settlement of various tax audits during 2018 and a $52 million impairment charge in the first quarter of 2019 which was not deductible for tax purposes.</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differences between federal income taxes computed at the federal statutory rate and reported income taxes for the three and six months ended June 30, 2019 were primarily due to the unfavorable impact of state and local income taxes offset, in part, by the favorable impact of federal tax credits and excess tax benefits related to equity-based compensation. The six months ended June 30, 2019 was also unfavorably impacted by an impairment as discussed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differences between federal income taxes computed at the federal statutory rate and reported income taxes for the three and six months ended June 30, 2018 were primarily due to the favorable impact of tax audit settlements and federal tax credits offset, in part, by the unfavorable impact of state and local income taxes. The six months ended June 30, 2018 was also favorably impacted by excess tax benefits related to equity-based compensation.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2030 under Sections 42 and 45D, and through the end of 2019 under Section 45, respectively, of the Internal Revenue Code. We account for our investments in these entities using the equity method of accounting, recognizing our share of each entity’s results of operations and other reductions in the value of our investments in equity in net losses of unconsolidated entities, in our Condensed Consolidated Statements of Operations.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three and six months ended June 30, 2019, we recognized $12 million and $21 million of net losses and a reduction in our income tax expense of $18 million and $33 million, respectively, primarily due to tax credits realized from these investments. In addition, during the three and six months ended June 30, 2019, we recognized interest expense of $2 million and $4 million, respectively, associated with our investments in low-income housing properties.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and six months ended June 30, 2018, we recognized $6 million and $12 million of net losses and a reduction in our income tax expense of $12 million and $22 million, respectively, primarily due to tax credits realized from these investments. Interest expense associated with our investments in low-income housing properties was not material for the three and six months ended June 30,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for additional information related to these unconsolidated variable interest entities.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We are currently under audit by the IRS and various state and local taxing authorities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audits are in various stages of completion. In June 2018, we settled various tax audits, which resulted in a reduction in our income tax expense of $33 million.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2019, we recognized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$5 million and $17 million, respectively, for excess tax benefits related to the vesting or exercise of equity-based compensation awards compared with $1 million and $12 million, respectively, for the comparable prior year periods.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Tax Implications of Impairment </w:t>
      </w:r>
      <w:r>
        <w:rPr>
          <w:rFonts w:ascii="Arial" w:cs="Arial" w:eastAsia="Arial" w:hAnsi="Arial"/>
          <w:sz w:val="18"/>
          <w:szCs w:val="18"/>
          <w:color w:val="auto"/>
        </w:rPr>
        <w:t>— We recognized a $52 million impairment charge in the first quarter of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not deductible for tax purposes. See Note 10 for additional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20" w:hanging="311"/>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428.4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429.9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220"/>
              <w:spacing w:after="0" w:line="201" w:lineRule="exact"/>
              <w:rPr>
                <w:sz w:val="20"/>
                <w:szCs w:val="20"/>
                <w:color w:val="auto"/>
              </w:rPr>
            </w:pPr>
            <w:r>
              <w:rPr>
                <w:rFonts w:ascii="Arial" w:cs="Arial" w:eastAsia="Arial" w:hAnsi="Arial"/>
                <w:sz w:val="18"/>
                <w:szCs w:val="18"/>
                <w:color w:val="auto"/>
                <w:w w:val="94"/>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issuable 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432.3</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434.1</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15 for additional information.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June 30, 2019, we have guaranteed the obligations and certain performance requirements of third parties in connection with both consolidated and unconsolidated entities, including (i) guarantees to cover certain market value losses for approximately 850 homeowners’ properties adjacent to or near 18 of our landfills and (ii) guarantees totaling $73 million for performance obligations of our Wheelabrator business, divested in 2014. In February 2019, Wheelabrator was acquired by a third party, at which time we agreed to continue to provide such guarantees through July 2019.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$241 million recorded in the Condensed Consolidated Balance Sheet as of June 30, 2019.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June 30, 2019,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sites, which we do not own, are at various procedural stages under the Comprehensive Environmental Response, Compensation and Liability Act of 1980, as amended, known as CERCLA or Superfund.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June 30, 2019 and December 31, 2018, the recorded liability for MIMC’s estimated potential share of the EPA’s selected remedy and related costs was $56 million and $55 million, respectively. MIMC’s ultimate liability could be materially different from current estimates.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 On July 3, 2019, this matter was resolved through a consent decree, and WMHI subsequently made payment of $300,000.</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2019 tax years and expect these audits to be completed within the next 21 months. We 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also currently undergoing audits by various state and local jurisdictions for tax years that date back to 2013. Additionally, we are under audit by the Canada Revenue Agency for the 2014 tax year.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includes Southern California, Eastern Canada, Wisconsin and Minnesota. Tier 3 encompasses all the remaining operations including the Pacific Northwest and Northern California, the Mid-Atlantic region of the U.S., the Florida peninsula, Illinois and Missouri.</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Revenues</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w:t>
            </w:r>
          </w:p>
        </w:tc>
        <w:tc>
          <w:tcPr>
            <w:tcW w:w="2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Other (a)</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Solid Waste</w:t>
            </w: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vMerge w:val="restart"/>
          </w:tcPr>
          <w:p>
            <w:pPr>
              <w:jc w:val="right"/>
              <w:ind w:right="9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r>
      <w:tr>
        <w:trPr>
          <w:trHeight w:val="149"/>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Revenues</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r>
      <w:tr>
        <w:trPr>
          <w:trHeight w:val="176"/>
        </w:trPr>
        <w:tc>
          <w:tcPr>
            <w:tcW w:w="56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6"/>
        </w:trPr>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40" w:type="dxa"/>
            <w:vAlign w:val="bottom"/>
            <w:gridSpan w:val="3"/>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6"/>
        </w:trPr>
        <w:tc>
          <w:tcPr>
            <w:tcW w:w="5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5640" w:type="dxa"/>
            <w:vAlign w:val="bottom"/>
            <w:gridSpan w:val="3"/>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10"/>
        </w:trPr>
        <w:tc>
          <w:tcPr>
            <w:tcW w:w="564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Other (a)</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2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10"/>
        </w:trPr>
        <w:tc>
          <w:tcPr>
            <w:tcW w:w="56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7"/>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5640" w:type="dxa"/>
            <w:vAlign w:val="bottom"/>
            <w:gridSpan w:val="3"/>
          </w:tcPr>
          <w:p>
            <w:pPr>
              <w:ind w:left="22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5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0"/>
        </w:trPr>
        <w:tc>
          <w:tcPr>
            <w:tcW w:w="5640" w:type="dxa"/>
            <w:vAlign w:val="bottom"/>
            <w:gridSpan w:val="3"/>
          </w:tcPr>
          <w:p>
            <w:pPr>
              <w:ind w:left="34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w:t>
            </w: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0"/>
        </w:trPr>
        <w:tc>
          <w:tcPr>
            <w:tcW w:w="56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0"/>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0" w:lineRule="exact"/>
        <w:rPr>
          <w:sz w:val="20"/>
          <w:szCs w:val="20"/>
          <w:color w:val="auto"/>
        </w:rPr>
      </w:pPr>
    </w:p>
    <w:p>
      <w:pPr>
        <w:jc w:val="both"/>
        <w:ind w:left="340" w:hanging="331"/>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organization; (ii) those elements of our landfill gas-to-energy operations and third-party subcontract and administration revenues managed by our Energy and Environmental Services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4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10"/>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(1,590)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(1,513)</w:t>
            </w:r>
          </w:p>
        </w:tc>
      </w:tr>
      <w:tr>
        <w:trPr>
          <w:trHeight w:val="210"/>
        </w:trPr>
        <w:tc>
          <w:tcPr>
            <w:tcW w:w="58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r>
      <w:tr>
        <w:trPr>
          <w:trHeight w:val="20"/>
        </w:trPr>
        <w:tc>
          <w:tcPr>
            <w:tcW w:w="2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80" w:lineRule="exact"/>
        <w:rPr>
          <w:sz w:val="20"/>
          <w:szCs w:val="20"/>
          <w:color w:val="auto"/>
        </w:rPr>
      </w:pP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w:t>
      </w:r>
    </w:p>
    <w:p>
      <w:pPr>
        <w:spacing w:after="0" w:line="23" w:lineRule="exact"/>
        <w:rPr>
          <w:rFonts w:ascii="Arial" w:cs="Arial" w:eastAsia="Arial" w:hAnsi="Arial"/>
          <w:sz w:val="18"/>
          <w:szCs w:val="18"/>
          <w:color w:val="auto"/>
        </w:rPr>
      </w:pPr>
    </w:p>
    <w:p>
      <w:pPr>
        <w:jc w:val="both"/>
        <w:ind w:left="340" w:hanging="7"/>
        <w:spacing w:after="0" w:line="254" w:lineRule="auto"/>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81"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14, 2019, we entered into the Merger Agreement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The transaction is expected to close during the first quarter of 2020, subject to the satisfaction of customary closing conditions, including regulatory approvals. On June 28, 2019, Advanced Disposal announced that 85.9% of the outstanding shares of its common stock entitled to vote were voted in favor of the proposal to adopt the Merger Agreement at a special meeting of stockholders held that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Petro Waste </w:t>
      </w:r>
      <w:r>
        <w:rPr>
          <w:rFonts w:ascii="Arial" w:cs="Arial" w:eastAsia="Arial" w:hAnsi="Arial"/>
          <w:sz w:val="16"/>
          <w:szCs w:val="16"/>
          <w:color w:val="auto"/>
        </w:rPr>
        <w:t>— On March 8, 2019, Waste Management Energy Services Holdings, LLC, an indirect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WM, acquired Petro Waste. The acquired business provides comprehensive oilfield environmental services and solid waste disposal facilities in the Permian Basin and The Eagle Ford Shale. The acquisition is intended to expand our offerings and enhance the quality of solid waste disposal services for oil and gas exploration and production operations in Texas. Our purchase price is expected to be primarily allocated to seven landfills, which are included in our property and equipment. The allocation of purchase price for Petro Waste is preliminary and is subject to standard post-closing adjustments. The acquisition was funded with borrowings under our commercial paper program. For the three and six months ended June 30, 2019, the impact of the acquisition was not material to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Impairments and Unusual Items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2018, we sold certain ancillary operations resulting in net gains of $42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2019, we recognized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2018</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of tax expense (benefit) of $0, $2, $0 and $0, respectively</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w w:val="95"/>
              </w:rPr>
              <w:t>(income) loss, net of tax (expense) benefit of $1, $0, $0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$0, respectively</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Balance, June 30, 2019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active derivatives outstanding during the reported period. Amounts reclassified out of accumulated other comprehensive income (loss) associated with our previously terminated cash flow hedges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Repurchase Program</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In January 2019, we paid $4 million in cash for share repurchases executed in December 2018. In addition, during the first quarter of 2019, we repurchased 0.7 million shares of our common stock in open market transactions in compliance with Rule 10b5-1 and Rule 10b-18 of the Exchange Act. Cash paid for these share repurchases was $64 million, inclusive of per-share commissions, which represents a weighted average price per share of $94.35. These repurchases were made under our prior $1.25 billion Board of Directors authorization announced in December 2017.</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announced in December 2018 that the Board of Directors authorized up to $1.5 billion in future share repurchases, which superseded and replaced remaining authority under any prior Board of Directors authorization for share repurchases after the completion of our open market repurchases noted above. As a result of the pending acquisition of Advanced Disposal discussed in Note 9, we decided to limit 2019 share repurchases to an amount sufficient to offset dilution impacts from our stock-based compensation plans. In May 2019, we entered into an accelerated share repurchase (“ASR”) agreement to repurchase $180 million of our common stock. At the beginning of the repurchase period, we delivered $180 million cash and received 1.3 million shares based on a stock price of $109.59.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by September 2019.</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2019, the Company has authorization for $1.3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cash required for future business plans, growth and acquisitions and other factors the Board of Directors may deem relevant. As a result of the pending acquisition discussed in Note 9, we do not expect additional share repurchases in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Fair Value Measurements Using:</w:t>
            </w:r>
          </w:p>
        </w:tc>
        <w:tc>
          <w:tcPr>
            <w:tcW w:w="2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Money market funds (a)</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Available-for-sale securities (b)</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Significant unobservable inputs (Level 3):</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Redeemable preferred stock (c)</w:t>
            </w: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200"/>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2,677</w:t>
            </w:r>
          </w:p>
        </w:tc>
        <w:tc>
          <w:tcPr>
            <w:tcW w:w="2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1"/>
        <w:spacing w:after="0" w:line="30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increase in 2019 is primarily due to proceeds from our May 2019 issuance of senior notes, a portion of which we intend to use to support the pending acquisition of Advanced Disposal and other business needs, and are invested in high-yield secure and stable funds. This increase is partially offset by changes in our investments portfolio associated with a wholly-owned insurance captive from money market funds to available-for-sale securities.</w:t>
      </w:r>
    </w:p>
    <w:p>
      <w:pPr>
        <w:spacing w:after="0" w:line="46" w:lineRule="exact"/>
        <w:rPr>
          <w:rFonts w:ascii="Arial" w:cs="Arial" w:eastAsia="Arial" w:hAnsi="Arial"/>
          <w:sz w:val="16"/>
          <w:szCs w:val="16"/>
          <w:color w:val="auto"/>
        </w:rPr>
      </w:pPr>
    </w:p>
    <w:p>
      <w:pPr>
        <w:ind w:left="340" w:hanging="331"/>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2019 is primarily attributable to changes in our investments portfolio, as discussed above. Our available-for-sale securities generally mature over the next ten years.</w:t>
      </w:r>
    </w:p>
    <w:p>
      <w:pPr>
        <w:spacing w:after="0" w:line="62" w:lineRule="exact"/>
        <w:rPr>
          <w:rFonts w:ascii="Arial" w:cs="Arial" w:eastAsia="Arial" w:hAnsi="Arial"/>
          <w:sz w:val="18"/>
          <w:szCs w:val="18"/>
          <w:color w:val="auto"/>
        </w:rPr>
      </w:pPr>
    </w:p>
    <w:p>
      <w:pPr>
        <w:jc w:val="both"/>
        <w:ind w:left="340" w:hanging="331"/>
        <w:spacing w:after="0" w:line="272"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 In the first quarter of 2019, we redeemed our preferred stock received in conjunction with the 2014 sale of our Puerto Rico operations for $17 million. At the time of redemption, the value of redeemable preferred stock was $20 million, resulting in a $3 million loss on investment.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and December 31, 2018, the carrying value of our debt was $12.7 billion and $10.0 billion, respectively. The estimated fair value of our debt was approximately $13.6 billion and $10.1 billion as of June 30, 2019 and December 31, 2018, respectively. The increase in the fair value of our debt when comparing June 30, 2019 with December 31, 2018 is due to $2.6 billion of net borrowings (inclusive of net commercial paper repayments) which are discussed further in Note 3.</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as of June 30, 2019 and December 31, 2018. These amounts have not been revalued since those dates, and current estimates of fair value could differ significantly from the amounts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$172 million and $189 million as of June 30, 2019 and December 31, 2018, respectively. The debt balance related to our investments in low-income housing properties was $147 million and $151 million as of June 30, 2019 and December 31, 2018, respectively. Additional information related to these investments is discussed in Note 5.</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$98 million and $92 million as of June 30, 2019 and December 31, 2018, respectively.</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$107 million and $103 million as of June 30, 2019 and December 31, 2018,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June 30, 2019</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(17,651)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27,945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26,166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(69,539)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96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Due to affiliates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17,680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(24,654)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28,188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(24,746)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25,644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(51,796)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25,644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(44,793)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27,945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26,166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(69,539)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60" w:type="dxa"/>
            <w:vAlign w:val="bottom"/>
            <w:gridSpan w:val="3"/>
          </w:tcPr>
          <w:p>
            <w:pPr>
              <w:jc w:val="right"/>
              <w:ind w:right="411"/>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4"/>
                <w:szCs w:val="1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178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24,686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25,133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(67,031)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98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Due to affiliates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25,120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(24,253)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(49,773)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affiliates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(42,778)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24,686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25,133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(67,031)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Less: Net income (loss) attributable to noncontrolling interests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120" w:type="dxa"/>
            <w:vAlign w:val="bottom"/>
            <w:gridSpan w:val="7"/>
          </w:tcPr>
          <w:p>
            <w:pPr>
              <w:jc w:val="center"/>
              <w:ind w:left="2870"/>
              <w:spacing w:after="0"/>
              <w:rPr>
                <w:sz w:val="20"/>
                <w:szCs w:val="20"/>
                <w:color w:val="auto"/>
              </w:rPr>
            </w:pPr>
            <w:r>
              <w:rPr>
                <w:rFonts w:ascii="Arial" w:cs="Arial" w:eastAsia="Arial" w:hAnsi="Arial"/>
                <w:sz w:val="18"/>
                <w:szCs w:val="18"/>
                <w:b w:val="1"/>
                <w:bCs w:val="1"/>
                <w:color w:val="auto"/>
                <w:w w:val="90"/>
              </w:rPr>
              <w:t>Three Months Ended June 30, 2018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1"/>
                <w:szCs w:val="21"/>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WM</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w w:val="94"/>
              </w:rPr>
              <w:t>Less: Net income (loss) attributable to noncontrolling interests</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4780" w:type="dxa"/>
            <w:vAlign w:val="bottom"/>
            <w:vMerge w:val="restart"/>
          </w:tcPr>
          <w:p>
            <w:pPr>
              <w:jc w:val="center"/>
              <w:ind w:left="4190"/>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1160" w:type="dxa"/>
            <w:vAlign w:val="bottom"/>
            <w:gridSpan w:val="3"/>
          </w:tcPr>
          <w:p>
            <w:pPr>
              <w:jc w:val="center"/>
              <w:ind w:right="160"/>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Guarantor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Holdings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Less: Net income (loss) attributable to noncontrolling</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interests</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060" w:type="dxa"/>
            <w:vAlign w:val="bottom"/>
            <w:gridSpan w:val="10"/>
          </w:tcPr>
          <w:p>
            <w:pPr>
              <w:jc w:val="center"/>
              <w:ind w:left="2910"/>
              <w:spacing w:after="0"/>
              <w:rPr>
                <w:sz w:val="20"/>
                <w:szCs w:val="20"/>
                <w:color w:val="auto"/>
              </w:rPr>
            </w:pPr>
            <w:r>
              <w:rPr>
                <w:rFonts w:ascii="Arial" w:cs="Arial" w:eastAsia="Arial" w:hAnsi="Arial"/>
                <w:sz w:val="18"/>
                <w:szCs w:val="18"/>
                <w:b w:val="1"/>
                <w:bCs w:val="1"/>
                <w:color w:val="auto"/>
                <w:w w:val="89"/>
              </w:rPr>
              <w:t>Six Months Ended June 30,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1"/>
                <w:szCs w:val="21"/>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21"/>
                <w:szCs w:val="21"/>
                <w:color w:val="auto"/>
              </w:rPr>
            </w:pPr>
          </w:p>
        </w:tc>
        <w:tc>
          <w:tcPr>
            <w:tcW w:w="1160" w:type="dxa"/>
            <w:vAlign w:val="bottom"/>
            <w:gridSpan w:val="3"/>
          </w:tcPr>
          <w:p>
            <w:pPr>
              <w:jc w:val="center"/>
              <w:ind w:right="140"/>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Holdings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2"/>
        </w:trPr>
        <w:tc>
          <w:tcPr>
            <w:tcW w:w="4020" w:type="dxa"/>
            <w:vAlign w:val="bottom"/>
          </w:tcPr>
          <w:p>
            <w:pPr>
              <w:ind w:left="120"/>
              <w:spacing w:after="0" w:line="201" w:lineRule="exact"/>
              <w:rPr>
                <w:sz w:val="20"/>
                <w:szCs w:val="20"/>
                <w:color w:val="auto"/>
              </w:rPr>
            </w:pPr>
            <w:r>
              <w:rPr>
                <w:rFonts w:ascii="Arial" w:cs="Arial" w:eastAsia="Arial" w:hAnsi="Arial"/>
                <w:sz w:val="18"/>
                <w:szCs w:val="18"/>
                <w:color w:val="auto"/>
                <w:w w:val="92"/>
              </w:rPr>
              <w:t>Less: Net income (loss) attributable to noncontrolling</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$ 1,073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20" w:type="dxa"/>
            <w:vAlign w:val="bottom"/>
          </w:tcPr>
          <w:p>
            <w:pPr>
              <w:spacing w:after="0"/>
              <w:rPr>
                <w:sz w:val="24"/>
                <w:szCs w:val="24"/>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30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661" w:right="14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Non-Guarantor</w:t>
            </w:r>
          </w:p>
        </w:tc>
        <w:tc>
          <w:tcPr>
            <w:tcW w:w="16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gridSpan w:val="2"/>
          </w:tcPr>
          <w:p>
            <w:pPr>
              <w:jc w:val="right"/>
              <w:ind w:right="1690"/>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Borders>
              <w:top w:val="single" w:sz="8" w:color="auto"/>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2"/>
        </w:trPr>
        <w:tc>
          <w:tcPr>
            <w:tcW w:w="4660" w:type="dxa"/>
            <w:vAlign w:val="bottom"/>
            <w:gridSpan w:val="4"/>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1"/>
              </w:rPr>
              <w:t>Comprehensive income attributable to Waste Management, Inc.</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$ 501</w:t>
            </w:r>
          </w:p>
        </w:tc>
        <w:tc>
          <w:tcPr>
            <w:tcW w:w="2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46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gridSpan w:val="4"/>
          </w:tcPr>
          <w:p>
            <w:pPr>
              <w:spacing w:after="0"/>
              <w:rPr>
                <w:sz w:val="20"/>
                <w:szCs w:val="20"/>
                <w:color w:val="auto"/>
              </w:rPr>
            </w:pPr>
            <w:r>
              <w:rPr>
                <w:rFonts w:ascii="Arial" w:cs="Arial" w:eastAsia="Arial" w:hAnsi="Arial"/>
                <w:sz w:val="18"/>
                <w:szCs w:val="18"/>
                <w:color w:val="auto"/>
                <w:w w:val="91"/>
              </w:rPr>
              <w:t>Comprehensive income attributable to Waste Management, Inc.</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$ 501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24"/>
                <w:szCs w:val="2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24"/>
                <w:szCs w:val="2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Holdings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Six Months Ended June 30:</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w w:val="79"/>
              </w:rPr>
              <w:t>2019</w:t>
            </w:r>
          </w:p>
        </w:tc>
        <w:tc>
          <w:tcPr>
            <w:tcW w:w="2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5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$ 732</w:t>
            </w:r>
          </w:p>
        </w:tc>
        <w:tc>
          <w:tcPr>
            <w:tcW w:w="20" w:type="dxa"/>
            <w:vAlign w:val="bottom"/>
            <w:shd w:val="clear" w:color="auto" w:fill="CCEEFF"/>
          </w:tcPr>
          <w:p>
            <w:pPr>
              <w:spacing w:after="0"/>
              <w:rPr>
                <w:sz w:val="15"/>
                <w:szCs w:val="15"/>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Management, Inc.</w:t>
            </w:r>
          </w:p>
        </w:tc>
        <w:tc>
          <w:tcPr>
            <w:tcW w:w="5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jc w:val="right"/>
              <w:ind w:right="1690"/>
              <w:spacing w:after="0"/>
              <w:rPr>
                <w:sz w:val="20"/>
                <w:szCs w:val="20"/>
                <w:color w:val="auto"/>
              </w:rPr>
            </w:pPr>
            <w:r>
              <w:rPr>
                <w:rFonts w:ascii="Arial" w:cs="Arial" w:eastAsia="Arial" w:hAnsi="Arial"/>
                <w:sz w:val="18"/>
                <w:szCs w:val="18"/>
                <w:b w:val="1"/>
                <w:bCs w:val="1"/>
                <w:color w:val="auto"/>
                <w:w w:val="79"/>
              </w:rPr>
              <w:t>2018</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$ 899</w:t>
            </w: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$ 1,073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gridSpan w:val="3"/>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$ 899</w:t>
            </w:r>
          </w:p>
        </w:tc>
        <w:tc>
          <w:tcPr>
            <w:tcW w:w="20" w:type="dxa"/>
            <w:vAlign w:val="bottom"/>
          </w:tcPr>
          <w:p>
            <w:pPr>
              <w:spacing w:after="0"/>
              <w:rPr>
                <w:sz w:val="15"/>
                <w:szCs w:val="15"/>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$ 1,073</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1,024</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Management, Inc.</w:t>
            </w:r>
          </w:p>
        </w:tc>
        <w:tc>
          <w:tcPr>
            <w:tcW w:w="5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WM(a)</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ind w:left="120"/>
              <w:spacing w:after="0"/>
              <w:rPr>
                <w:sz w:val="20"/>
                <w:szCs w:val="20"/>
                <w:color w:val="auto"/>
              </w:rPr>
            </w:pPr>
            <w:r>
              <w:rPr>
                <w:rFonts w:ascii="Arial" w:cs="Arial" w:eastAsia="Arial" w:hAnsi="Arial"/>
                <w:sz w:val="14"/>
                <w:szCs w:val="14"/>
                <w:b w:val="1"/>
                <w:bCs w:val="1"/>
                <w:color w:val="auto"/>
                <w:w w:val="96"/>
              </w:rPr>
              <w:t>Holdings(a)</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Subsidiaries(a)</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Effect of exchange rate changes on cash, cash</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equivalents and restricted 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Intercompany activity</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Increase (decrease) in cash, cash equivalents and restricted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equivalents at beginning of period</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6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$ 2,200</w:t>
            </w:r>
          </w:p>
        </w:tc>
        <w:tc>
          <w:tcPr>
            <w:tcW w:w="300" w:type="dxa"/>
            <w:vAlign w:val="bottom"/>
            <w:gridSpan w:val="4"/>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equivalents at end of period</w:t>
            </w:r>
          </w:p>
        </w:tc>
        <w:tc>
          <w:tcPr>
            <w:tcW w:w="660" w:type="dxa"/>
            <w:vAlign w:val="bottom"/>
            <w:gridSpan w:val="4"/>
            <w:vMerge w:val="continue"/>
            <w:shd w:val="clear" w:color="auto" w:fill="CCEEFF"/>
          </w:tcPr>
          <w:p>
            <w:pPr>
              <w:spacing w:after="0"/>
              <w:rPr>
                <w:sz w:val="18"/>
                <w:szCs w:val="18"/>
                <w:color w:val="auto"/>
              </w:rPr>
            </w:pPr>
          </w:p>
        </w:tc>
        <w:tc>
          <w:tcPr>
            <w:tcW w:w="300" w:type="dxa"/>
            <w:vAlign w:val="bottom"/>
            <w:gridSpan w:val="4"/>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00" w:type="dxa"/>
            <w:vAlign w:val="bottom"/>
            <w:gridSpan w:val="11"/>
          </w:tcPr>
          <w:p>
            <w:pPr>
              <w:ind w:left="1000"/>
              <w:spacing w:after="0"/>
              <w:rPr>
                <w:sz w:val="20"/>
                <w:szCs w:val="20"/>
                <w:color w:val="auto"/>
              </w:rPr>
            </w:pPr>
            <w:r>
              <w:rPr>
                <w:rFonts w:ascii="Arial" w:cs="Arial" w:eastAsia="Arial" w:hAnsi="Arial"/>
                <w:sz w:val="18"/>
                <w:szCs w:val="18"/>
                <w:b w:val="1"/>
                <w:bCs w:val="1"/>
                <w:color w:val="auto"/>
                <w:w w:val="96"/>
              </w:rPr>
              <w:t>Six Months Ended June 30, 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1"/>
                <w:szCs w:val="2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Holdings(a)</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Subsidiaries(a)</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1,784</w:t>
            </w:r>
          </w:p>
        </w:tc>
        <w:tc>
          <w:tcPr>
            <w:tcW w:w="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8"/>
              </w:rPr>
              <w:t>Effect of exchange rate changes on cash, cash equivalents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restricted 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Intercompany activity</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Increase (decrease) in cash, cash equivalents and restricted</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equivalents at beginning of period</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34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equivalents at end of period</w:t>
            </w:r>
          </w:p>
        </w:tc>
        <w:tc>
          <w:tcPr>
            <w:tcW w:w="340" w:type="dxa"/>
            <w:vAlign w:val="bottom"/>
            <w:gridSpan w:val="3"/>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300" w:type="dxa"/>
            <w:vAlign w:val="bottom"/>
            <w:gridSpan w:val="4"/>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1"/>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Cash, cash equivalents and restricted cash and cash equivalents of WM as of June 30, 2019 include remaining proceeds from our May 2019 issuance of senior notes which are discussed further in Notes 3 and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1" w:right="141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2018.</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commodity price fluctuations; international trade restrictions; disposal alternatives and waste diversion; declining waste volumes; failure to develop and protect new technology; failure of technology to perform as expected; preventing, detecting and addressing cybersecurity incidents; significant environmental or other incidents resulting in liabilities and brand damage; weakness in economic conditions; failure to obtain and maintain necessary permits; labor disruptions; impairment charges; negative outcomes of litigation or governmental proceedings; and other risks discussed in our filings with the SEC, including Part I, Item 1A of our Annual Report on Form 10-K for the year ended December 31, 2018, as updated by our subsequent quarterly reports on Form 10-Q. We assume no obligation to update any forward-looking statement, including financial estimates and forecasts, whether as a result of future events, circumstances or developments or otherwise.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U.S.</w:t>
      </w:r>
    </w:p>
    <w:p>
      <w:pPr>
        <w:spacing w:after="0" w:line="16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 xml:space="preserve">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below.</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We are enabling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Due to this, we monitor these developments to adapt our services offerings. As companies, individuals and communities look for ways to be more sustainable, we are promoting our comprehensive services that go beyond our core business of collecting and disposing of waste in order to meet their needs.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We also encounter competition for acquisitions and growth opportunities. Our industry is directly affected by changes in general economic factors, as increases and decreases in consumer spending, business expansions and construction starts generally correlate to volumes of waste generated and our revenues. Negative economic conditions, in addition to competitor actions, can make it more challenging to negotiate, renew or expand service contracts with acceptable margins and customers may reduce their service needs.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generally favorable macro-economic environment, including steady spending by consumers and businesses and construction starts, has benefited our volume growth and gross margins in recent quarters. We have experienced significant volume growth with existing customers, particularly in our commercial collection business. The volume growth is the result of proactive efforts taken to work with our customers as their needs expand to identify service upgrade opportunities. Our landfill volumes during the first half of 2019 have been favorably impacted by clean-up efforts from natural disasters in California, event-driven projects in our special waste business and growth in our municipal solid waste business. Additionally, our continued focus on developing a sustainable recycling business model that meets customers’ environmental needs by passing through the increasing cost of processing and higher contamination rates led to improved operating results in the second quarter of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4" w:name="page35"/>
    <w:bookmarkEnd w:id="34"/>
    <w:p>
      <w:pPr>
        <w:ind w:left="14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2019, we continued to produce strong operating results from our collection and disposal business, driven by favorable market conditions and our continued focus on delivering an outstanding customer experience and continuous improvement. The Company continued its commitment to supporting both organic and inorganic growth during the second quarter of 2019, allocating $578 million of available cash to capital expenditures and $48 million to the acquisition of solid waste businesses. We also allocated $397 million to our shareholders during the second quarter of 2019 through dividends and common stock repurchases.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680" w:hanging="320"/>
        <w:spacing w:after="0" w:line="259"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of $3,946 million, compared with $3,739 million in the prior year period, an increase of $207 million, or 5.5%. The increase is primarily attributable to (i) higher volumes from favorable market conditions and strong landfill volume growth and (ii) increased yield in our collection and disposal business, partially offset by lower market prices for recycling commodities;</w:t>
      </w:r>
    </w:p>
    <w:p>
      <w:pPr>
        <w:spacing w:after="0" w:line="78" w:lineRule="exact"/>
        <w:rPr>
          <w:rFonts w:ascii="Arial" w:cs="Arial" w:eastAsia="Arial" w:hAnsi="Arial"/>
          <w:sz w:val="18"/>
          <w:szCs w:val="18"/>
          <w:color w:val="auto"/>
        </w:rPr>
      </w:pPr>
    </w:p>
    <w:p>
      <w:pPr>
        <w:jc w:val="both"/>
        <w:ind w:left="680" w:hanging="320"/>
        <w:spacing w:after="0" w:line="279"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Operating expenses of $2,443 million, compared with $2,313 million in the prior year period, remained flat as a percentage of revenues at 61.9% in both periods. The $130 million increase is primarily attributable to higher volumes and cost inflation in the current year period, partially offset by decreased cost of goods sold primarily due to lower market prices for recycling commodities and our cost containment initiatives;</w:t>
      </w:r>
    </w:p>
    <w:p>
      <w:pPr>
        <w:spacing w:after="0" w:line="63" w:lineRule="exact"/>
        <w:rPr>
          <w:rFonts w:ascii="Arial" w:cs="Arial" w:eastAsia="Arial" w:hAnsi="Arial"/>
          <w:sz w:val="17"/>
          <w:szCs w:val="17"/>
          <w:color w:val="auto"/>
        </w:rPr>
      </w:pPr>
    </w:p>
    <w:p>
      <w:pPr>
        <w:jc w:val="both"/>
        <w:ind w:left="680" w:hanging="320"/>
        <w:spacing w:after="0" w:line="259"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expenses were $391 million, or 9.9% of revenues, compared with $365 million, or 9.8% of revenues, in the prior year period. The increase of $26 million is primarily attributable to higher costs associated with planned investments in technology, increased acquisition-related costs and higher incentive compensation;</w:t>
      </w:r>
    </w:p>
    <w:p>
      <w:pPr>
        <w:spacing w:after="0" w:line="78" w:lineRule="exact"/>
        <w:rPr>
          <w:rFonts w:ascii="Arial" w:cs="Arial" w:eastAsia="Arial" w:hAnsi="Arial"/>
          <w:sz w:val="18"/>
          <w:szCs w:val="18"/>
          <w:color w:val="auto"/>
        </w:rPr>
      </w:pPr>
    </w:p>
    <w:p>
      <w:pPr>
        <w:jc w:val="both"/>
        <w:ind w:left="680" w:hanging="320"/>
        <w:spacing w:after="0" w:line="279"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Income from operations was $696 million, or 17.6% of revenues, compared with $715 million, or 19.1% of revenues, in the prior year period. The year-over-year comparison has been affected by net gains of $39 million recognized in 2018 when we sold certain ancillary operations. After considering the impact of the net gains, the current year period growth was driven by strong performance in our collection and disposal business;</w:t>
      </w:r>
    </w:p>
    <w:p>
      <w:pPr>
        <w:spacing w:after="0" w:line="63" w:lineRule="exact"/>
        <w:rPr>
          <w:rFonts w:ascii="Arial" w:cs="Arial" w:eastAsia="Arial" w:hAnsi="Arial"/>
          <w:sz w:val="17"/>
          <w:szCs w:val="17"/>
          <w:color w:val="auto"/>
        </w:rPr>
      </w:pPr>
    </w:p>
    <w:p>
      <w:pPr>
        <w:jc w:val="both"/>
        <w:ind w:left="680" w:hanging="320"/>
        <w:spacing w:after="0" w:line="255"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$381 million, or $0.89 per diluted share, compared with $499 million, or $1.15 per diluted share, in the prior year period. The current year period was impacted by a pre-tax loss of $84 million associated with the early extinguishment of $257 million of certain high-coupon senior notes through a cash tender offer. The prior year period was favorably impacted by the net gains associated with the sale of certain ancillary operations and the settlement of various tax audits, which resulted in a reduction in our income tax expense;</w:t>
      </w:r>
    </w:p>
    <w:p>
      <w:pPr>
        <w:spacing w:after="0" w:line="85"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provided by operating activities was $1,010 million compared with $975 million in the prior year period; and</w:t>
      </w:r>
    </w:p>
    <w:p>
      <w:pPr>
        <w:spacing w:after="0" w:line="62"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Free cash flow was $440 million compared with $621 million in the prior year period. The decrease is primarily associated with increased capital expenditures in the current year period due to an intentional focus on accelerating certain fleet and landfill spending to support the Company’s strong collection and disposal growth and higher proceeds from divestitures of businesses in the prior year period.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organizations, recycling brokerage services, landfill gas-to-energy services and certain other expanded service offerings and solutions. These operations are presented in our “Other” segment in the table below. The following table summarizes revenues during each period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(1,513)</w:t>
            </w:r>
          </w:p>
        </w:tc>
      </w:tr>
      <w:tr>
        <w:trPr>
          <w:trHeight w:val="210"/>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3,946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3,739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Residential</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collection</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Landfill</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Recycling</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3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(1,513)</w:t>
            </w:r>
          </w:p>
        </w:tc>
      </w:tr>
      <w:tr>
        <w:trPr>
          <w:trHeight w:val="210"/>
        </w:trPr>
        <w:tc>
          <w:tcPr>
            <w:tcW w:w="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3,739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80" w:lineRule="exact"/>
        <w:rPr>
          <w:sz w:val="20"/>
          <w:szCs w:val="20"/>
          <w:color w:val="auto"/>
        </w:rPr>
      </w:pPr>
    </w:p>
    <w:p>
      <w:pPr>
        <w:ind w:left="340" w:hanging="331"/>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w:t>
      </w:r>
    </w:p>
    <w:p>
      <w:pPr>
        <w:spacing w:after="0" w:line="23" w:lineRule="exact"/>
        <w:rPr>
          <w:rFonts w:ascii="Arial" w:cs="Arial" w:eastAsia="Arial" w:hAnsi="Arial"/>
          <w:sz w:val="18"/>
          <w:szCs w:val="18"/>
          <w:color w:val="auto"/>
        </w:rPr>
      </w:pPr>
    </w:p>
    <w:p>
      <w:pPr>
        <w:jc w:val="both"/>
        <w:ind w:left="340" w:hanging="7"/>
        <w:spacing w:after="0" w:line="254" w:lineRule="auto"/>
        <w:tabs>
          <w:tab w:leader="none" w:pos="6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w:t>
      </w:r>
    </w:p>
    <w:p>
      <w:pPr>
        <w:spacing w:after="0" w:line="81"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6" w:name="page37"/>
    <w:bookmarkEnd w:id="36"/>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8"/>
          </w:tcPr>
          <w:p>
            <w:pPr>
              <w:jc w:val="center"/>
              <w:ind w:right="670"/>
              <w:spacing w:after="0"/>
              <w:rPr>
                <w:sz w:val="20"/>
                <w:szCs w:val="20"/>
                <w:color w:val="auto"/>
              </w:rPr>
            </w:pPr>
            <w:r>
              <w:rPr>
                <w:rFonts w:ascii="Arial" w:cs="Arial" w:eastAsia="Arial" w:hAnsi="Arial"/>
                <w:sz w:val="14"/>
                <w:szCs w:val="14"/>
                <w:b w:val="1"/>
                <w:bCs w:val="1"/>
                <w:color w:val="auto"/>
                <w:w w:val="94"/>
              </w:rPr>
              <w:t>Period-to-Period Change 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8"/>
          </w:tcPr>
          <w:p>
            <w:pPr>
              <w:jc w:val="center"/>
              <w:ind w:right="49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jc w:val="center"/>
              <w:ind w:left="4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center"/>
              <w:ind w:left="146"/>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left="46"/>
              <w:spacing w:after="0"/>
              <w:rPr>
                <w:sz w:val="20"/>
                <w:szCs w:val="20"/>
                <w:color w:val="auto"/>
              </w:rPr>
            </w:pPr>
            <w:r>
              <w:rPr>
                <w:rFonts w:ascii="Arial" w:cs="Arial" w:eastAsia="Arial" w:hAnsi="Arial"/>
                <w:sz w:val="14"/>
                <w:szCs w:val="14"/>
                <w:b w:val="1"/>
                <w:bCs w:val="1"/>
                <w:color w:val="auto"/>
                <w:w w:val="90"/>
              </w:rPr>
              <w:t>June 30, 2019 vs. 2018</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left="126"/>
              <w:spacing w:after="0"/>
              <w:rPr>
                <w:sz w:val="20"/>
                <w:szCs w:val="20"/>
                <w:color w:val="auto"/>
              </w:rPr>
            </w:pPr>
            <w:r>
              <w:rPr>
                <w:rFonts w:ascii="Arial" w:cs="Arial" w:eastAsia="Arial" w:hAnsi="Arial"/>
                <w:sz w:val="14"/>
                <w:szCs w:val="14"/>
                <w:b w:val="1"/>
                <w:bCs w:val="1"/>
                <w:color w:val="auto"/>
                <w:w w:val="90"/>
              </w:rPr>
              <w:t>June 30, 2019 vs. 2018</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right"/>
              <w:ind w:right="350"/>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right"/>
              <w:ind w:right="365"/>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gridSpan w:val="3"/>
          </w:tcPr>
          <w:p>
            <w:pPr>
              <w:jc w:val="right"/>
              <w:ind w:right="410"/>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gridSpan w:val="3"/>
          </w:tcPr>
          <w:p>
            <w:pPr>
              <w:jc w:val="right"/>
              <w:ind w:right="425"/>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Business(a)    Amount</w:t>
            </w:r>
          </w:p>
        </w:tc>
        <w:tc>
          <w:tcPr>
            <w:tcW w:w="10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Company(b)</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Business(a)    Amount</w:t>
            </w:r>
          </w:p>
        </w:tc>
        <w:tc>
          <w:tcPr>
            <w:tcW w:w="9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 commodities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Fuel surcharges and mandated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fees</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8"/>
                <w:szCs w:val="18"/>
                <w:color w:val="auto"/>
              </w:rPr>
              <w:t>Total average yield (c)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1"/>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40" w:right="260" w:hanging="331"/>
        <w:spacing w:after="0" w:line="530"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7" w:name="page38"/>
    <w:bookmarkEnd w:id="37"/>
    <w:p>
      <w:pPr>
        <w:ind w:left="34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Period-to-Period Change for the</w:t>
            </w:r>
          </w:p>
        </w:tc>
        <w:tc>
          <w:tcPr>
            <w:tcW w:w="230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2"/>
                <w:szCs w:val="12"/>
                <w:color w:val="auto"/>
              </w:rPr>
            </w:pPr>
          </w:p>
        </w:tc>
        <w:tc>
          <w:tcPr>
            <w:tcW w:w="2160" w:type="dxa"/>
            <w:vAlign w:val="bottom"/>
            <w:gridSpan w:val="4"/>
          </w:tcPr>
          <w:p>
            <w:pPr>
              <w:jc w:val="center"/>
              <w:ind w:right="23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0"/>
              </w:rPr>
              <w:t>June 30, 2019 vs. 2018</w:t>
            </w:r>
          </w:p>
        </w:tc>
        <w:tc>
          <w:tcPr>
            <w:tcW w:w="140" w:type="dxa"/>
            <w:vAlign w:val="bottom"/>
          </w:tcPr>
          <w:p>
            <w:pPr>
              <w:spacing w:after="0"/>
              <w:rPr>
                <w:sz w:val="14"/>
                <w:szCs w:val="14"/>
                <w:color w:val="auto"/>
              </w:rPr>
            </w:pPr>
          </w:p>
        </w:tc>
        <w:tc>
          <w:tcPr>
            <w:tcW w:w="216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0"/>
              </w:rPr>
              <w:t>June 30, 2019 vs. 2018</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Related</w:t>
            </w:r>
          </w:p>
        </w:tc>
        <w:tc>
          <w:tcPr>
            <w:tcW w:w="14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10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2.7 %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95"/>
              </w:rPr>
              <w:t>2.7 %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strategic pricing efforts focus on ensuring we overcome inflationary cost pressures and grow margins. This strategy has been most successful in our collection business. We are also experiencing solid growth in our landfill and transfer businesses, with our municipal solid waste business experiencing 3.6% and 3.5% average yield growth for the three and six months ended June 30, 2019, respectively, as compared with the prior year periods.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Recycling Commodities </w:t>
      </w:r>
      <w:r>
        <w:rPr>
          <w:rFonts w:ascii="Arial" w:cs="Arial" w:eastAsia="Arial" w:hAnsi="Arial"/>
          <w:sz w:val="17"/>
          <w:szCs w:val="17"/>
          <w:color w:val="auto"/>
        </w:rPr>
        <w:t>— Decreases in the market prices for recycling commodities resulted in revenue decline of</w:t>
      </w:r>
      <w:r>
        <w:rPr>
          <w:rFonts w:ascii="Arial" w:cs="Arial" w:eastAsia="Arial" w:hAnsi="Arial"/>
          <w:sz w:val="17"/>
          <w:szCs w:val="17"/>
          <w:i w:val="1"/>
          <w:iCs w:val="1"/>
          <w:color w:val="auto"/>
        </w:rPr>
        <w:t xml:space="preserve"> </w:t>
      </w:r>
      <w:r>
        <w:rPr>
          <w:rFonts w:ascii="Arial" w:cs="Arial" w:eastAsia="Arial" w:hAnsi="Arial"/>
          <w:sz w:val="17"/>
          <w:szCs w:val="17"/>
          <w:color w:val="auto"/>
        </w:rPr>
        <w:t>$41 million and $66 million for the three and six months ended June 30, 2019, respectively, as compared with the prior year periods. We partially offset our revenue decline from market prices for recycling commodities by assessing fees to cover the higher costs of handling contaminated recycling materials. Average market prices for recycling commodities at the Company’s facilities were 33% and 30% lower for the three and six months ended June 30, 2019, respectively, as compared with the prior year periods. We have seen a decreased demand from paper mills around the world which has driven prices to historical low averages. The cardboard packaging industry has been impacted by slower global demand, retail store closures and e-commerce packaging efficiency. We expect slower global demand to remain through 2019, which will continue to put downward pressure on average market prices for recycling commodities.</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fees, which are predominantly generated by our fuel surcharge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were flat for the three months and increased for the six months ended June 30, 2019 as compared with the prior year periods. These revenues are based on and fluctuate in response to changes in the national average prices for diesel fuel. The mandated fees are primarily related to fees and taxes assessed by various state, county and municipal government agencies at our landfills and transfer stations. These fees also favorably contributed to our year-over-year revenue growth.</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volumes increased $146 million, or 4.0%, and $263 million, or 3.7%, for the three and six months ended June 30, 2019, respectively, as compared with the prior year periods, excluding volumes from acquisitions and divestitures.</w:t>
      </w:r>
    </w:p>
    <w:p>
      <w:pPr>
        <w:spacing w:after="0" w:line="181" w:lineRule="exact"/>
        <w:rPr>
          <w:sz w:val="20"/>
          <w:szCs w:val="20"/>
          <w:color w:val="auto"/>
        </w:rPr>
      </w:pPr>
    </w:p>
    <w:p>
      <w:pPr>
        <w:jc w:val="both"/>
        <w:ind w:firstLine="259"/>
        <w:spacing w:after="0" w:line="271" w:lineRule="auto"/>
        <w:rPr>
          <w:sz w:val="20"/>
          <w:szCs w:val="20"/>
          <w:color w:val="auto"/>
        </w:rPr>
      </w:pPr>
      <w:r>
        <w:rPr>
          <w:rFonts w:ascii="Arial" w:cs="Arial" w:eastAsia="Arial" w:hAnsi="Arial"/>
          <w:sz w:val="17"/>
          <w:szCs w:val="17"/>
          <w:color w:val="auto"/>
        </w:rPr>
        <w:t>We experienced higher volumes due to favorable market conditions in our collection and disposal business and our focus on customer service and disciplined growth. We have experienced significant volume growth with existing customers, particularly in our commercial collection business. The volume growth is the result of proactive efforts taken to work with our customers as their needs expand to identify service upgrade opportunities. Our landfill volumes during the first half of 2019 have been favorably impacted by clean-up efforts from natural disasters in California, event-driven projects in our special waste business and growth in our municipal solid waste business. Additionally, a large contract executed in the second half of 2017 continues to favorably contribute to increased volume additions at our transfer stations in 2019. Furthermore, we experienced favorable volume growth from our WMSBS organization.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8" w:name="page39"/>
    <w:bookmarkEnd w:id="38"/>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$ 1,370</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$ 1,327</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Subcontractor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Fuel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6"/>
              </w:rPr>
              <w:t>Disposal and franchise fees and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61.9</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61.9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$ 4,741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62.0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increase in volumes in the current year periods, as discussed above in </w:t>
      </w:r>
      <w:r>
        <w:rPr>
          <w:rFonts w:ascii="Arial" w:cs="Arial" w:eastAsia="Arial" w:hAnsi="Arial"/>
          <w:sz w:val="17"/>
          <w:szCs w:val="17"/>
          <w:i w:val="1"/>
          <w:iCs w:val="1"/>
          <w:color w:val="auto"/>
        </w:rPr>
        <w:t>Operating Revenues,</w:t>
      </w:r>
      <w:r>
        <w:rPr>
          <w:rFonts w:ascii="Arial" w:cs="Arial" w:eastAsia="Arial" w:hAnsi="Arial"/>
          <w:sz w:val="17"/>
          <w:szCs w:val="17"/>
          <w:color w:val="auto"/>
        </w:rPr>
        <w:t xml:space="preserve"> affects the comparability of operating expenses primarily in transfer and disposal, subcontractor, and disposal and franchise fees and taxes for the periods presented. In addition, cost inflation affects the comparability of operating expenses.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significant items affecting the comparability of operating expenses for the reported periods include:</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was driven by volume growth in our collection business as well as cost</w:t>
      </w:r>
      <w:r>
        <w:rPr>
          <w:rFonts w:ascii="Arial" w:cs="Arial" w:eastAsia="Arial" w:hAnsi="Arial"/>
          <w:sz w:val="17"/>
          <w:szCs w:val="17"/>
          <w:i w:val="1"/>
          <w:iCs w:val="1"/>
          <w:color w:val="auto"/>
        </w:rPr>
        <w:t xml:space="preserve"> </w:t>
      </w:r>
      <w:r>
        <w:rPr>
          <w:rFonts w:ascii="Arial" w:cs="Arial" w:eastAsia="Arial" w:hAnsi="Arial"/>
          <w:sz w:val="17"/>
          <w:szCs w:val="17"/>
          <w:color w:val="auto"/>
        </w:rPr>
        <w:t>inflation noted above. These cost increases were offset, in part, by lower bonus costs related to a plan established in early 2018 targeted at improving employee retention and one less workday during the first quarter of 2019.</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Maintenance and Repairs </w:t>
      </w:r>
      <w:r>
        <w:rPr>
          <w:rFonts w:ascii="Arial" w:cs="Arial" w:eastAsia="Arial" w:hAnsi="Arial"/>
          <w:sz w:val="17"/>
          <w:szCs w:val="17"/>
          <w:color w:val="auto"/>
        </w:rPr>
        <w:t>— The increase was largely driven by cost inflation noted above which primarily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labor, parts, third-party services, tires and building costs. In addition, for the three and six months ended June 30, 2019, these costs include a $16 million non-cash charge to write off certain equipment costs related to our Other segment.</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was primarily driven by lower market prices for recycling commodities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due to the sale of certain ancillary operations in the second quarter of 2018.</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during the six months ended June 30, 2019 was primarily driven by a $28 million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natural gas fuel credits received in the first quarter of 2018 that did not extend into 2019, partially offset by lower fuel costs.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Landfill Operating Costs </w:t>
      </w:r>
      <w:r>
        <w:rPr>
          <w:rFonts w:ascii="Arial" w:cs="Arial" w:eastAsia="Arial" w:hAnsi="Arial"/>
          <w:sz w:val="17"/>
          <w:szCs w:val="17"/>
          <w:color w:val="auto"/>
        </w:rPr>
        <w:t>— The increase was primarily due to higher leachate management costs driven largely by</w:t>
      </w:r>
      <w:r>
        <w:rPr>
          <w:rFonts w:ascii="Arial" w:cs="Arial" w:eastAsia="Arial" w:hAnsi="Arial"/>
          <w:sz w:val="17"/>
          <w:szCs w:val="17"/>
          <w:i w:val="1"/>
          <w:iCs w:val="1"/>
          <w:color w:val="auto"/>
        </w:rPr>
        <w:t xml:space="preserve"> </w:t>
      </w:r>
      <w:r>
        <w:rPr>
          <w:rFonts w:ascii="Arial" w:cs="Arial" w:eastAsia="Arial" w:hAnsi="Arial"/>
          <w:sz w:val="17"/>
          <w:szCs w:val="17"/>
          <w:color w:val="auto"/>
        </w:rPr>
        <w:t>heavy snow and rain in certain parts of North America. For the three and six months ended June 30, 2019, these costs also include a $7 million charge for the remeasurement of our environmental remediation obligations and recovery assets due to a decrease in U.S. treasury rates, which are used in determining the risk-free discount rate for these balances. See Note 2 to the Condensed Consolidated Financial Statements for additional information.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was primarily the result of higher claims costs in our collection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39" w:name="page40"/>
    <w:bookmarkEnd w:id="39"/>
    <w:p>
      <w:pPr>
        <w:ind w:left="1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20" w:right="20"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6"/>
          </w:tcPr>
          <w:p>
            <w:pPr>
              <w:jc w:val="center"/>
              <w:ind w:left="255"/>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$ 492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Professional fees</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r>
      <w:tr>
        <w:trPr>
          <w:trHeight w:val="210"/>
        </w:trPr>
        <w:tc>
          <w:tcPr>
            <w:tcW w:w="4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$ 391</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$ 738</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40"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20" w:right="40" w:firstLine="324"/>
        <w:spacing w:after="0" w:line="277"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The increase was primarily due to higher incentive compensation in the current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w:t>
      </w:r>
    </w:p>
    <w:p>
      <w:pPr>
        <w:spacing w:after="0" w:line="170" w:lineRule="exact"/>
        <w:rPr>
          <w:sz w:val="20"/>
          <w:szCs w:val="20"/>
          <w:color w:val="auto"/>
        </w:rPr>
      </w:pPr>
    </w:p>
    <w:p>
      <w:pPr>
        <w:jc w:val="both"/>
        <w:ind w:left="20" w:right="20"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was primarily driven by higher consulting fees, largely due to investments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in operating, customer facing and back-office technologies, in addition to acquisition-related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increase was principally driven by higher litigation reserves in the first quarter of 2019.</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20" w:right="20"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(in millions of dollars and as a percentage of revenues):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Depreciation of tangible property and equipment</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$ 221</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$ 212</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$ 434</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$ 416</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$ 409</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$ 384</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$ 775</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10.1</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$ 731</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0" w:firstLine="324"/>
        <w:spacing w:after="0" w:line="257" w:lineRule="auto"/>
        <w:rPr>
          <w:sz w:val="20"/>
          <w:szCs w:val="20"/>
          <w:color w:val="auto"/>
        </w:rPr>
      </w:pPr>
      <w:r>
        <w:rPr>
          <w:rFonts w:ascii="Arial" w:cs="Arial" w:eastAsia="Arial" w:hAnsi="Arial"/>
          <w:sz w:val="18"/>
          <w:szCs w:val="18"/>
          <w:color w:val="auto"/>
        </w:rPr>
        <w:t>The increase in depreciation of tangible property and equipment during the three and six months ended June 30, 2019, compared to the prior year periods, was primarily due to higher capital expenditures in the current year periods due to an intentional focus on accelerating certain fleet and landfill spending to support the Company’s strong collection and disposal growth. The increase in amortization of landfill airspace during the three and six months ended June 30, 2019, compared to the prior year periods, was primarily driven by increased volumes.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six months ended June 30, 2018, we sold certain ancillary operations resulting in net gains of $42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881" w:right="1399" w:bottom="1440" w:gutter="0" w:footer="0" w:header="0"/>
        </w:sectPr>
      </w:pPr>
    </w:p>
    <w:bookmarkStart w:id="40" w:name="page41"/>
    <w:bookmarkEnd w:id="40"/>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7"/>
          </w:tcPr>
          <w:p>
            <w:pPr>
              <w:jc w:val="right"/>
              <w:ind w:right="21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Period-to-Period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w w:val="98"/>
              </w:rPr>
              <w:t>Six Months Ended</w:t>
            </w:r>
          </w:p>
        </w:tc>
        <w:tc>
          <w:tcPr>
            <w:tcW w:w="100" w:type="dxa"/>
            <w:vAlign w:val="bottom"/>
          </w:tcPr>
          <w:p>
            <w:pPr>
              <w:spacing w:after="0"/>
              <w:rPr>
                <w:sz w:val="14"/>
                <w:szCs w:val="14"/>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9.4 %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Tier 3</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1,317</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1,323</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2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19.1</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items affecting income from operations for our segments during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as compared with the prior year periods, are summarized below:</w:t>
      </w:r>
    </w:p>
    <w:p>
      <w:pPr>
        <w:spacing w:after="0" w:line="103" w:lineRule="exact"/>
        <w:rPr>
          <w:sz w:val="20"/>
          <w:szCs w:val="20"/>
          <w:color w:val="auto"/>
        </w:rPr>
      </w:pPr>
    </w:p>
    <w:p>
      <w:pPr>
        <w:jc w:val="both"/>
        <w:ind w:left="680" w:hanging="320"/>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Our collection and disposal business benefited from internal revenue growth. This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was offset, in part, by (i) higher operating costs, driven by increased volumes, cost inflation and leachate management costs and (ii) federal natural gas fuel credits received in the first quarter of 2018 that did not extend into 2019.</w:t>
      </w:r>
    </w:p>
    <w:p>
      <w:pPr>
        <w:spacing w:after="0" w:line="78" w:lineRule="exact"/>
        <w:rPr>
          <w:rFonts w:ascii="Arial" w:cs="Arial" w:eastAsia="Arial" w:hAnsi="Arial"/>
          <w:sz w:val="18"/>
          <w:szCs w:val="18"/>
          <w:color w:val="auto"/>
        </w:rPr>
      </w:pPr>
    </w:p>
    <w:p>
      <w:pPr>
        <w:jc w:val="both"/>
        <w:ind w:left="680" w:hanging="320"/>
        <w:spacing w:after="0" w:line="29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Lower earnings are a result of (i) net gains from divestitures of certain ancillary operations in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periods; (ii) a $16 million non-cash charge to write off certain equipment costs in the current year periods and</w:t>
      </w:r>
    </w:p>
    <w:p>
      <w:pPr>
        <w:ind w:left="1000" w:hanging="316"/>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increases in risk management costs as a result of higher claims costs in our collection business.</w:t>
      </w:r>
    </w:p>
    <w:p>
      <w:pPr>
        <w:spacing w:after="0" w:line="102" w:lineRule="exact"/>
        <w:rPr>
          <w:rFonts w:ascii="Arial" w:cs="Arial" w:eastAsia="Arial" w:hAnsi="Arial"/>
          <w:sz w:val="18"/>
          <w:szCs w:val="18"/>
          <w:color w:val="auto"/>
        </w:rPr>
      </w:pPr>
    </w:p>
    <w:p>
      <w:pPr>
        <w:jc w:val="both"/>
        <w:ind w:left="680" w:hanging="320"/>
        <w:spacing w:after="0" w:line="29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Increased expenses are a result of (i) higher consulting fees, largely due to the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are making in operating, customer facing and back-office technologies; (ii) increased group insurance;</w:t>
      </w:r>
    </w:p>
    <w:p>
      <w:pPr>
        <w:jc w:val="both"/>
        <w:ind w:left="680" w:firstLine="4"/>
        <w:spacing w:after="0" w:line="273" w:lineRule="auto"/>
        <w:tabs>
          <w:tab w:leader="none" w:pos="10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additional litigation reserves; (iv) our preparation efforts in the Advanced Disposal Services, Inc. (“Advanced Disposal”) acquisition and (v) a $7 million charge for the remeasurement of our environmental remediation obligations and recovery assets as discussed in Note 2 to the Condensed Consolidated Financial Statements. Additionally, we recognized higher incentive compensation costs in the first quarter of 2019.</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7"/>
          <w:szCs w:val="17"/>
          <w:color w:val="auto"/>
        </w:rPr>
        <w:t xml:space="preserve">Our interest expense, net was $100 million and $196 million during the three and six months ended June 30, 2019, respectively, compared to $93 million and $184 million during the three and six months ended June 30, 2018, respectively. The increases are due to $2.6 billion of net borrowings (inclusive of net commercial paper repayments), primarily attributable to our issuance of new senior notes, partially offset by related increases in interest income as a result of higher cash and cash equivalents balances. These items are discussed further below in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Also contributing to the year-over-year increases were increased commercial paper borrowings during the first half of 2019 and interest expense related to a low-income housing investment.</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In May 2019, WM issued $4.0 billion of senior notes, which are discussed further below in </w:t>
      </w:r>
      <w:r>
        <w:rPr>
          <w:rFonts w:ascii="Arial" w:cs="Arial" w:eastAsia="Arial" w:hAnsi="Arial"/>
          <w:sz w:val="16"/>
          <w:szCs w:val="16"/>
          <w:i w:val="1"/>
          <w:iCs w:val="1"/>
          <w:color w:val="auto"/>
        </w:rPr>
        <w:t>Summary of Cash and Cash</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Equivalents, Restricted Trust and Escrow Accounts and Debt Obligations</w:t>
      </w:r>
      <w:r>
        <w:rPr>
          <w:rFonts w:ascii="Arial" w:cs="Arial" w:eastAsia="Arial" w:hAnsi="Arial"/>
          <w:sz w:val="17"/>
          <w:szCs w:val="17"/>
          <w:color w:val="auto"/>
        </w:rPr>
        <w:t>. Concurrently, we used $344 million of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newly issued senior notes to retire $257 million of certain high-coupon senior notes. The cash paid includes the principal amount of the debt retired, $84 million of related premiums, which are classified as loss on early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color w:val="auto"/>
        </w:rPr>
        <w:t>extinguishment of debt in our Condensed Consolidated Statement of Operations, and $3 million of accrued interest. The principal amount of senior notes redeemed within each series was as follows:</w:t>
      </w:r>
    </w:p>
    <w:p>
      <w:pPr>
        <w:spacing w:after="0" w:line="62" w:lineRule="exact"/>
        <w:rPr>
          <w:sz w:val="20"/>
          <w:szCs w:val="20"/>
          <w:color w:val="auto"/>
        </w:rPr>
      </w:pPr>
    </w:p>
    <w:p>
      <w:pPr>
        <w:ind w:left="940" w:hanging="32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$304 million of WM Holdings 7.10% senior notes due 2026, of which $56 million were tendered;</w:t>
      </w:r>
    </w:p>
    <w:p>
      <w:pPr>
        <w:spacing w:after="0" w:line="11" w:lineRule="exact"/>
        <w:rPr>
          <w:rFonts w:ascii="Arial" w:cs="Arial" w:eastAsia="Arial" w:hAnsi="Arial"/>
          <w:sz w:val="18"/>
          <w:szCs w:val="18"/>
          <w:color w:val="auto"/>
        </w:rPr>
      </w:pPr>
    </w:p>
    <w:p>
      <w:pPr>
        <w:ind w:left="940" w:hanging="323"/>
        <w:spacing w:after="0" w:line="234"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$395 million of WM 7.00% senior notes due 2028, of which $64 million were tendered;</w:t>
      </w:r>
    </w:p>
    <w:p>
      <w:pPr>
        <w:ind w:left="940" w:hanging="323"/>
        <w:spacing w:after="0" w:line="234"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$139 million of WM 7.375% senior notes due 2029, of which $58 million were tendered;</w:t>
      </w:r>
    </w:p>
    <w:p>
      <w:pPr>
        <w:ind w:left="940" w:hanging="323"/>
        <w:spacing w:after="0" w:line="234"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$210 million of WM 7.75% senior notes due 2032, of which $57 million were tendered; and</w:t>
      </w:r>
    </w:p>
    <w:p>
      <w:pPr>
        <w:ind w:left="940" w:hanging="323"/>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$274 million of WM 6.125% senior notes due 2039, of which $22 million were tendered.</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2019, we recognized a $52 million impairment charge related to our minority-owned investment in a waste conversion technology business. We wrote down our investment to its estimated fair value 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Our income tax expense was $115 million and $230 million for the three and six months ended June 30, 2019, respectively, compared to $110 million and $226 million for the three and six months ended June 30, 2018, respectively. Our effective income tax rate was 23.3% and 24.0% for the three and six months ended June 30, 2019, respectively, compared to 18.1% and 20.2% for the three and six months ended June 30, 2018, respectively. The increase in our effective income tax rate when comparing the three and six months ended June 30, 2019 with the prior year periods is due to a $33 million income tax benefit related to the settlement of various tax audits during 2018 and a $52 million impairment charge in the first quarter of 2019 which was not deductible for tax purposes. See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above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42" w:name="page43"/>
    <w:bookmarkEnd w:id="42"/>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Insurance reserves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Current portion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1"/>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$70 million as of June 30, 2019 and December 31, 2018 in other current assets in our Condensed Consolidated Balance Sheets.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at June 30, 2019, include a portion of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2019 issuance of $4.0 billion of senior notes, which is discussed further below and in Note 3 to the Condensed Consolidated Financial Statements.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Debt — </w:t>
      </w:r>
      <w:r>
        <w:rPr>
          <w:rFonts w:ascii="Arial" w:cs="Arial" w:eastAsia="Arial" w:hAnsi="Arial"/>
          <w:sz w:val="18"/>
          <w:szCs w:val="18"/>
          <w:color w:val="auto"/>
        </w:rPr>
        <w:t>As of June 30, 2019, we had $1.2 billion of debt maturing within the next 12 months, including (i) $600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4.75% senior notes that mature in June 2020; (ii) $524 million of tax-exempt bonds with term interest rate periods that expire within the next 12 months, which is prior to their scheduled maturities, and (iii) $116 million of other debt with scheduled maturities within the next 12 months, including $42 million of tax-exempt bonds. As of June 30, 2019, we have classified $1.1 billion of debt maturing in the next 12 months as long-term because we have the intent and ability to refinance these borrowings on a long-term basis as supported by the forecasted available capacity under our $2.75 billion long-term U.S. and Canadian revolving credit facility (“$2.75 billion revolving credit facility”). The remaining $116 million is classified as current obligations.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May 2019, WM issued $4.0 billion of senior notes consisting of:</w:t>
      </w:r>
    </w:p>
    <w:p>
      <w:pPr>
        <w:spacing w:after="0" w:line="117" w:lineRule="exact"/>
        <w:rPr>
          <w:sz w:val="20"/>
          <w:szCs w:val="20"/>
          <w:color w:val="auto"/>
        </w:rPr>
      </w:pP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 million of 2.95% senior notes due June 15, 2024;</w:t>
      </w:r>
    </w:p>
    <w:p>
      <w:pPr>
        <w:spacing w:after="0" w:line="11" w:lineRule="exact"/>
        <w:rPr>
          <w:rFonts w:ascii="Arial" w:cs="Arial" w:eastAsia="Arial" w:hAnsi="Arial"/>
          <w:sz w:val="18"/>
          <w:szCs w:val="18"/>
          <w:color w:val="auto"/>
        </w:rPr>
      </w:pPr>
    </w:p>
    <w:p>
      <w:pPr>
        <w:ind w:left="1000" w:hanging="316"/>
        <w:spacing w:after="0" w:line="23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 million of 3.20% senior notes due June 15, 2026;</w:t>
      </w:r>
    </w:p>
    <w:p>
      <w:pPr>
        <w:ind w:left="1000" w:hanging="316"/>
        <w:spacing w:after="0" w:line="23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billion of 3.45% senior notes due June 15, 2029;</w:t>
      </w:r>
    </w:p>
    <w:p>
      <w:pPr>
        <w:ind w:left="1000" w:hanging="316"/>
        <w:spacing w:after="0" w:line="23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$500 million of 4.00% senior notes due July 15, 2039; and</w:t>
      </w: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billion of 4.15% senior notes due July 15, 2049.</w:t>
      </w:r>
    </w:p>
    <w:p>
      <w:pPr>
        <w:spacing w:after="0" w:line="182"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auto"/>
        </w:rPr>
        <w:t xml:space="preserve">The net proceeds from these debt issuances were $3.97 billion. Concurrently, we used $344 million of the net proceeds from the newly issued senior notes to retire $257 million of certain high-coupon senior notes. The cash paid includes the principal amount of the debt retired, $84 million of related premiums and $3 million of accrued interest as discussed above in </w:t>
      </w:r>
      <w:r>
        <w:rPr>
          <w:rFonts w:ascii="Arial" w:cs="Arial" w:eastAsia="Arial" w:hAnsi="Arial"/>
          <w:sz w:val="16"/>
          <w:szCs w:val="16"/>
          <w:i w:val="1"/>
          <w:iCs w:val="1"/>
          <w:color w:val="auto"/>
        </w:rPr>
        <w:t>Loss on Early Extinguishment of Debt</w:t>
      </w:r>
      <w:r>
        <w:rPr>
          <w:rFonts w:ascii="Arial" w:cs="Arial" w:eastAsia="Arial" w:hAnsi="Arial"/>
          <w:sz w:val="16"/>
          <w:szCs w:val="16"/>
          <w:color w:val="auto"/>
        </w:rPr>
        <w:t>. We used a portion of the proceeds to repay our commercial paper borrowings.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intend to use the remaining net proceeds to pay a portion of the consideration related to our pending acquisition of Advanced Disposal, which is discussed in </w:t>
      </w:r>
      <w:r>
        <w:rPr>
          <w:rFonts w:ascii="Arial" w:cs="Arial" w:eastAsia="Arial" w:hAnsi="Arial"/>
          <w:sz w:val="16"/>
          <w:szCs w:val="16"/>
          <w:i w:val="1"/>
          <w:iCs w:val="1"/>
          <w:color w:val="auto"/>
        </w:rPr>
        <w:t>Pending Acquisition</w:t>
      </w:r>
      <w:r>
        <w:rPr>
          <w:rFonts w:ascii="Arial" w:cs="Arial" w:eastAsia="Arial" w:hAnsi="Arial"/>
          <w:sz w:val="16"/>
          <w:szCs w:val="16"/>
          <w:color w:val="auto"/>
        </w:rPr>
        <w:t xml:space="preserve"> below, and for general corporate purposes.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3 to the Condensed Consolidated Financial Statements for more information related to the debt transactions.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sectPr>
      </w:pPr>
    </w:p>
    <w:bookmarkStart w:id="43" w:name="page44"/>
    <w:bookmarkEnd w:id="43"/>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flows (in millions):</w:t>
      </w:r>
    </w:p>
    <w:p>
      <w:pPr>
        <w:spacing w:after="0" w:line="122"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Six Months Ended</w:t>
      </w:r>
    </w:p>
    <w:p>
      <w:pPr>
        <w:jc w:val="center"/>
        <w:ind w:left="70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(1,565)</w:t>
            </w:r>
          </w:p>
        </w:tc>
        <w:tc>
          <w:tcPr>
            <w:tcW w:w="20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$116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compared with the prior year period, as a result of (i) higher earnings primarily associated with our collection and disposal business in the current year period and (ii) net favorable changes in our operating assets and liabilities, net of effects of acquisitions and divestitures; offset slightly by higher tax and interest payments in the current year period.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and 2018 are summarized below:</w:t>
      </w:r>
    </w:p>
    <w:p>
      <w:pPr>
        <w:spacing w:after="0" w:line="170" w:lineRule="exact"/>
        <w:rPr>
          <w:sz w:val="20"/>
          <w:szCs w:val="20"/>
          <w:color w:val="auto"/>
        </w:rPr>
      </w:pPr>
    </w:p>
    <w:p>
      <w:pPr>
        <w:jc w:val="both"/>
        <w:ind w:left="680" w:hanging="320"/>
        <w:spacing w:after="0" w:line="25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spent $440 million and $263 million for acquisitions during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respectively, related to our Solid Waste business. These amounts exclude cash used in financing and operating activities related to the timing of contingent consideration paid. Our acquisition spending in 2019 is primarily attributable to Petro Waste Environmental LP, which is discussed further in Note 9 to the Condensed Consolidated Financial Statements.</w:t>
      </w:r>
    </w:p>
    <w:p>
      <w:pPr>
        <w:spacing w:after="0" w:line="188" w:lineRule="exact"/>
        <w:rPr>
          <w:rFonts w:ascii="Arial" w:cs="Arial" w:eastAsia="Arial" w:hAnsi="Arial"/>
          <w:sz w:val="18"/>
          <w:szCs w:val="18"/>
          <w:color w:val="auto"/>
        </w:rPr>
      </w:pPr>
    </w:p>
    <w:p>
      <w:pPr>
        <w:jc w:val="both"/>
        <w:ind w:left="680" w:hanging="320"/>
        <w:spacing w:after="0" w:line="286"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$1,049 million and $836 million for capital expenditures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and 2018, respectively. The increase is primarily due to an intentional focus on accelerating certain fleet and landfill spending to support the Company’s strong collection and disposal growth.</w:t>
      </w:r>
    </w:p>
    <w:p>
      <w:pPr>
        <w:spacing w:after="0" w:line="165" w:lineRule="exact"/>
        <w:rPr>
          <w:rFonts w:ascii="Arial" w:cs="Arial" w:eastAsia="Arial" w:hAnsi="Arial"/>
          <w:sz w:val="17"/>
          <w:szCs w:val="17"/>
          <w:color w:val="auto"/>
        </w:rPr>
      </w:pPr>
    </w:p>
    <w:p>
      <w:pPr>
        <w:jc w:val="both"/>
        <w:ind w:left="680" w:hanging="320"/>
        <w:spacing w:after="0" w:line="297"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Other, Net — </w:t>
      </w:r>
      <w:r>
        <w:rPr>
          <w:rFonts w:ascii="Arial" w:cs="Arial" w:eastAsia="Arial" w:hAnsi="Arial"/>
          <w:sz w:val="16"/>
          <w:szCs w:val="16"/>
          <w:color w:val="auto"/>
        </w:rPr>
        <w:t>We used $96 million of cash for other investing activities during the six months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primarily related to changes in our investments portfolio associated with a wholly-owned insurance captive from restricted cash and cash equivalents to available-for-sale securities. This was partially offset by cash proceeds from the redemption of our preferred stock received in conjunction with the 2014 sale of our Puerto Rico operations, which is discussed in Note 13 to the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sectPr>
      </w:pPr>
    </w:p>
    <w:bookmarkStart w:id="44" w:name="page45"/>
    <w:bookmarkEnd w:id="44"/>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six months ended June 30, 2019 and 2018 are summarized below:</w:t>
      </w:r>
    </w:p>
    <w:p>
      <w:pPr>
        <w:spacing w:after="0" w:line="62" w:lineRule="exact"/>
        <w:rPr>
          <w:sz w:val="20"/>
          <w:szCs w:val="20"/>
          <w:color w:val="auto"/>
        </w:rPr>
      </w:pPr>
    </w:p>
    <w:p>
      <w:pPr>
        <w:ind w:left="680" w:hanging="320"/>
        <w:spacing w:after="0" w:line="308" w:lineRule="auto"/>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six months ended June 30 (in millions):</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26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26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226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Net cash borrowings (repayments)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2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9"/>
        </w:trPr>
        <w:tc>
          <w:tcPr>
            <w:tcW w:w="226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Our revolving credit facility was amended and restated in June 2018.</w:t>
      </w:r>
    </w:p>
    <w:p>
      <w:pPr>
        <w:spacing w:after="0" w:line="11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680" w:hanging="320"/>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During the six months ended June 30, 2019, we paid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of $84 million to retire certain high-coupon senior notes. See Note 3 to the Condensed Consolidated Financial Statements for further discussion of this transaction.</w:t>
      </w:r>
    </w:p>
    <w:p>
      <w:pPr>
        <w:spacing w:after="0" w:line="73" w:lineRule="exact"/>
        <w:rPr>
          <w:rFonts w:ascii="Arial" w:cs="Arial" w:eastAsia="Arial" w:hAnsi="Arial"/>
          <w:sz w:val="18"/>
          <w:szCs w:val="18"/>
          <w:color w:val="auto"/>
        </w:rPr>
      </w:pPr>
    </w:p>
    <w:p>
      <w:pPr>
        <w:jc w:val="both"/>
        <w:ind w:left="680" w:hanging="320"/>
        <w:spacing w:after="0" w:line="25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During the six months ended June 30, 2019 and 2018, we made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$1,001 million and had net cash borrowings of $443 million (net of the related discount on issuance), respectively, under our commercial paper program. We repaid the outstanding balance in the second quarter of 2019 with proceeds from the May 2019 issuance of senior notes discussed above. Borrowings incurred in 2019 were primarily to support acquisitions and for general corporate purposes.</w:t>
      </w:r>
    </w:p>
    <w:p>
      <w:pPr>
        <w:spacing w:after="0" w:line="80" w:lineRule="exact"/>
        <w:rPr>
          <w:rFonts w:ascii="Arial" w:cs="Arial" w:eastAsia="Arial" w:hAnsi="Arial"/>
          <w:sz w:val="18"/>
          <w:szCs w:val="18"/>
          <w:color w:val="auto"/>
        </w:rPr>
      </w:pPr>
    </w:p>
    <w:p>
      <w:pPr>
        <w:jc w:val="both"/>
        <w:ind w:left="680" w:hanging="320"/>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During the six months ended June 30, 2019, we repurchased $244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which includes $180 million related to the May 2019 accelerated share repurchase agreement and $64 million in open market transactions. We also paid $4 million related to share repurchases executed in December 2018. We expect these 2019 share repurchases to achieve the intended share count reduction to offset dilution from our stock-based compensation plans. During the six months ended June 30, 2018, we repurchased $550 million of our common stock. See Note 12 to the Condensed Consolidated Financial Statements for additional information.</w:t>
      </w:r>
    </w:p>
    <w:p>
      <w:pPr>
        <w:spacing w:after="0" w:line="8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As a result of the pending acquisition of Advanced Disposal discussed in </w:t>
      </w:r>
      <w:r>
        <w:rPr>
          <w:rFonts w:ascii="Arial" w:cs="Arial" w:eastAsia="Arial" w:hAnsi="Arial"/>
          <w:sz w:val="18"/>
          <w:szCs w:val="18"/>
          <w:i w:val="1"/>
          <w:iCs w:val="1"/>
          <w:color w:val="auto"/>
        </w:rPr>
        <w:t>Pending Acquisition</w:t>
      </w:r>
      <w:r>
        <w:rPr>
          <w:rFonts w:ascii="Arial" w:cs="Arial" w:eastAsia="Arial" w:hAnsi="Arial"/>
          <w:sz w:val="18"/>
          <w:szCs w:val="18"/>
          <w:color w:val="auto"/>
        </w:rPr>
        <w:t xml:space="preserve"> below, we do not expect additional share repurchases in 2019.</w:t>
      </w:r>
    </w:p>
    <w:p>
      <w:pPr>
        <w:spacing w:after="0" w:line="62" w:lineRule="exact"/>
        <w:rPr>
          <w:sz w:val="20"/>
          <w:szCs w:val="20"/>
          <w:color w:val="auto"/>
        </w:rPr>
      </w:pPr>
    </w:p>
    <w:p>
      <w:pPr>
        <w:ind w:left="680" w:hanging="320"/>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paid cash dividends of $440 million and $406 million during the six months ended June 30, 2019 and 2018, respectively. The increase in dividend payments is primarily due to our quarterly per share dividend increasing from $0.465 in 2018 to $0.5125 in 2019 offset, in part, by a reduction in our common stock outstanding during 2019 as a result of our common stock repurchase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45" w:name="page46"/>
    <w:bookmarkEnd w:id="45"/>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divested)</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1,044</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14, 2019, we entered into an Agreement and Plan of Merger (the “Merger Agreement”) to acquire all outstanding shares of Advanced Disposal for $33.15 per share in cash, representing a total enterprise value of $4.9 billion when including approximately $1.9 billion of Advanced Disposal’s net debt. Advanced Disposal’s solid waste network includes 95 collection operations, 73 transfer stations, 41 owned or operated landfills and 22 owned or operated recycling facilities. The transaction is expected to close during the first quarter of 2020, subject to the satisfaction of customary closing conditions, including regulatory approvals. On June 28, 2019, Advanced Disposal announced that 85.9% of the outstanding shares of its common stock entitled to vote were voted in favor of the proposal to adopt the Merger Agreement at a special meeting of stockholders held that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2018. Actual results could differ materially from the estimates and assumptions that we use in the preparation of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June 30, 2019, nor are they expected to have a material impact on our future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about market risks as of June 30, 2019 does not differ materially from that discussed under Item 7A in our Annual Report on Form 10-K for the year ended December 31, 2018.</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2019 (the end of the period covered by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2019. We determined that there were no changes in our internal control over financial reporting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2" w:right="141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2018 and in Part II, Item 1A of our Quarterly Report on Form 10-Q for the quarter ended March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common stock repurchases made during the second quarter of 2019 (shares in millions):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30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1.5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May 1 — 31</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109.59</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980"/>
              <w:spacing w:after="0"/>
              <w:rPr>
                <w:sz w:val="20"/>
                <w:szCs w:val="20"/>
                <w:color w:val="auto"/>
              </w:rPr>
            </w:pPr>
            <w:r>
              <w:rPr>
                <w:rFonts w:ascii="Arial" w:cs="Arial" w:eastAsia="Arial" w:hAnsi="Arial"/>
                <w:sz w:val="18"/>
                <w:szCs w:val="18"/>
                <w:color w:val="auto"/>
              </w:rPr>
              <w:t>1.3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1.3 billion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109.59</w:t>
            </w:r>
          </w:p>
        </w:tc>
        <w:tc>
          <w:tcPr>
            <w:tcW w:w="3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2019, we entered into an accelerated share repurchase (“ASR”) agreement to repurchase $180 million of our common stock. At the beginning of the repurchase period, we delivered $180 million cash and received 1.3 million shares based on a stock price of $109.59.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by September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8" w:right="14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8"/>
        </w:trPr>
        <w:tc>
          <w:tcPr>
            <w:tcW w:w="1180" w:type="dxa"/>
            <w:vAlign w:val="bottom"/>
            <w:gridSpan w:val="4"/>
          </w:tcPr>
          <w:p>
            <w:pPr>
              <w:spacing w:after="0"/>
              <w:rPr>
                <w:sz w:val="20"/>
                <w:szCs w:val="20"/>
                <w:color w:val="auto"/>
              </w:rPr>
            </w:pPr>
            <w:r>
              <w:rPr>
                <w:rFonts w:ascii="Arial" w:cs="Arial" w:eastAsia="Arial" w:hAnsi="Arial"/>
                <w:sz w:val="16"/>
                <w:szCs w:val="16"/>
                <w:b w:val="1"/>
                <w:bCs w:val="1"/>
                <w:color w:val="auto"/>
                <w:w w:val="95"/>
              </w:rPr>
              <w:t xml:space="preserve">Item 6. </w:t>
            </w:r>
            <w:r>
              <w:rPr>
                <w:rFonts w:ascii="Arial" w:cs="Arial" w:eastAsia="Arial" w:hAnsi="Arial"/>
                <w:sz w:val="16"/>
                <w:szCs w:val="16"/>
                <w:b w:val="1"/>
                <w:bCs w:val="1"/>
                <w:i w:val="1"/>
                <w:iCs w:val="1"/>
                <w:color w:val="auto"/>
                <w:w w:val="95"/>
              </w:rPr>
              <w:t>Exhibits.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8"/>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60" w:type="dxa"/>
            <w:vAlign w:val="bottom"/>
            <w:tcBorders>
              <w:top w:val="single" w:sz="8" w:color="auto"/>
              <w:bottom w:val="single" w:sz="8" w:color="0000EE"/>
            </w:tcBorders>
            <w:gridSpan w:val="12"/>
          </w:tcPr>
          <w:p>
            <w:pPr>
              <w:spacing w:after="0" w:line="170"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Agreement and Plan of Merger dated April 14, 2019 by and among WM, Everglades Merger Sub Inc., and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r:id="rId55">
              <w:r>
                <w:rPr>
                  <w:rFonts w:ascii="Arial" w:cs="Arial" w:eastAsia="Arial" w:hAnsi="Arial"/>
                  <w:sz w:val="18"/>
                  <w:szCs w:val="18"/>
                  <w:color w:val="0000EE"/>
                  <w:w w:val="98"/>
                </w:rPr>
                <w:t>Advanced Disposal Services, Inc. [incorporated by reference to Exhibit 2.1 to Form 8-K filed April 15,</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2019] (pursuant to Item 601(b)(2) of Regulation S-K, exhibits and schedules to the Agreement and Plan of</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Merger have been omitted and will be supplementally provided to the SEC upon request).</w:t>
              </w:r>
            </w:hyperlink>
          </w:p>
        </w:tc>
        <w:tc>
          <w:tcPr>
            <w:tcW w:w="14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Voting Agreement dated April 14, 2019 by and between WM and Canada Pension Plan Investment Board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[incorporated by reference to Exhibit 2.2 to Form 8-K filed April 15, 2019].</w:t>
              </w:r>
            </w:hyperlink>
          </w:p>
        </w:tc>
        <w:tc>
          <w:tcPr>
            <w:tcW w:w="24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Officers’ Certificate delivered pursuant to Section 301 of the Indenture establishing the terms and form of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w:t>
              </w:r>
              <w:r>
                <w:rPr>
                  <w:rFonts w:ascii="Arial" w:cs="Arial" w:eastAsia="Arial" w:hAnsi="Arial"/>
                  <w:sz w:val="18"/>
                  <w:szCs w:val="18"/>
                  <w:u w:val="single" w:color="auto"/>
                  <w:color w:val="0000EE"/>
                </w:rPr>
                <w:t>950%</w:t>
              </w:r>
              <w:r>
                <w:rPr>
                  <w:rFonts w:ascii="Arial" w:cs="Arial" w:eastAsia="Arial" w:hAnsi="Arial"/>
                  <w:sz w:val="18"/>
                  <w:szCs w:val="18"/>
                  <w:color w:val="0000EE"/>
                </w:rPr>
                <w:t xml:space="preserve"> Senior Notes due 2024.</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Officers’ Certificate delivered pursuant to Section 301 of the Indenture establishing the terms and form of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3.</w:t>
              </w:r>
              <w:r>
                <w:rPr>
                  <w:rFonts w:ascii="Arial" w:cs="Arial" w:eastAsia="Arial" w:hAnsi="Arial"/>
                  <w:sz w:val="18"/>
                  <w:szCs w:val="18"/>
                  <w:u w:val="single" w:color="auto"/>
                  <w:color w:val="0000EE"/>
                </w:rPr>
                <w:t>200%</w:t>
              </w:r>
              <w:r>
                <w:rPr>
                  <w:rFonts w:ascii="Arial" w:cs="Arial" w:eastAsia="Arial" w:hAnsi="Arial"/>
                  <w:sz w:val="18"/>
                  <w:szCs w:val="18"/>
                  <w:color w:val="0000EE"/>
                </w:rPr>
                <w:t xml:space="preserve"> Senior Notes due 2026.</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Officers’ Certificate delivered pursuant to Section 301 of the Indenture establishing the terms and form of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3.</w:t>
              </w:r>
              <w:r>
                <w:rPr>
                  <w:rFonts w:ascii="Arial" w:cs="Arial" w:eastAsia="Arial" w:hAnsi="Arial"/>
                  <w:sz w:val="18"/>
                  <w:szCs w:val="18"/>
                  <w:u w:val="single" w:color="auto"/>
                  <w:color w:val="0000EE"/>
                </w:rPr>
                <w:t>450%</w:t>
              </w:r>
              <w:r>
                <w:rPr>
                  <w:rFonts w:ascii="Arial" w:cs="Arial" w:eastAsia="Arial" w:hAnsi="Arial"/>
                  <w:sz w:val="18"/>
                  <w:szCs w:val="18"/>
                  <w:color w:val="0000EE"/>
                </w:rPr>
                <w:t xml:space="preserve"> Senior Notes due 2029.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Officers’ Certificate delivered pursuant to Section 301 of the Indenture establishing the terms and form of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4.</w:t>
              </w:r>
              <w:r>
                <w:rPr>
                  <w:rFonts w:ascii="Arial" w:cs="Arial" w:eastAsia="Arial" w:hAnsi="Arial"/>
                  <w:sz w:val="18"/>
                  <w:szCs w:val="18"/>
                  <w:u w:val="single" w:color="auto"/>
                  <w:color w:val="0000EE"/>
                </w:rPr>
                <w:t>000%</w:t>
              </w:r>
              <w:r>
                <w:rPr>
                  <w:rFonts w:ascii="Arial" w:cs="Arial" w:eastAsia="Arial" w:hAnsi="Arial"/>
                  <w:sz w:val="18"/>
                  <w:szCs w:val="18"/>
                  <w:color w:val="0000EE"/>
                </w:rPr>
                <w:t xml:space="preserve"> Senior Notes due 2039.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Officers’ Certificate delivered pursuant to Section 301 of the Indenture establishing the terms and form of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4.</w:t>
              </w:r>
              <w:r>
                <w:rPr>
                  <w:rFonts w:ascii="Arial" w:cs="Arial" w:eastAsia="Arial" w:hAnsi="Arial"/>
                  <w:sz w:val="18"/>
                  <w:szCs w:val="18"/>
                  <w:u w:val="single" w:color="auto"/>
                  <w:color w:val="0000EE"/>
                </w:rPr>
                <w:t>150%</w:t>
              </w:r>
              <w:r>
                <w:rPr>
                  <w:rFonts w:ascii="Arial" w:cs="Arial" w:eastAsia="Arial" w:hAnsi="Arial"/>
                  <w:sz w:val="18"/>
                  <w:szCs w:val="18"/>
                  <w:color w:val="0000EE"/>
                </w:rPr>
                <w:t xml:space="preserve"> Senior Notes due 2049.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Guarantee Agreement by WM Holdings in favor of the holders of WM’s 2.950% Senior Notes due 2024.</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5"/>
              </w:rPr>
            </w:pPr>
            <w:hyperlink w:anchor="page145">
              <w:r>
                <w:rPr>
                  <w:rFonts w:ascii="Arial" w:cs="Arial" w:eastAsia="Arial" w:hAnsi="Arial"/>
                  <w:sz w:val="18"/>
                  <w:szCs w:val="18"/>
                  <w:color w:val="0000EE"/>
                  <w:w w:val="95"/>
                </w:rPr>
                <w:t>Guarantee Agreement by WM Holdings in favor of the holders of WM’s 3.200% Senior Notes due 2026.</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5"/>
              </w:rPr>
            </w:pPr>
            <w:hyperlink w:anchor="page149">
              <w:r>
                <w:rPr>
                  <w:rFonts w:ascii="Arial" w:cs="Arial" w:eastAsia="Arial" w:hAnsi="Arial"/>
                  <w:sz w:val="18"/>
                  <w:szCs w:val="18"/>
                  <w:color w:val="0000EE"/>
                  <w:w w:val="95"/>
                </w:rPr>
                <w:t>Guarantee Agreement by WM Holdings in favor of the holders of WM’s 3.450% Senior Notes due 2029.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Guarantee Agreement by WM Holdings in favor of the holders of WM’s 4.000% Senior Notes due 2039.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5"/>
              </w:rPr>
            </w:pPr>
            <w:hyperlink w:anchor="page157">
              <w:r>
                <w:rPr>
                  <w:rFonts w:ascii="Arial" w:cs="Arial" w:eastAsia="Arial" w:hAnsi="Arial"/>
                  <w:sz w:val="18"/>
                  <w:szCs w:val="18"/>
                  <w:color w:val="0000EE"/>
                  <w:w w:val="95"/>
                </w:rPr>
                <w:t>Guarantee Agreement by WM Holdings in favor of the holders of WM’s 4.150% Senior Notes due 2049.</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amended, of James C. Fish, Jr., President and Chief Executive Officer.</w:t>
              </w:r>
            </w:hyperlink>
          </w:p>
        </w:tc>
        <w:tc>
          <w:tcPr>
            <w:tcW w:w="28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7"/>
              </w:rPr>
            </w:pPr>
            <w:hyperlink w:anchor="page162">
              <w:r>
                <w:rPr>
                  <w:rFonts w:ascii="Arial" w:cs="Arial" w:eastAsia="Arial" w:hAnsi="Arial"/>
                  <w:sz w:val="18"/>
                  <w:szCs w:val="18"/>
                  <w:color w:val="0000EE"/>
                  <w:w w:val="97"/>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amended, of Devina A. Rankin, Senior Vice President and Chief Financial Officer.</w:t>
              </w:r>
            </w:hyperlink>
          </w:p>
        </w:tc>
        <w:tc>
          <w:tcPr>
            <w:tcW w:w="20" w:type="dxa"/>
            <w:vAlign w:val="bottom"/>
          </w:tcPr>
          <w:p>
            <w:pPr>
              <w:spacing w:after="0"/>
              <w:rPr>
                <w:sz w:val="17"/>
                <w:szCs w:val="17"/>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w w:val="96"/>
              </w:rPr>
            </w:pPr>
            <w:hyperlink w:anchor="page163">
              <w:r>
                <w:rPr>
                  <w:rFonts w:ascii="Arial" w:cs="Arial" w:eastAsia="Arial" w:hAnsi="Arial"/>
                  <w:sz w:val="18"/>
                  <w:szCs w:val="18"/>
                  <w:color w:val="0000EE"/>
                  <w:w w:val="96"/>
                </w:rPr>
                <w:t>Certification Pursuant to 18 U.S.C. §1350 of James C. Fish, Jr., President and Chief Executive Officer.</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88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64">
              <w:r>
                <w:rPr>
                  <w:rFonts w:ascii="Arial" w:cs="Arial" w:eastAsia="Arial" w:hAnsi="Arial"/>
                  <w:sz w:val="18"/>
                  <w:szCs w:val="18"/>
                  <w:color w:val="0000EE"/>
                  <w:w w:val="93"/>
                </w:rPr>
                <w:t>Certification Pursuant to 18 U.S.C. §1350 of Devina A. Rankin, Senior Vice President and Chief Financial</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1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Officer.</w:t>
              </w:r>
            </w:hyperlink>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r>
      <w:tr>
        <w:trPr>
          <w:trHeight w:val="318"/>
        </w:trPr>
        <w:tc>
          <w:tcPr>
            <w:tcW w:w="940" w:type="dxa"/>
            <w:vAlign w:val="bottom"/>
            <w:gridSpan w:val="3"/>
          </w:tcPr>
          <w:p>
            <w:pPr>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7880" w:type="dxa"/>
            <w:vAlign w:val="bottom"/>
            <w:gridSpan w:val="13"/>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Mine Safety Disclosures.</w:t>
              </w:r>
            </w:hyperlink>
          </w:p>
        </w:tc>
      </w:tr>
      <w:tr>
        <w:trPr>
          <w:trHeight w:val="20"/>
        </w:trPr>
        <w:tc>
          <w:tcPr>
            <w:tcW w:w="1180" w:type="dxa"/>
            <w:vAlign w:val="bottom"/>
            <w:gridSpan w:val="4"/>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r>
      <w:tr>
        <w:trPr>
          <w:trHeight w:val="344"/>
        </w:trPr>
        <w:tc>
          <w:tcPr>
            <w:tcW w:w="11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13"/>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38"/>
        </w:trPr>
        <w:tc>
          <w:tcPr>
            <w:tcW w:w="11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22"/>
        </w:trPr>
        <w:tc>
          <w:tcPr>
            <w:tcW w:w="180" w:type="dxa"/>
            <w:vAlign w:val="bottom"/>
            <w:tcBorders>
              <w:bottom w:val="single" w:sz="8" w:color="auto"/>
            </w:tcBorders>
            <w:gridSpan w:val="2"/>
          </w:tcPr>
          <w:p>
            <w:pPr>
              <w:spacing w:after="0"/>
              <w:rPr>
                <w:sz w:val="10"/>
                <w:szCs w:val="10"/>
                <w:color w:val="auto"/>
              </w:rPr>
            </w:pPr>
          </w:p>
        </w:tc>
        <w:tc>
          <w:tcPr>
            <w:tcW w:w="100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40"/>
              <w:spacing w:after="0"/>
              <w:rPr>
                <w:sz w:val="20"/>
                <w:szCs w:val="20"/>
                <w:color w:val="auto"/>
              </w:rPr>
            </w:pPr>
            <w:r>
              <w:rPr>
                <w:rFonts w:ascii="Arial" w:cs="Arial" w:eastAsia="Arial" w:hAnsi="Arial"/>
                <w:sz w:val="13"/>
                <w:szCs w:val="13"/>
                <w:color w:val="auto"/>
              </w:rPr>
              <w:t>Filed herewith.</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8880" w:type="dxa"/>
            <w:vAlign w:val="bottom"/>
            <w:gridSpan w:val="15"/>
          </w:tcPr>
          <w:p>
            <w:pPr>
              <w:ind w:left="40"/>
              <w:spacing w:after="0"/>
              <w:rPr>
                <w:sz w:val="20"/>
                <w:szCs w:val="20"/>
                <w:color w:val="auto"/>
              </w:rPr>
            </w:pPr>
            <w:r>
              <w:rPr>
                <w:rFonts w:ascii="Arial" w:cs="Arial" w:eastAsia="Arial" w:hAnsi="Arial"/>
                <w:sz w:val="13"/>
                <w:szCs w:val="13"/>
                <w:color w:val="auto"/>
              </w:rPr>
              <w:t>Furnished herewith.</w:t>
            </w:r>
          </w:p>
        </w:tc>
      </w:tr>
      <w:tr>
        <w:trPr>
          <w:trHeight w:val="63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6"/>
          </w:tcPr>
          <w:p>
            <w:pPr>
              <w:ind w:left="326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882" w:right="14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10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16"/>
        </w:trPr>
        <w:tc>
          <w:tcPr>
            <w:tcW w:w="3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(Duly Authorized Officer and</w:t>
            </w:r>
          </w:p>
        </w:tc>
      </w:tr>
      <w:tr>
        <w:trPr>
          <w:trHeight w:val="230"/>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1300"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100" w:firstLine="1288"/>
        <w:spacing w:after="0" w:line="257" w:lineRule="auto"/>
        <w:tabs>
          <w:tab w:leader="none" w:pos="19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$750,000,000 aggregate principal amount of 2.950% Senior Notes due 2024 (the “Notes”).</w:t>
      </w:r>
    </w:p>
    <w:p>
      <w:pPr>
        <w:spacing w:after="0" w:line="188" w:lineRule="exact"/>
        <w:rPr>
          <w:rFonts w:ascii="Arial" w:cs="Arial" w:eastAsia="Arial" w:hAnsi="Arial"/>
          <w:sz w:val="18"/>
          <w:szCs w:val="18"/>
          <w:color w:val="auto"/>
        </w:rPr>
      </w:pPr>
    </w:p>
    <w:p>
      <w:pPr>
        <w:ind w:left="1920" w:hanging="632"/>
        <w:spacing w:after="0"/>
        <w:tabs>
          <w:tab w:leader="none" w:pos="1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undersigned have read Sections 102, 103, 301 and 303 of the Indenture and the definitions in the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jc w:val="both"/>
        <w:ind w:right="180" w:firstLine="1288"/>
        <w:spacing w:after="0" w:line="264" w:lineRule="auto"/>
        <w:tabs>
          <w:tab w:leader="none" w:pos="19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20" w:hanging="632"/>
        <w:spacing w:after="0"/>
        <w:tabs>
          <w:tab w:leader="none" w:pos="1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read the covenants, conditions and provisions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relating thereto.</w:t>
      </w:r>
    </w:p>
    <w:p>
      <w:pPr>
        <w:spacing w:after="0" w:line="210" w:lineRule="exact"/>
        <w:rPr>
          <w:rFonts w:ascii="Arial" w:cs="Arial" w:eastAsia="Arial" w:hAnsi="Arial"/>
          <w:sz w:val="17"/>
          <w:szCs w:val="17"/>
          <w:color w:val="auto"/>
        </w:rPr>
      </w:pPr>
    </w:p>
    <w:p>
      <w:pPr>
        <w:ind w:right="260" w:firstLine="1288"/>
        <w:spacing w:after="0" w:line="264" w:lineRule="auto"/>
        <w:tabs>
          <w:tab w:leader="none" w:pos="19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jc w:val="both"/>
        <w:ind w:right="80" w:firstLine="1288"/>
        <w:spacing w:after="0" w:line="264" w:lineRule="auto"/>
        <w:tabs>
          <w:tab w:leader="none" w:pos="19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jc w:val="both"/>
        <w:ind w:right="240" w:firstLine="1288"/>
        <w:spacing w:after="0" w:line="264" w:lineRule="auto"/>
        <w:tabs>
          <w:tab w:leader="none" w:pos="19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51" w:name="page52"/>
    <w:bookmarkEnd w:id="51"/>
    <w:p>
      <w:pPr>
        <w:ind w:left="6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485775</wp:posOffset>
            </wp:positionV>
            <wp:extent cx="66122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20"/>
          </w:cols>
          <w:pgMar w:left="1440" w:top="517" w:right="839" w:bottom="1440" w:gutter="0" w:footer="0" w:header="0"/>
        </w:sectPr>
      </w:pPr>
    </w:p>
    <w:bookmarkStart w:id="52" w:name="page53"/>
    <w:bookmarkEnd w:id="52"/>
    <w:p>
      <w:pPr>
        <w:jc w:val="center"/>
        <w:ind w:right="-8"/>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9" w:firstLine="1296"/>
        <w:spacing w:after="0" w:line="273" w:lineRule="auto"/>
        <w:rPr>
          <w:sz w:val="20"/>
          <w:szCs w:val="20"/>
          <w:color w:val="auto"/>
        </w:rPr>
      </w:pPr>
      <w:r>
        <w:rPr>
          <w:rFonts w:ascii="Arial" w:cs="Arial" w:eastAsia="Arial" w:hAnsi="Arial"/>
          <w:sz w:val="17"/>
          <w:szCs w:val="17"/>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8" w:lineRule="exact"/>
        <w:rPr>
          <w:sz w:val="20"/>
          <w:szCs w:val="20"/>
          <w:color w:val="auto"/>
        </w:rPr>
      </w:pPr>
    </w:p>
    <w:p>
      <w:pPr>
        <w:ind w:left="649" w:hanging="649"/>
        <w:spacing w:after="0"/>
        <w:tabs>
          <w:tab w:leader="none" w:pos="6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series of Securities shall be “2.950% Senior Notes due 2024”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49" w:right="60" w:hanging="649"/>
        <w:spacing w:after="0" w:line="257"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8" w:lineRule="exact"/>
        <w:rPr>
          <w:rFonts w:ascii="Arial" w:cs="Arial" w:eastAsia="Arial" w:hAnsi="Arial"/>
          <w:sz w:val="18"/>
          <w:szCs w:val="18"/>
          <w:color w:val="auto"/>
        </w:rPr>
      </w:pPr>
    </w:p>
    <w:p>
      <w:pPr>
        <w:ind w:left="629" w:hanging="629"/>
        <w:spacing w:after="0"/>
        <w:tabs>
          <w:tab w:leader="none" w:pos="6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2024.</w:t>
      </w:r>
    </w:p>
    <w:p>
      <w:pPr>
        <w:spacing w:after="0" w:line="225" w:lineRule="exact"/>
        <w:rPr>
          <w:rFonts w:ascii="Arial" w:cs="Arial" w:eastAsia="Arial" w:hAnsi="Arial"/>
          <w:sz w:val="18"/>
          <w:szCs w:val="18"/>
          <w:color w:val="auto"/>
        </w:rPr>
      </w:pPr>
    </w:p>
    <w:p>
      <w:pPr>
        <w:ind w:left="649" w:right="100" w:hanging="649"/>
        <w:spacing w:after="0" w:line="257"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Note shall bear interest from May 22, 2019 at the fixed rate of 2.950%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88" w:lineRule="exact"/>
        <w:rPr>
          <w:rFonts w:ascii="Arial" w:cs="Arial" w:eastAsia="Arial" w:hAnsi="Arial"/>
          <w:sz w:val="18"/>
          <w:szCs w:val="18"/>
          <w:color w:val="auto"/>
        </w:rPr>
      </w:pPr>
    </w:p>
    <w:p>
      <w:pPr>
        <w:ind w:left="649" w:right="200" w:hanging="649"/>
        <w:spacing w:after="0" w:line="264"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49" w:hanging="649"/>
        <w:spacing w:after="0" w:line="259"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ind w:left="649" w:hanging="649"/>
        <w:spacing w:after="0" w:line="279" w:lineRule="auto"/>
        <w:tabs>
          <w:tab w:leader="none" w:pos="637"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1" w:lineRule="exact"/>
        <w:rPr>
          <w:rFonts w:ascii="Arial" w:cs="Arial" w:eastAsia="Arial" w:hAnsi="Arial"/>
          <w:sz w:val="17"/>
          <w:szCs w:val="17"/>
          <w:color w:val="auto"/>
        </w:rPr>
      </w:pPr>
    </w:p>
    <w:p>
      <w:pPr>
        <w:ind w:left="649" w:hanging="649"/>
        <w:spacing w:after="0" w:line="289" w:lineRule="auto"/>
        <w:tabs>
          <w:tab w:leader="none" w:pos="6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May 15, 2024.</w:t>
      </w:r>
    </w:p>
    <w:p>
      <w:pPr>
        <w:spacing w:after="0" w:line="166" w:lineRule="exact"/>
        <w:rPr>
          <w:rFonts w:ascii="Arial" w:cs="Arial" w:eastAsia="Arial" w:hAnsi="Arial"/>
          <w:sz w:val="16"/>
          <w:szCs w:val="16"/>
          <w:color w:val="auto"/>
        </w:rPr>
      </w:pPr>
    </w:p>
    <w:p>
      <w:pPr>
        <w:ind w:left="649" w:right="60" w:hanging="649"/>
        <w:spacing w:after="0" w:line="342" w:lineRule="auto"/>
        <w:tabs>
          <w:tab w:leader="none" w:pos="6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66122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517" w:right="759" w:bottom="1440" w:gutter="0" w:footer="0" w:header="0"/>
        </w:sectPr>
      </w:pPr>
    </w:p>
    <w:bookmarkStart w:id="53" w:name="page54"/>
    <w:bookmarkEnd w:id="53"/>
    <w:p>
      <w:pPr>
        <w:ind w:left="649" w:right="240" w:hanging="649"/>
        <w:spacing w:after="0" w:line="277"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29" w:hanging="629"/>
        <w:spacing w:after="0"/>
        <w:tabs>
          <w:tab w:leader="none" w:pos="6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49" w:hanging="649"/>
        <w:spacing w:after="0" w:line="25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49" w:hanging="649"/>
        <w:spacing w:after="0" w:line="255"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9" w:lineRule="exact"/>
        <w:rPr>
          <w:rFonts w:ascii="Arial" w:cs="Arial" w:eastAsia="Arial" w:hAnsi="Arial"/>
          <w:sz w:val="18"/>
          <w:szCs w:val="18"/>
          <w:color w:val="auto"/>
        </w:rPr>
      </w:pPr>
    </w:p>
    <w:p>
      <w:pPr>
        <w:ind w:left="649" w:right="140" w:hanging="649"/>
        <w:spacing w:after="0" w:line="308" w:lineRule="auto"/>
        <w:tabs>
          <w:tab w:leader="none" w:pos="63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661225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17" w:right="7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8"/>
          <w:szCs w:val="18"/>
          <w:color w:val="auto"/>
        </w:rPr>
        <w:t>BOOK-ENTRY SECURITY</w:t>
      </w:r>
    </w:p>
    <w:p>
      <w:pPr>
        <w:spacing w:after="0" w:line="144"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08"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400"/>
          </w:cols>
          <w:pgMar w:left="760" w:top="517" w:right="7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w:t>
      </w:r>
    </w:p>
    <w:p>
      <w:pPr>
        <w:spacing w:after="0" w:line="156" w:lineRule="exact"/>
        <w:rPr>
          <w:sz w:val="20"/>
          <w:szCs w:val="20"/>
          <w:color w:val="auto"/>
        </w:rPr>
      </w:pPr>
    </w:p>
    <w:p>
      <w:pPr>
        <w:sectPr>
          <w:pgSz w:w="11900" w:h="16838" w:orient="portrait"/>
          <w:cols w:equalWidth="0" w:num="2">
            <w:col w:w="8380" w:space="720"/>
            <w:col w:w="1300"/>
          </w:cols>
          <w:pgMar w:left="760" w:top="51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jc w:val="right"/>
        <w:spacing w:after="0"/>
        <w:tabs>
          <w:tab w:leader="none" w:pos="4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153" w:lineRule="exact"/>
        <w:rPr>
          <w:sz w:val="20"/>
          <w:szCs w:val="20"/>
          <w:color w:val="auto"/>
        </w:rPr>
      </w:pPr>
    </w:p>
    <w:p>
      <w:pPr>
        <w:sectPr>
          <w:pgSz w:w="11900" w:h="16838" w:orient="portrait"/>
          <w:cols w:equalWidth="0" w:num="2">
            <w:col w:w="7900" w:space="720"/>
            <w:col w:w="1780"/>
          </w:cols>
          <w:pgMar w:left="760" w:top="517" w:right="7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2.950% SENIOR NOTES DUE 2024</w:t>
      </w:r>
    </w:p>
    <w:p>
      <w:pPr>
        <w:spacing w:after="0" w:line="144"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CUSIP 94106L BF5</w:t>
      </w:r>
    </w:p>
    <w:p>
      <w:pPr>
        <w:spacing w:after="0" w:line="248" w:lineRule="exact"/>
        <w:rPr>
          <w:sz w:val="20"/>
          <w:szCs w:val="20"/>
          <w:color w:val="auto"/>
        </w:rPr>
      </w:pPr>
    </w:p>
    <w:p>
      <w:pPr>
        <w:ind w:right="260" w:firstLine="661"/>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w:t>
      </w:r>
    </w:p>
    <w:p>
      <w:pPr>
        <w:ind w:right="40"/>
        <w:spacing w:after="0" w:line="252" w:lineRule="auto"/>
        <w:rPr>
          <w:sz w:val="20"/>
          <w:szCs w:val="20"/>
          <w:color w:val="auto"/>
        </w:rPr>
      </w:pPr>
      <w:r>
        <w:rPr>
          <w:rFonts w:ascii="Arial" w:cs="Arial" w:eastAsia="Arial" w:hAnsi="Arial"/>
          <w:sz w:val="18"/>
          <w:szCs w:val="18"/>
          <w:color w:val="auto"/>
        </w:rPr>
        <w:t>Company, the principal sum of Million ($ ) U.S. dollars, or such lesser principal sum as is shown on the attached Schedule of Exchanges of Definitive Security, on June 15, 2024 in such coin or currency of the United States of America as at the time of payment shall be legal tender for the payment of public and private debts, and to pay interest at an annual rate of 2.950% payable on June 15 and December 15 of each year, to the person in whose name this Security is registered at the close of business on the record date for such interest, which shall be the preceding June 1 or December 1, respectively, payable commencing December 15, 2019, with interest accruing from May 22, 2019, or the most recent date to which interest has been paid.</w:t>
      </w:r>
    </w:p>
    <w:p>
      <w:pPr>
        <w:spacing w:after="0" w:line="113"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89"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89" w:lineRule="exact"/>
        <w:rPr>
          <w:sz w:val="20"/>
          <w:szCs w:val="20"/>
          <w:color w:val="auto"/>
        </w:rPr>
      </w:pPr>
    </w:p>
    <w:p>
      <w:pPr>
        <w:ind w:right="160" w:firstLine="667"/>
        <w:spacing w:after="0" w:line="293" w:lineRule="auto"/>
        <w:rPr>
          <w:sz w:val="20"/>
          <w:szCs w:val="20"/>
          <w:color w:val="auto"/>
        </w:rPr>
      </w:pPr>
      <w:r>
        <w:rPr>
          <w:rFonts w:ascii="Arial" w:cs="Arial" w:eastAsia="Arial" w:hAnsi="Arial"/>
          <w:sz w:val="16"/>
          <w:szCs w:val="16"/>
          <w:color w:val="auto"/>
        </w:rPr>
        <w:t>This Security is issued in respect of a series of Securities of an initial aggregate of U.S. $750,000,000 in principal amount designated as the 2.950% Senior Notes due 2024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4"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00" w:lineRule="exact"/>
        <w:rPr>
          <w:sz w:val="20"/>
          <w:szCs w:val="20"/>
          <w:color w:val="auto"/>
        </w:rPr>
      </w:pPr>
    </w:p>
    <w:p>
      <w:pPr>
        <w:ind w:right="560"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661225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820" w:type="dxa"/>
            <w:vAlign w:val="bottom"/>
            <w:gridSpan w:val="2"/>
          </w:tcPr>
          <w:p>
            <w:pPr>
              <w:ind w:left="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tc>
      </w:tr>
      <w:tr>
        <w:trPr>
          <w:trHeight w:val="634"/>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WASTE MANAGEMENT, INC.,</w:t>
            </w:r>
          </w:p>
        </w:tc>
      </w:tr>
      <w:tr>
        <w:trPr>
          <w:trHeight w:val="230"/>
        </w:trPr>
        <w:tc>
          <w:tcPr>
            <w:tcW w:w="560" w:type="dxa"/>
            <w:vAlign w:val="bottom"/>
          </w:tcPr>
          <w:p>
            <w:pPr>
              <w:spacing w:after="0"/>
              <w:rPr>
                <w:sz w:val="20"/>
                <w:szCs w:val="20"/>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 Delaware corporation</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Attest:</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-130810</wp:posOffset>
            </wp:positionV>
            <wp:extent cx="3018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661225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REVERSE OF BOOK-ENTRY SECURITY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2.950% SENIOR NOTES DUE 2024</w:t>
      </w:r>
    </w:p>
    <w:p>
      <w:pPr>
        <w:spacing w:after="0" w:line="144" w:lineRule="exact"/>
        <w:rPr>
          <w:sz w:val="20"/>
          <w:szCs w:val="20"/>
          <w:color w:val="auto"/>
        </w:rPr>
      </w:pPr>
    </w:p>
    <w:p>
      <w:pPr>
        <w:ind w:firstLine="667"/>
        <w:spacing w:after="0" w:line="291"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2.950% Senior Notes due 2024 of the Company, in initial aggregate principal amount of $750,000,000 (the “Securities”).</w:t>
      </w:r>
    </w:p>
    <w:p>
      <w:pPr>
        <w:spacing w:after="0" w:line="86" w:lineRule="exact"/>
        <w:rPr>
          <w:sz w:val="20"/>
          <w:szCs w:val="20"/>
          <w:color w:val="auto"/>
        </w:rPr>
      </w:pPr>
    </w:p>
    <w:p>
      <w:pPr>
        <w:ind w:left="1260" w:hanging="62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2.950% per annum.</w:t>
      </w:r>
    </w:p>
    <w:p>
      <w:pPr>
        <w:spacing w:after="0" w:line="144"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2.950% per annum, in each case to the extent lawful.</w:t>
      </w:r>
    </w:p>
    <w:p>
      <w:pPr>
        <w:spacing w:after="0" w:line="97" w:lineRule="exact"/>
        <w:rPr>
          <w:sz w:val="20"/>
          <w:szCs w:val="20"/>
          <w:color w:val="auto"/>
        </w:rPr>
      </w:pPr>
    </w:p>
    <w:p>
      <w:pPr>
        <w:ind w:left="1260" w:hanging="62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44"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94" w:lineRule="exact"/>
        <w:rPr>
          <w:sz w:val="20"/>
          <w:szCs w:val="20"/>
          <w:color w:val="auto"/>
        </w:rPr>
      </w:pPr>
    </w:p>
    <w:p>
      <w:pPr>
        <w:ind w:left="1260" w:hanging="62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44" w:lineRule="exact"/>
        <w:rPr>
          <w:sz w:val="20"/>
          <w:szCs w:val="20"/>
          <w:color w:val="auto"/>
        </w:rPr>
      </w:pPr>
    </w:p>
    <w:p>
      <w:pPr>
        <w:ind w:right="10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00" w:lineRule="exact"/>
        <w:rPr>
          <w:sz w:val="20"/>
          <w:szCs w:val="20"/>
          <w:color w:val="auto"/>
        </w:rPr>
      </w:pPr>
    </w:p>
    <w:p>
      <w:pPr>
        <w:ind w:left="1260" w:hanging="62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44"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89"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7" w:name="page58"/>
    <w:bookmarkEnd w:id="57"/>
    <w:p>
      <w:pPr>
        <w:ind w:left="1260" w:hanging="62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Upon the occurrence of the closing of the Merger, the foregoing provisions regarding the Special Mandatory Redemption Event will cease to apply.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260" w:hanging="620"/>
        <w:spacing w:after="0"/>
        <w:tabs>
          <w:tab w:leader="none" w:pos="1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78"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right="80" w:firstLine="667"/>
        <w:spacing w:after="0" w:line="271"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8" w:name="page59"/>
    <w:bookmarkEnd w:id="58"/>
    <w:p>
      <w:pPr>
        <w:ind w:right="80" w:firstLine="667"/>
        <w:spacing w:after="0" w:line="279" w:lineRule="auto"/>
        <w:rPr>
          <w:sz w:val="20"/>
          <w:szCs w:val="20"/>
          <w:color w:val="auto"/>
        </w:rPr>
      </w:pPr>
      <w:r>
        <w:rPr>
          <w:rFonts w:ascii="Arial" w:cs="Arial" w:eastAsia="Arial" w:hAnsi="Arial"/>
          <w:sz w:val="17"/>
          <w:szCs w:val="17"/>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1"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May 15, 2024.</w:t>
      </w:r>
    </w:p>
    <w:p>
      <w:pPr>
        <w:spacing w:after="0" w:line="225" w:lineRule="exact"/>
        <w:rPr>
          <w:sz w:val="20"/>
          <w:szCs w:val="20"/>
          <w:color w:val="auto"/>
        </w:rPr>
      </w:pPr>
    </w:p>
    <w:p>
      <w:pPr>
        <w:ind w:right="20" w:firstLine="667"/>
        <w:spacing w:after="0" w:line="279" w:lineRule="auto"/>
        <w:rPr>
          <w:sz w:val="20"/>
          <w:szCs w:val="20"/>
          <w:color w:val="auto"/>
        </w:rPr>
      </w:pPr>
      <w:r>
        <w:rPr>
          <w:rFonts w:ascii="Arial" w:cs="Arial" w:eastAsia="Arial" w:hAnsi="Arial"/>
          <w:sz w:val="17"/>
          <w:szCs w:val="17"/>
          <w:color w:val="auto"/>
        </w:rPr>
        <w:t>“Reference Treasury Dealer”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71"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54"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may be redeemed in part in a minimum principal amount of $2,000, or any integral multiple of $1,000 in excess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260" w:hanging="620"/>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66122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59" w:name="page60"/>
    <w:bookmarkEnd w:id="59"/>
    <w:p>
      <w:pPr>
        <w:ind w:left="6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80" w:right="320" w:firstLine="22"/>
        <w:spacing w:after="0" w:line="277" w:lineRule="auto"/>
        <w:rPr>
          <w:sz w:val="20"/>
          <w:szCs w:val="20"/>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3"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right="440"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0" w:name="page61"/>
    <w:bookmarkEnd w:id="60"/>
    <w:p>
      <w:pPr>
        <w:ind w:right="40" w:firstLine="667"/>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1"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60" w:firstLine="667"/>
        <w:spacing w:after="0" w:line="342" w:lineRule="auto"/>
        <w:rPr>
          <w:sz w:val="20"/>
          <w:szCs w:val="20"/>
          <w:color w:val="auto"/>
        </w:rPr>
      </w:pPr>
      <w:r>
        <w:rPr>
          <w:rFonts w:ascii="Arial" w:cs="Arial" w:eastAsia="Arial" w:hAnsi="Arial"/>
          <w:sz w:val="16"/>
          <w:szCs w:val="16"/>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4" w:lineRule="exact"/>
        <w:rPr>
          <w:sz w:val="20"/>
          <w:szCs w:val="20"/>
          <w:color w:val="auto"/>
        </w:rPr>
      </w:pPr>
    </w:p>
    <w:p>
      <w:pPr>
        <w:ind w:left="1260" w:hanging="62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260" w:hanging="62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260" w:hanging="62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7" w:lineRule="exact"/>
        <w:rPr>
          <w:sz w:val="20"/>
          <w:szCs w:val="20"/>
          <w:color w:val="auto"/>
        </w:rPr>
      </w:pPr>
    </w:p>
    <w:p>
      <w:pPr>
        <w:ind w:left="1260" w:hanging="62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68"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66122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1" w:name="page62"/>
    <w:bookmarkEnd w:id="61"/>
    <w:p>
      <w:pPr>
        <w:ind w:left="1260" w:hanging="62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260" w:hanging="62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260" w:hanging="62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260" w:hanging="62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right="140" w:firstLine="667"/>
        <w:spacing w:after="0" w:line="312" w:lineRule="auto"/>
        <w:rPr>
          <w:sz w:val="20"/>
          <w:szCs w:val="20"/>
          <w:color w:val="auto"/>
        </w:rPr>
      </w:pPr>
      <w:r>
        <w:rPr>
          <w:rFonts w:ascii="Arial" w:cs="Arial" w:eastAsia="Arial" w:hAnsi="Arial"/>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7" w:lineRule="exact"/>
        <w:rPr>
          <w:sz w:val="20"/>
          <w:szCs w:val="20"/>
          <w:color w:val="auto"/>
        </w:rPr>
      </w:pPr>
    </w:p>
    <w:p>
      <w:pPr>
        <w:ind w:left="1260" w:hanging="62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48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260" w:hanging="62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220" w:firstLine="667"/>
        <w:spacing w:after="0" w:line="255"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93" w:lineRule="exact"/>
        <w:rPr>
          <w:sz w:val="20"/>
          <w:szCs w:val="20"/>
          <w:color w:val="auto"/>
        </w:rPr>
      </w:pPr>
    </w:p>
    <w:p>
      <w:pPr>
        <w:ind w:left="1260" w:hanging="62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260" w:hanging="620"/>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8" w:lineRule="exact"/>
        <w:rPr>
          <w:sz w:val="20"/>
          <w:szCs w:val="20"/>
          <w:color w:val="auto"/>
        </w:rPr>
      </w:pPr>
    </w:p>
    <w:p>
      <w:pPr>
        <w:ind w:left="1280" w:hanging="622"/>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517" w:right="779" w:bottom="1440" w:gutter="0" w:footer="0" w:header="0"/>
        </w:sectPr>
      </w:pPr>
    </w:p>
    <w:bookmarkStart w:id="62" w:name="page63"/>
    <w:bookmarkEnd w:id="62"/>
    <w:p>
      <w:pPr>
        <w:ind w:left="2920"/>
        <w:spacing w:after="0"/>
        <w:rPr>
          <w:sz w:val="20"/>
          <w:szCs w:val="20"/>
          <w:color w:val="auto"/>
        </w:rPr>
      </w:pPr>
      <w:r>
        <w:rPr>
          <w:rFonts w:ascii="Arial" w:cs="Arial" w:eastAsia="Arial" w:hAnsi="Arial"/>
          <w:sz w:val="18"/>
          <w:szCs w:val="18"/>
          <w:color w:val="auto"/>
        </w:rPr>
        <w:t>SCHEDULE OF EXCHANGES OF DEFINITIVE SECURITY</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Amount of increase</w:t>
            </w: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 Amount</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1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Exchange</w:t>
            </w: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Book-Entry</w:t>
            </w:r>
          </w:p>
        </w:tc>
        <w:tc>
          <w:tcPr>
            <w:tcW w:w="2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Security</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Security</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9"/>
        </w:trPr>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17" w:right="7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Waste Management, Inc.</w:t>
      </w:r>
    </w:p>
    <w:p>
      <w:pPr>
        <w:spacing w:after="0" w:line="139" w:lineRule="exact"/>
        <w:rPr>
          <w:sz w:val="20"/>
          <w:szCs w:val="20"/>
          <w:color w:val="auto"/>
        </w:rPr>
      </w:pPr>
    </w:p>
    <w:p>
      <w:pPr>
        <w:ind w:left="380" w:right="14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which 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158" w:lineRule="exact"/>
        <w:rPr>
          <w:sz w:val="20"/>
          <w:szCs w:val="20"/>
          <w:color w:val="auto"/>
        </w:rPr>
      </w:pPr>
    </w:p>
    <w:p>
      <w:pPr>
        <w:jc w:val="both"/>
        <w:ind w:left="380"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09" w:lineRule="exact"/>
        <w:rPr>
          <w:sz w:val="20"/>
          <w:szCs w:val="20"/>
          <w:color w:val="auto"/>
        </w:rPr>
      </w:pPr>
    </w:p>
    <w:p>
      <w:pPr>
        <w:ind w:left="380" w:right="7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offerings of securities to finance the Merger Consideration;</w:t>
      </w:r>
    </w:p>
    <w:p>
      <w:pPr>
        <w:spacing w:after="0" w:line="94" w:lineRule="exact"/>
        <w:rPr>
          <w:sz w:val="20"/>
          <w:szCs w:val="20"/>
          <w:color w:val="auto"/>
        </w:rPr>
      </w:pPr>
    </w:p>
    <w:p>
      <w:pPr>
        <w:ind w:left="380"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subsidiaries;</w:t>
      </w:r>
    </w:p>
    <w:p>
      <w:pPr>
        <w:spacing w:after="0" w:line="94" w:lineRule="exact"/>
        <w:rPr>
          <w:sz w:val="20"/>
          <w:szCs w:val="20"/>
          <w:color w:val="auto"/>
        </w:rPr>
      </w:pPr>
    </w:p>
    <w:p>
      <w:pPr>
        <w:ind w:left="380"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party to that certain indenture, dated as of September 10, 1997 (as amended, restated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Company Existing Indenture</w:t>
      </w:r>
      <w:r>
        <w:rPr>
          <w:rFonts w:ascii="Arial" w:cs="Arial" w:eastAsia="Arial" w:hAnsi="Arial"/>
          <w:sz w:val="18"/>
          <w:szCs w:val="18"/>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8"/>
          <w:szCs w:val="18"/>
          <w:u w:val="single" w:color="auto"/>
          <w:color w:val="auto"/>
        </w:rPr>
        <w:t>2028 Notes</w:t>
      </w:r>
      <w:r>
        <w:rPr>
          <w:rFonts w:ascii="Arial" w:cs="Arial" w:eastAsia="Arial" w:hAnsi="Arial"/>
          <w:sz w:val="18"/>
          <w:szCs w:val="18"/>
          <w:color w:val="auto"/>
        </w:rPr>
        <w:t>”), (ii) the Company’s 7.375% Senior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(iii) the Company’s 7.75% Senior Notes due 2032 (the “</w:t>
      </w:r>
      <w:r>
        <w:rPr>
          <w:rFonts w:ascii="Arial" w:cs="Arial" w:eastAsia="Arial" w:hAnsi="Arial"/>
          <w:sz w:val="18"/>
          <w:szCs w:val="18"/>
          <w:u w:val="single" w:color="auto"/>
          <w:color w:val="auto"/>
        </w:rPr>
        <w:t>2032 Notes</w:t>
      </w:r>
      <w:r>
        <w:rPr>
          <w:rFonts w:ascii="Arial" w:cs="Arial" w:eastAsia="Arial" w:hAnsi="Arial"/>
          <w:sz w:val="18"/>
          <w:szCs w:val="18"/>
          <w:color w:val="auto"/>
        </w:rPr>
        <w:t>”), and (iv) the Company’s 6.125% Senior Notes due 2039 (the “</w:t>
      </w:r>
      <w:r>
        <w:rPr>
          <w:rFonts w:ascii="Arial" w:cs="Arial" w:eastAsia="Arial" w:hAnsi="Arial"/>
          <w:sz w:val="18"/>
          <w:szCs w:val="18"/>
          <w:u w:val="single" w:color="auto"/>
          <w:color w:val="auto"/>
        </w:rPr>
        <w:t>2039 Notes</w:t>
      </w:r>
      <w:r>
        <w:rPr>
          <w:rFonts w:ascii="Arial" w:cs="Arial" w:eastAsia="Arial" w:hAnsi="Arial"/>
          <w:sz w:val="18"/>
          <w:szCs w:val="18"/>
          <w:color w:val="auto"/>
        </w:rPr>
        <w:t>”);</w:t>
      </w:r>
    </w:p>
    <w:p>
      <w:pPr>
        <w:spacing w:after="0" w:line="120" w:lineRule="exact"/>
        <w:rPr>
          <w:sz w:val="20"/>
          <w:szCs w:val="20"/>
          <w:color w:val="auto"/>
        </w:rPr>
      </w:pPr>
    </w:p>
    <w:p>
      <w:pPr>
        <w:ind w:left="380" w:right="40" w:firstLine="648"/>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w:t>
      </w:r>
    </w:p>
    <w:p>
      <w:pPr>
        <w:spacing w:after="0" w:line="2" w:lineRule="exact"/>
        <w:rPr>
          <w:sz w:val="20"/>
          <w:szCs w:val="20"/>
          <w:color w:val="auto"/>
        </w:rPr>
      </w:pPr>
    </w:p>
    <w:p>
      <w:pPr>
        <w:ind w:left="380" w:right="180"/>
        <w:spacing w:after="0" w:line="261" w:lineRule="auto"/>
        <w:rPr>
          <w:sz w:val="20"/>
          <w:szCs w:val="20"/>
          <w:color w:val="auto"/>
        </w:rPr>
      </w:pPr>
      <w:r>
        <w:rPr>
          <w:rFonts w:ascii="Arial" w:cs="Arial" w:eastAsia="Arial" w:hAnsi="Arial"/>
          <w:sz w:val="18"/>
          <w:szCs w:val="18"/>
          <w:color w:val="auto"/>
        </w:rPr>
        <w:t>7.10%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and together with the 2028 Notes, the 2029 Notes, the 2032 Notes and the 2039 Notes, the “</w:t>
      </w:r>
      <w:r>
        <w:rPr>
          <w:rFonts w:ascii="Arial" w:cs="Arial" w:eastAsia="Arial" w:hAnsi="Arial"/>
          <w:sz w:val="18"/>
          <w:szCs w:val="18"/>
          <w:u w:val="single" w:color="auto"/>
          <w:color w:val="auto"/>
        </w:rPr>
        <w:t>Specified Existing Notes</w:t>
      </w:r>
      <w:r>
        <w:rPr>
          <w:rFonts w:ascii="Arial" w:cs="Arial" w:eastAsia="Arial" w:hAnsi="Arial"/>
          <w:sz w:val="18"/>
          <w:szCs w:val="18"/>
          <w:color w:val="auto"/>
        </w:rPr>
        <w:t>”); and</w:t>
      </w:r>
    </w:p>
    <w:p>
      <w:pPr>
        <w:spacing w:after="0" w:line="112" w:lineRule="exact"/>
        <w:rPr>
          <w:sz w:val="20"/>
          <w:szCs w:val="20"/>
          <w:color w:val="auto"/>
        </w:rPr>
      </w:pPr>
    </w:p>
    <w:p>
      <w:pPr>
        <w:ind w:left="38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the eventual redemption and/or refinancing of the Specified Existing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deems it advisable to approve the Company’ pursuit of tender offers and/or redemption transactions with respect to the Specified Existing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158" w:lineRule="exact"/>
        <w:rPr>
          <w:sz w:val="20"/>
          <w:szCs w:val="20"/>
          <w:color w:val="auto"/>
        </w:rPr>
      </w:pPr>
    </w:p>
    <w:p>
      <w:pPr>
        <w:ind w:left="680" w:hanging="365"/>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158" w:lineRule="exact"/>
        <w:rPr>
          <w:sz w:val="20"/>
          <w:szCs w:val="20"/>
          <w:color w:val="auto"/>
        </w:rPr>
      </w:pPr>
    </w:p>
    <w:p>
      <w:pPr>
        <w:ind w:left="380" w:right="6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 shelf</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S-3 (the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pursuant to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7"/>
          <w:szCs w:val="17"/>
          <w:u w:val="single" w:color="auto"/>
          <w:color w:val="auto"/>
        </w:rPr>
        <w:t>Registered Debt Securities</w:t>
      </w:r>
      <w:r>
        <w:rPr>
          <w:rFonts w:ascii="Arial" w:cs="Arial" w:eastAsia="Arial" w:hAnsi="Arial"/>
          <w:sz w:val="17"/>
          <w:szCs w:val="17"/>
          <w:color w:val="auto"/>
        </w:rPr>
        <w:t>”); common stock of the Company, par value $0.01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7"/>
          <w:szCs w:val="17"/>
          <w:u w:val="single" w:color="auto"/>
          <w:color w:val="auto"/>
        </w:rPr>
        <w:t>Registered Securities</w:t>
      </w:r>
      <w:r>
        <w:rPr>
          <w:rFonts w:ascii="Arial" w:cs="Arial" w:eastAsia="Arial" w:hAnsi="Arial"/>
          <w:sz w:val="17"/>
          <w:szCs w:val="17"/>
          <w:color w:val="auto"/>
        </w:rPr>
        <w:t>”), to be issued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64" w:name="page65"/>
    <w:bookmarkEnd w:id="64"/>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shall be deemed rescinded and superseded hereby;</w:t>
      </w:r>
    </w:p>
    <w:p>
      <w:pPr>
        <w:spacing w:after="0" w:line="162"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(as established pursuant to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be, and each of 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of 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be, and each of them hereby is, authorized,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Company is authorized to offer, issue and sell, or cause any subsidiary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sell, debt securities denominated in Canadian dollars (the “</w:t>
      </w:r>
      <w:r>
        <w:rPr>
          <w:rFonts w:ascii="Arial" w:cs="Arial" w:eastAsia="Arial" w:hAnsi="Arial"/>
          <w:sz w:val="18"/>
          <w:szCs w:val="18"/>
          <w:u w:val="single" w:color="auto"/>
          <w:color w:val="auto"/>
        </w:rPr>
        <w:t>Canadian Notes</w:t>
      </w:r>
      <w:r>
        <w:rPr>
          <w:rFonts w:ascii="Arial" w:cs="Arial" w:eastAsia="Arial" w:hAnsi="Arial"/>
          <w:sz w:val="18"/>
          <w:szCs w:val="18"/>
          <w:color w:val="auto"/>
        </w:rPr>
        <w:t>,” together with any Canadian Notes Guarantees (as defined below) the “</w:t>
      </w:r>
      <w:r>
        <w:rPr>
          <w:rFonts w:ascii="Arial" w:cs="Arial" w:eastAsia="Arial" w:hAnsi="Arial"/>
          <w:sz w:val="18"/>
          <w:szCs w:val="18"/>
          <w:u w:val="single" w:color="auto"/>
          <w:color w:val="auto"/>
        </w:rPr>
        <w:t>Canadian Securities</w:t>
      </w:r>
      <w:r>
        <w:rPr>
          <w:rFonts w:ascii="Arial" w:cs="Arial" w:eastAsia="Arial" w:hAnsi="Arial"/>
          <w:sz w:val="18"/>
          <w:szCs w:val="18"/>
          <w:color w:val="auto"/>
        </w:rPr>
        <w:t>,” and together with the Registered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transactions exempt from registration under the Securities Act, 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each of them, shall have full authority to authorize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62" w:lineRule="exact"/>
        <w:rPr>
          <w:sz w:val="20"/>
          <w:szCs w:val="20"/>
          <w:color w:val="auto"/>
        </w:rPr>
      </w:pPr>
    </w:p>
    <w:p>
      <w:pPr>
        <w:ind w:right="8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preparation and use of a preliminary offering memorandum relating to the Canadian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 together or individually, and those other employees of the Company as any of them shall designate, are hereby authorized and directed in the name and on behalf of the Company to prepare a pricing supplement (the “</w:t>
      </w:r>
      <w:r>
        <w:rPr>
          <w:rFonts w:ascii="Arial" w:cs="Arial" w:eastAsia="Arial" w:hAnsi="Arial"/>
          <w:sz w:val="17"/>
          <w:szCs w:val="17"/>
          <w:u w:val="single" w:color="auto"/>
          <w:color w:val="auto"/>
        </w:rPr>
        <w:t>Pricing Supplement</w:t>
      </w:r>
      <w:r>
        <w:rPr>
          <w:rFonts w:ascii="Arial" w:cs="Arial" w:eastAsia="Arial" w:hAnsi="Arial"/>
          <w:sz w:val="17"/>
          <w:szCs w:val="17"/>
          <w:color w:val="auto"/>
        </w:rPr>
        <w:t>”) in connection with the Canadian Offering, and the final offering 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 Authorized Officers deems necessary or appropriate in connection with the Canadian Offering, such approval to be conclusively evidenced by the distribution of such supplement or amendment by or on behalf of the Company to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464185</wp:posOffset>
            </wp:positionV>
            <wp:extent cx="6612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65" w:name="page66"/>
    <w:bookmarkEnd w:id="65"/>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appropriate qualification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approve 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may, at any time and from time to time, on behalf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6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these 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of any Securities of any series which may not be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at one time (except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80" w:lineRule="exact"/>
        <w:rPr>
          <w:sz w:val="20"/>
          <w:szCs w:val="20"/>
          <w:color w:val="auto"/>
        </w:rPr>
      </w:pPr>
    </w:p>
    <w:p>
      <w:pPr>
        <w:jc w:val="both"/>
        <w:ind w:right="5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and sale of any Securities, that the Company may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therefrom: (1) 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any 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469265</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66" w:name="page67"/>
    <w:bookmarkEnd w:id="66"/>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 (i) and (ii) being referred to as </w:t>
      </w:r>
      <w:r>
        <w:rPr>
          <w:rFonts w:ascii="Arial" w:cs="Arial" w:eastAsia="Arial" w:hAnsi="Arial"/>
          <w:sz w:val="16"/>
          <w:szCs w:val="16"/>
          <w:u w:val="single" w:color="auto"/>
          <w:color w:val="auto"/>
        </w:rPr>
        <w:t>“Liability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6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68"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80"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be, and each of them hereby is, authorized,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453390</wp:posOffset>
            </wp:positionV>
            <wp:extent cx="66122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1140" w:top="513" w:right="779" w:bottom="1440" w:gutter="0" w:footer="0" w:header="0"/>
        </w:sectPr>
      </w:pPr>
    </w:p>
    <w:bookmarkStart w:id="67" w:name="page68"/>
    <w:bookmarkEnd w:id="67"/>
    <w:p>
      <w:pPr>
        <w:ind w:left="380"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in 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440" w:hanging="412"/>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2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others hereby 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4" w:lineRule="exact"/>
        <w:rPr>
          <w:sz w:val="20"/>
          <w:szCs w:val="20"/>
          <w:color w:val="auto"/>
        </w:rPr>
      </w:pPr>
    </w:p>
    <w:p>
      <w:pPr>
        <w:ind w:left="380" w:right="4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and 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4" w:lineRule="exact"/>
        <w:rPr>
          <w:sz w:val="20"/>
          <w:szCs w:val="20"/>
          <w:color w:val="auto"/>
        </w:rPr>
      </w:pPr>
    </w:p>
    <w:p>
      <w:pPr>
        <w:ind w:left="380" w:right="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left="380" w:right="3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officers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56" w:lineRule="exact"/>
        <w:rPr>
          <w:sz w:val="20"/>
          <w:szCs w:val="20"/>
          <w:color w:val="auto"/>
        </w:rPr>
      </w:pPr>
    </w:p>
    <w:p>
      <w:pPr>
        <w:ind w:left="3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3" w:right="7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1300"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100" w:firstLine="1288"/>
        <w:spacing w:after="0" w:line="257" w:lineRule="auto"/>
        <w:tabs>
          <w:tab w:leader="none" w:pos="19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$750,000,000 aggregate principal amount of 3.200% Senior Notes due 2026 (the “Notes”).</w:t>
      </w:r>
    </w:p>
    <w:p>
      <w:pPr>
        <w:spacing w:after="0" w:line="188" w:lineRule="exact"/>
        <w:rPr>
          <w:rFonts w:ascii="Arial" w:cs="Arial" w:eastAsia="Arial" w:hAnsi="Arial"/>
          <w:sz w:val="18"/>
          <w:szCs w:val="18"/>
          <w:color w:val="auto"/>
        </w:rPr>
      </w:pPr>
    </w:p>
    <w:p>
      <w:pPr>
        <w:ind w:left="1960" w:hanging="672"/>
        <w:spacing w:after="0"/>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undersigned have read Sections 102, 103, 301 and 303 of the Indenture and the definitions in the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jc w:val="both"/>
        <w:ind w:right="140" w:firstLine="1288"/>
        <w:spacing w:after="0" w:line="264" w:lineRule="auto"/>
        <w:tabs>
          <w:tab w:leader="none" w:pos="19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72"/>
        <w:spacing w:after="0"/>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read the covenants, conditions and provisions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relating thereto.</w:t>
      </w:r>
    </w:p>
    <w:p>
      <w:pPr>
        <w:spacing w:after="0" w:line="210" w:lineRule="exact"/>
        <w:rPr>
          <w:rFonts w:ascii="Arial" w:cs="Arial" w:eastAsia="Arial" w:hAnsi="Arial"/>
          <w:sz w:val="17"/>
          <w:szCs w:val="17"/>
          <w:color w:val="auto"/>
        </w:rPr>
      </w:pPr>
    </w:p>
    <w:p>
      <w:pPr>
        <w:ind w:right="260" w:firstLine="1288"/>
        <w:spacing w:after="0" w:line="264" w:lineRule="auto"/>
        <w:tabs>
          <w:tab w:leader="none" w:pos="19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jc w:val="both"/>
        <w:ind w:right="60" w:firstLine="1288"/>
        <w:spacing w:after="0" w:line="264" w:lineRule="auto"/>
        <w:tabs>
          <w:tab w:leader="none" w:pos="19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jc w:val="both"/>
        <w:ind w:right="200" w:firstLine="1288"/>
        <w:spacing w:after="0" w:line="264" w:lineRule="auto"/>
        <w:tabs>
          <w:tab w:leader="none" w:pos="19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9" w:name="page70"/>
    <w:bookmarkEnd w:id="69"/>
    <w:p>
      <w:pPr>
        <w:ind w:left="6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622935</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20"/>
          </w:cols>
          <w:pgMar w:left="1440" w:top="125" w:right="839" w:bottom="1440" w:gutter="0" w:footer="0" w:header="0"/>
        </w:sectPr>
      </w:pPr>
    </w:p>
    <w:bookmarkStart w:id="70" w:name="page71"/>
    <w:bookmarkEnd w:id="70"/>
    <w:p>
      <w:pPr>
        <w:jc w:val="center"/>
        <w:ind w:right="-8"/>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9" w:firstLine="1296"/>
        <w:spacing w:after="0" w:line="273" w:lineRule="auto"/>
        <w:rPr>
          <w:sz w:val="20"/>
          <w:szCs w:val="20"/>
          <w:color w:val="auto"/>
        </w:rPr>
      </w:pPr>
      <w:r>
        <w:rPr>
          <w:rFonts w:ascii="Arial" w:cs="Arial" w:eastAsia="Arial" w:hAnsi="Arial"/>
          <w:sz w:val="17"/>
          <w:szCs w:val="17"/>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8" w:lineRule="exact"/>
        <w:rPr>
          <w:sz w:val="20"/>
          <w:szCs w:val="20"/>
          <w:color w:val="auto"/>
        </w:rPr>
      </w:pPr>
    </w:p>
    <w:p>
      <w:pPr>
        <w:ind w:left="649" w:hanging="649"/>
        <w:spacing w:after="0"/>
        <w:tabs>
          <w:tab w:leader="none" w:pos="6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series of Securities shall be “3.200% Senior Notes due 2026”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49" w:right="60" w:hanging="649"/>
        <w:spacing w:after="0" w:line="257"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8" w:lineRule="exact"/>
        <w:rPr>
          <w:rFonts w:ascii="Arial" w:cs="Arial" w:eastAsia="Arial" w:hAnsi="Arial"/>
          <w:sz w:val="18"/>
          <w:szCs w:val="18"/>
          <w:color w:val="auto"/>
        </w:rPr>
      </w:pPr>
    </w:p>
    <w:p>
      <w:pPr>
        <w:ind w:left="649" w:hanging="649"/>
        <w:spacing w:after="0"/>
        <w:tabs>
          <w:tab w:leader="none" w:pos="6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2026.</w:t>
      </w:r>
    </w:p>
    <w:p>
      <w:pPr>
        <w:spacing w:after="0" w:line="225" w:lineRule="exact"/>
        <w:rPr>
          <w:rFonts w:ascii="Arial" w:cs="Arial" w:eastAsia="Arial" w:hAnsi="Arial"/>
          <w:sz w:val="18"/>
          <w:szCs w:val="18"/>
          <w:color w:val="auto"/>
        </w:rPr>
      </w:pPr>
    </w:p>
    <w:p>
      <w:pPr>
        <w:ind w:left="649" w:right="100" w:hanging="649"/>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Note shall bear interest from May 22, 2019 at the fixed rate of 3.200%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88" w:lineRule="exact"/>
        <w:rPr>
          <w:rFonts w:ascii="Arial" w:cs="Arial" w:eastAsia="Arial" w:hAnsi="Arial"/>
          <w:sz w:val="18"/>
          <w:szCs w:val="18"/>
          <w:color w:val="auto"/>
        </w:rPr>
      </w:pPr>
    </w:p>
    <w:p>
      <w:pPr>
        <w:ind w:left="649" w:right="200" w:hanging="649"/>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49" w:hanging="649"/>
        <w:spacing w:after="0" w:line="259"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ind w:left="649" w:hanging="649"/>
        <w:spacing w:after="0" w:line="279"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1" w:lineRule="exact"/>
        <w:rPr>
          <w:rFonts w:ascii="Arial" w:cs="Arial" w:eastAsia="Arial" w:hAnsi="Arial"/>
          <w:sz w:val="17"/>
          <w:szCs w:val="17"/>
          <w:color w:val="auto"/>
        </w:rPr>
      </w:pPr>
    </w:p>
    <w:p>
      <w:pPr>
        <w:ind w:left="649" w:right="20" w:hanging="649"/>
        <w:spacing w:after="0" w:line="289"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April 15, 2026.</w:t>
      </w:r>
    </w:p>
    <w:p>
      <w:pPr>
        <w:spacing w:after="0" w:line="166" w:lineRule="exact"/>
        <w:rPr>
          <w:rFonts w:ascii="Arial" w:cs="Arial" w:eastAsia="Arial" w:hAnsi="Arial"/>
          <w:sz w:val="16"/>
          <w:szCs w:val="16"/>
          <w:color w:val="auto"/>
        </w:rPr>
      </w:pPr>
    </w:p>
    <w:p>
      <w:pPr>
        <w:ind w:left="649" w:right="40" w:hanging="649"/>
        <w:spacing w:after="0" w:line="342" w:lineRule="auto"/>
        <w:tabs>
          <w:tab w:leader="none" w:pos="6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71" w:name="page72"/>
    <w:bookmarkEnd w:id="71"/>
    <w:p>
      <w:pPr>
        <w:ind w:left="649" w:right="220" w:hanging="649"/>
        <w:spacing w:after="0" w:line="277"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49" w:hanging="649"/>
        <w:spacing w:after="0"/>
        <w:tabs>
          <w:tab w:leader="none" w:pos="6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49" w:hanging="649"/>
        <w:spacing w:after="0" w:line="257" w:lineRule="auto"/>
        <w:tabs>
          <w:tab w:leader="none" w:pos="6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49" w:hanging="649"/>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9" w:lineRule="exact"/>
        <w:rPr>
          <w:rFonts w:ascii="Arial" w:cs="Arial" w:eastAsia="Arial" w:hAnsi="Arial"/>
          <w:sz w:val="18"/>
          <w:szCs w:val="18"/>
          <w:color w:val="auto"/>
        </w:rPr>
      </w:pPr>
    </w:p>
    <w:p>
      <w:pPr>
        <w:ind w:left="649" w:right="120" w:hanging="649"/>
        <w:spacing w:after="0" w:line="308" w:lineRule="auto"/>
        <w:tabs>
          <w:tab w:leader="none" w:pos="65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color w:val="auto"/>
        </w:rPr>
        <w:t>BOOK-ENTRY SECURITY</w:t>
      </w:r>
    </w:p>
    <w:p>
      <w:pPr>
        <w:spacing w:after="0" w:line="144"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08"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400"/>
          </w:cols>
          <w:pgMar w:left="760" w:top="125" w:right="7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w:t>
      </w:r>
    </w:p>
    <w:p>
      <w:pPr>
        <w:spacing w:after="0" w:line="156" w:lineRule="exact"/>
        <w:rPr>
          <w:sz w:val="20"/>
          <w:szCs w:val="20"/>
          <w:color w:val="auto"/>
        </w:rPr>
      </w:pPr>
    </w:p>
    <w:p>
      <w:pPr>
        <w:sectPr>
          <w:pgSz w:w="11900" w:h="16838" w:orient="portrait"/>
          <w:cols w:equalWidth="0" w:num="2">
            <w:col w:w="8380" w:space="720"/>
            <w:col w:w="1300"/>
          </w:cols>
          <w:pgMar w:left="760" w:top="12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jc w:val="right"/>
        <w:spacing w:after="0"/>
        <w:tabs>
          <w:tab w:leader="none" w:pos="4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153" w:lineRule="exact"/>
        <w:rPr>
          <w:sz w:val="20"/>
          <w:szCs w:val="20"/>
          <w:color w:val="auto"/>
        </w:rPr>
      </w:pPr>
    </w:p>
    <w:p>
      <w:pPr>
        <w:sectPr>
          <w:pgSz w:w="11900" w:h="16838" w:orient="portrait"/>
          <w:cols w:equalWidth="0" w:num="2">
            <w:col w:w="7900" w:space="720"/>
            <w:col w:w="1780"/>
          </w:cols>
          <w:pgMar w:left="760" w:top="125" w:right="7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3.200% SENIOR NOTES DUE 2026</w:t>
      </w:r>
    </w:p>
    <w:p>
      <w:pPr>
        <w:spacing w:after="0" w:line="144"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CUSIP 94106L BH1</w:t>
      </w:r>
    </w:p>
    <w:p>
      <w:pPr>
        <w:spacing w:after="0" w:line="248" w:lineRule="exact"/>
        <w:rPr>
          <w:sz w:val="20"/>
          <w:szCs w:val="20"/>
          <w:color w:val="auto"/>
        </w:rPr>
      </w:pPr>
    </w:p>
    <w:p>
      <w:pPr>
        <w:ind w:right="260" w:firstLine="661"/>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w:t>
      </w:r>
    </w:p>
    <w:p>
      <w:pPr>
        <w:ind w:right="40"/>
        <w:spacing w:after="0" w:line="252" w:lineRule="auto"/>
        <w:rPr>
          <w:sz w:val="20"/>
          <w:szCs w:val="20"/>
          <w:color w:val="auto"/>
        </w:rPr>
      </w:pPr>
      <w:r>
        <w:rPr>
          <w:rFonts w:ascii="Arial" w:cs="Arial" w:eastAsia="Arial" w:hAnsi="Arial"/>
          <w:sz w:val="18"/>
          <w:szCs w:val="18"/>
          <w:color w:val="auto"/>
        </w:rPr>
        <w:t>Company, the principal sum of Million ($ ) U.S. dollars, or such lesser principal sum as is shown on the attached Schedule of Exchanges of Definitive Security, on June 15, 2026 in such coin or currency of the United States of America as at the time of payment shall be legal tender for the payment of public and private debts, and to pay interest at an annual rate of 3.200% payable on June 15 and December 15 of each year, to the person in whose name this Security is registered at the close of business on the record date for such interest, which shall be the preceding June 1 or December 1, respectively, payable commencing December 15, 2019, with interest accruing from May 22, 2019, or the most recent date to which interest has been paid.</w:t>
      </w:r>
    </w:p>
    <w:p>
      <w:pPr>
        <w:spacing w:after="0" w:line="113"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89"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89" w:lineRule="exact"/>
        <w:rPr>
          <w:sz w:val="20"/>
          <w:szCs w:val="20"/>
          <w:color w:val="auto"/>
        </w:rPr>
      </w:pPr>
    </w:p>
    <w:p>
      <w:pPr>
        <w:ind w:right="160" w:firstLine="667"/>
        <w:spacing w:after="0" w:line="293" w:lineRule="auto"/>
        <w:rPr>
          <w:sz w:val="20"/>
          <w:szCs w:val="20"/>
          <w:color w:val="auto"/>
        </w:rPr>
      </w:pPr>
      <w:r>
        <w:rPr>
          <w:rFonts w:ascii="Arial" w:cs="Arial" w:eastAsia="Arial" w:hAnsi="Arial"/>
          <w:sz w:val="16"/>
          <w:szCs w:val="16"/>
          <w:color w:val="auto"/>
        </w:rPr>
        <w:t>This Security is issued in respect of a series of Securities of an initial aggregate of U.S. $750,000,000 in principal amount designated as the 3.200% Senior Notes due 2026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4"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00" w:lineRule="exact"/>
        <w:rPr>
          <w:sz w:val="20"/>
          <w:szCs w:val="20"/>
          <w:color w:val="auto"/>
        </w:rPr>
      </w:pPr>
    </w:p>
    <w:p>
      <w:pPr>
        <w:ind w:right="560"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89" w:lineRule="exact"/>
        <w:rPr>
          <w:sz w:val="20"/>
          <w:szCs w:val="20"/>
          <w:color w:val="auto"/>
        </w:rPr>
      </w:pPr>
    </w:p>
    <w:p>
      <w:pPr>
        <w:ind w:right="30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type w:val="continuous"/>
        </w:sectPr>
      </w:pPr>
    </w:p>
    <w:bookmarkStart w:id="73" w:name="page74"/>
    <w:bookmarkEnd w:id="73"/>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Dated:</w:t>
            </w:r>
          </w:p>
        </w:tc>
        <w:tc>
          <w:tcPr>
            <w:tcW w:w="7420" w:type="dxa"/>
            <w:vAlign w:val="bottom"/>
            <w:gridSpan w:val="2"/>
          </w:tcPr>
          <w:p>
            <w:pPr>
              <w:ind w:left="2240"/>
              <w:spacing w:after="0"/>
              <w:rPr>
                <w:sz w:val="20"/>
                <w:szCs w:val="20"/>
                <w:color w:val="auto"/>
              </w:rPr>
            </w:pPr>
            <w:r>
              <w:rPr>
                <w:rFonts w:ascii="Arial" w:cs="Arial" w:eastAsia="Arial" w:hAnsi="Arial"/>
                <w:sz w:val="18"/>
                <w:szCs w:val="18"/>
                <w:color w:val="auto"/>
              </w:rPr>
              <w:t>WASTE MANAGEMENT, INC., a Delaware corporation</w:t>
            </w:r>
          </w:p>
        </w:tc>
      </w:tr>
      <w:tr>
        <w:trPr>
          <w:trHeight w:val="432"/>
        </w:trPr>
        <w:tc>
          <w:tcPr>
            <w:tcW w:w="2700" w:type="dxa"/>
            <w:vAlign w:val="bottom"/>
          </w:tcPr>
          <w:p>
            <w:pPr>
              <w:spacing w:after="0"/>
              <w:rPr>
                <w:sz w:val="24"/>
                <w:szCs w:val="24"/>
                <w:color w:val="auto"/>
              </w:rPr>
            </w:pPr>
          </w:p>
        </w:tc>
        <w:tc>
          <w:tcPr>
            <w:tcW w:w="742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195"/>
        </w:trPr>
        <w:tc>
          <w:tcPr>
            <w:tcW w:w="2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2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2700" w:type="dxa"/>
            <w:vAlign w:val="bottom"/>
          </w:tcPr>
          <w:p>
            <w:pPr>
              <w:spacing w:after="0"/>
              <w:rPr>
                <w:sz w:val="24"/>
                <w:szCs w:val="24"/>
                <w:color w:val="auto"/>
              </w:rPr>
            </w:pPr>
          </w:p>
        </w:tc>
        <w:tc>
          <w:tcPr>
            <w:tcW w:w="7420" w:type="dxa"/>
            <w:vAlign w:val="bottom"/>
            <w:gridSpan w:val="2"/>
          </w:tcPr>
          <w:p>
            <w:pPr>
              <w:ind w:left="2240"/>
              <w:spacing w:after="0"/>
              <w:rPr>
                <w:sz w:val="20"/>
                <w:szCs w:val="20"/>
                <w:color w:val="auto"/>
              </w:rPr>
            </w:pPr>
            <w:r>
              <w:rPr>
                <w:rFonts w:ascii="Arial" w:cs="Arial" w:eastAsia="Arial" w:hAnsi="Arial"/>
                <w:sz w:val="18"/>
                <w:szCs w:val="18"/>
                <w:color w:val="auto"/>
              </w:rPr>
              <w:t>Attest:</w:t>
            </w:r>
          </w:p>
        </w:tc>
      </w:tr>
      <w:tr>
        <w:trPr>
          <w:trHeight w:val="432"/>
        </w:trPr>
        <w:tc>
          <w:tcPr>
            <w:tcW w:w="2700" w:type="dxa"/>
            <w:vAlign w:val="bottom"/>
          </w:tcPr>
          <w:p>
            <w:pPr>
              <w:spacing w:after="0"/>
              <w:rPr>
                <w:sz w:val="24"/>
                <w:szCs w:val="24"/>
                <w:color w:val="auto"/>
              </w:rPr>
            </w:pPr>
          </w:p>
        </w:tc>
        <w:tc>
          <w:tcPr>
            <w:tcW w:w="742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195"/>
        </w:trPr>
        <w:tc>
          <w:tcPr>
            <w:tcW w:w="2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2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280"/>
              <w:spacing w:after="0"/>
              <w:rPr>
                <w:sz w:val="20"/>
                <w:szCs w:val="20"/>
                <w:color w:val="auto"/>
              </w:rPr>
            </w:pPr>
            <w:r>
              <w:rPr>
                <w:rFonts w:ascii="Arial" w:cs="Arial" w:eastAsia="Arial" w:hAnsi="Arial"/>
                <w:sz w:val="18"/>
                <w:szCs w:val="18"/>
                <w:color w:val="auto"/>
              </w:rPr>
              <w:t>Date of Authentication:</w:t>
            </w:r>
          </w:p>
        </w:tc>
        <w:tc>
          <w:tcPr>
            <w:tcW w:w="6800" w:type="dxa"/>
            <w:vAlign w:val="bottom"/>
            <w:gridSpan w:val="2"/>
          </w:tcPr>
          <w:p>
            <w:pPr>
              <w:ind w:left="1620"/>
              <w:spacing w:after="0"/>
              <w:rPr>
                <w:sz w:val="20"/>
                <w:szCs w:val="20"/>
                <w:color w:val="auto"/>
              </w:rPr>
            </w:pPr>
            <w:r>
              <w:rPr>
                <w:rFonts w:ascii="Arial" w:cs="Arial" w:eastAsia="Arial" w:hAnsi="Arial"/>
                <w:sz w:val="18"/>
                <w:szCs w:val="18"/>
                <w:color w:val="auto"/>
              </w:rPr>
              <w:t>The Bank of New York Mellon Trust Company, N.A., as Trustee</w:t>
            </w: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680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20" w:type="dxa"/>
            <w:vAlign w:val="bottom"/>
          </w:tcPr>
          <w:p>
            <w:pPr>
              <w:spacing w:after="0"/>
              <w:rPr>
                <w:sz w:val="19"/>
                <w:szCs w:val="19"/>
                <w:color w:val="auto"/>
              </w:rPr>
            </w:pPr>
          </w:p>
        </w:tc>
      </w:tr>
      <w:tr>
        <w:trPr>
          <w:trHeight w:val="979"/>
        </w:trPr>
        <w:tc>
          <w:tcPr>
            <w:tcW w:w="3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5" w:right="7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REVERSE OF BOOK-ENTRY SECURITY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3.200% SENIOR NOTES DUE 2026</w:t>
      </w:r>
    </w:p>
    <w:p>
      <w:pPr>
        <w:spacing w:after="0" w:line="144" w:lineRule="exact"/>
        <w:rPr>
          <w:sz w:val="20"/>
          <w:szCs w:val="20"/>
          <w:color w:val="auto"/>
        </w:rPr>
      </w:pPr>
    </w:p>
    <w:p>
      <w:pPr>
        <w:ind w:firstLine="667"/>
        <w:spacing w:after="0" w:line="291"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3.200% Senior Notes due 2026 of the Company, in initial aggregate principal amount of $750,000,000 (the “Securities”).</w:t>
      </w:r>
    </w:p>
    <w:p>
      <w:pPr>
        <w:spacing w:after="0" w:line="86" w:lineRule="exact"/>
        <w:rPr>
          <w:sz w:val="20"/>
          <w:szCs w:val="20"/>
          <w:color w:val="auto"/>
        </w:rPr>
      </w:pPr>
    </w:p>
    <w:p>
      <w:pPr>
        <w:ind w:left="1320" w:hanging="680"/>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3.200% per annum.</w:t>
      </w:r>
    </w:p>
    <w:p>
      <w:pPr>
        <w:spacing w:after="0" w:line="144"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3.200% per annum, in each case to the extent lawful.</w:t>
      </w:r>
    </w:p>
    <w:p>
      <w:pPr>
        <w:spacing w:after="0" w:line="97" w:lineRule="exact"/>
        <w:rPr>
          <w:sz w:val="20"/>
          <w:szCs w:val="20"/>
          <w:color w:val="auto"/>
        </w:rPr>
      </w:pPr>
    </w:p>
    <w:p>
      <w:pPr>
        <w:ind w:left="1320" w:hanging="680"/>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44"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94" w:lineRule="exact"/>
        <w:rPr>
          <w:sz w:val="20"/>
          <w:szCs w:val="20"/>
          <w:color w:val="auto"/>
        </w:rPr>
      </w:pPr>
    </w:p>
    <w:p>
      <w:pPr>
        <w:ind w:left="1320" w:hanging="680"/>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44" w:lineRule="exact"/>
        <w:rPr>
          <w:sz w:val="20"/>
          <w:szCs w:val="20"/>
          <w:color w:val="auto"/>
        </w:rPr>
      </w:pPr>
    </w:p>
    <w:p>
      <w:pPr>
        <w:ind w:right="10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00" w:lineRule="exact"/>
        <w:rPr>
          <w:sz w:val="20"/>
          <w:szCs w:val="20"/>
          <w:color w:val="auto"/>
        </w:rPr>
      </w:pPr>
    </w:p>
    <w:p>
      <w:pPr>
        <w:ind w:left="1320" w:hanging="680"/>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5" w:name="page76"/>
    <w:bookmarkEnd w:id="75"/>
    <w:p>
      <w:pPr>
        <w:ind w:left="1320" w:hanging="680"/>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Upon the occurrence of the closing of the Merger, the foregoing provisions regarding the Special Mandatory Redemption Event will cease to apply.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320" w:hanging="680"/>
        <w:spacing w:after="0"/>
        <w:tabs>
          <w:tab w:leader="none" w:pos="132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78"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right="80" w:firstLine="667"/>
        <w:spacing w:after="0" w:line="271"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2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80" w:firstLine="667"/>
        <w:spacing w:after="0" w:line="279" w:lineRule="auto"/>
        <w:rPr>
          <w:sz w:val="20"/>
          <w:szCs w:val="20"/>
          <w:color w:val="auto"/>
        </w:rPr>
      </w:pPr>
      <w:r>
        <w:rPr>
          <w:rFonts w:ascii="Arial" w:cs="Arial" w:eastAsia="Arial" w:hAnsi="Arial"/>
          <w:sz w:val="17"/>
          <w:szCs w:val="17"/>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1"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April 15, 2026.</w:t>
      </w:r>
    </w:p>
    <w:p>
      <w:pPr>
        <w:spacing w:after="0" w:line="225" w:lineRule="exact"/>
        <w:rPr>
          <w:sz w:val="20"/>
          <w:szCs w:val="20"/>
          <w:color w:val="auto"/>
        </w:rPr>
      </w:pPr>
    </w:p>
    <w:p>
      <w:pPr>
        <w:ind w:right="20" w:firstLine="667"/>
        <w:spacing w:after="0" w:line="279" w:lineRule="auto"/>
        <w:rPr>
          <w:sz w:val="20"/>
          <w:szCs w:val="20"/>
          <w:color w:val="auto"/>
        </w:rPr>
      </w:pPr>
      <w:r>
        <w:rPr>
          <w:rFonts w:ascii="Arial" w:cs="Arial" w:eastAsia="Arial" w:hAnsi="Arial"/>
          <w:sz w:val="17"/>
          <w:szCs w:val="17"/>
          <w:color w:val="auto"/>
        </w:rPr>
        <w:t>“Reference Treasury Dealer”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71"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54"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may be redeemed in part in a minimum principal amount of $2,000, or any integral multiple of $1,000 in excess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20" w:hanging="680"/>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77" w:name="page78"/>
    <w:bookmarkEnd w:id="77"/>
    <w:p>
      <w:pPr>
        <w:ind w:left="6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80" w:right="280" w:firstLine="45"/>
        <w:spacing w:after="0" w:line="277" w:lineRule="auto"/>
        <w:rPr>
          <w:sz w:val="20"/>
          <w:szCs w:val="20"/>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sz w:val="20"/>
          <w:szCs w:val="20"/>
          <w:color w:val="auto"/>
        </w:rPr>
      </w:pPr>
    </w:p>
    <w:p>
      <w:pPr>
        <w:ind w:left="1280" w:right="180" w:firstLine="45"/>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sz w:val="20"/>
          <w:szCs w:val="20"/>
          <w:color w:val="auto"/>
        </w:rPr>
      </w:pPr>
    </w:p>
    <w:p>
      <w:pPr>
        <w:ind w:left="1280" w:right="180" w:firstLine="45"/>
        <w:spacing w:after="0" w:line="277" w:lineRule="auto"/>
        <w:rPr>
          <w:sz w:val="20"/>
          <w:szCs w:val="20"/>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3"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right="440"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44" w:lineRule="exact"/>
        <w:rPr>
          <w:sz w:val="20"/>
          <w:szCs w:val="20"/>
          <w:color w:val="auto"/>
        </w:rPr>
      </w:pPr>
    </w:p>
    <w:p>
      <w:pPr>
        <w:ind w:right="40" w:firstLine="667"/>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90"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144" w:lineRule="exact"/>
        <w:rPr>
          <w:sz w:val="20"/>
          <w:szCs w:val="20"/>
          <w:color w:val="auto"/>
        </w:rPr>
      </w:pPr>
    </w:p>
    <w:p>
      <w:pPr>
        <w:ind w:right="60" w:firstLine="667"/>
        <w:spacing w:after="0" w:line="342" w:lineRule="auto"/>
        <w:rPr>
          <w:sz w:val="20"/>
          <w:szCs w:val="20"/>
          <w:color w:val="auto"/>
        </w:rPr>
      </w:pPr>
      <w:r>
        <w:rPr>
          <w:rFonts w:ascii="Arial" w:cs="Arial" w:eastAsia="Arial" w:hAnsi="Arial"/>
          <w:sz w:val="16"/>
          <w:szCs w:val="16"/>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43" w:lineRule="exact"/>
        <w:rPr>
          <w:sz w:val="20"/>
          <w:szCs w:val="20"/>
          <w:color w:val="auto"/>
        </w:rPr>
      </w:pPr>
    </w:p>
    <w:p>
      <w:pPr>
        <w:ind w:left="1320" w:hanging="680"/>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44"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320" w:hanging="680"/>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20" w:hanging="680"/>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6" w:lineRule="exact"/>
        <w:rPr>
          <w:sz w:val="20"/>
          <w:szCs w:val="20"/>
          <w:color w:val="auto"/>
        </w:rPr>
      </w:pPr>
    </w:p>
    <w:p>
      <w:pPr>
        <w:ind w:left="1300" w:hanging="66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44" w:lineRule="exact"/>
        <w:rPr>
          <w:sz w:val="20"/>
          <w:szCs w:val="20"/>
          <w:color w:val="auto"/>
        </w:rPr>
      </w:pPr>
    </w:p>
    <w:p>
      <w:pPr>
        <w:ind w:firstLine="667"/>
        <w:spacing w:after="0" w:line="268"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79" w:name="page80"/>
    <w:bookmarkEnd w:id="79"/>
    <w:p>
      <w:pPr>
        <w:ind w:left="1320" w:hanging="680"/>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20" w:hanging="680"/>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20" w:hanging="680"/>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20" w:hanging="680"/>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right="140" w:firstLine="667"/>
        <w:spacing w:after="0" w:line="312" w:lineRule="auto"/>
        <w:rPr>
          <w:sz w:val="20"/>
          <w:szCs w:val="20"/>
          <w:color w:val="auto"/>
        </w:rPr>
      </w:pPr>
      <w:r>
        <w:rPr>
          <w:rFonts w:ascii="Arial" w:cs="Arial" w:eastAsia="Arial" w:hAnsi="Arial"/>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7" w:lineRule="exact"/>
        <w:rPr>
          <w:sz w:val="20"/>
          <w:szCs w:val="20"/>
          <w:color w:val="auto"/>
        </w:rPr>
      </w:pPr>
    </w:p>
    <w:p>
      <w:pPr>
        <w:ind w:left="1320" w:hanging="680"/>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48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20" w:hanging="680"/>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220" w:firstLine="667"/>
        <w:spacing w:after="0" w:line="255"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93" w:lineRule="exact"/>
        <w:rPr>
          <w:sz w:val="20"/>
          <w:szCs w:val="20"/>
          <w:color w:val="auto"/>
        </w:rPr>
      </w:pPr>
    </w:p>
    <w:p>
      <w:pPr>
        <w:ind w:left="1320" w:hanging="680"/>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20" w:hanging="680"/>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8" w:lineRule="exact"/>
        <w:rPr>
          <w:sz w:val="20"/>
          <w:szCs w:val="20"/>
          <w:color w:val="auto"/>
        </w:rPr>
      </w:pPr>
    </w:p>
    <w:p>
      <w:pPr>
        <w:ind w:left="1280" w:hanging="622"/>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25" w:right="7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 Amount</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1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Exchange</w:t>
            </w:r>
          </w:p>
        </w:tc>
        <w:tc>
          <w:tcPr>
            <w:tcW w:w="2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Book-Entry</w:t>
            </w:r>
          </w:p>
        </w:tc>
        <w:tc>
          <w:tcPr>
            <w:tcW w:w="2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7"/>
        </w:trPr>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25" w:right="7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380" w:right="14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which 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380"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ind w:left="380" w:right="7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offerings of securities to finance the Merger Consideration;</w:t>
      </w:r>
    </w:p>
    <w:p>
      <w:pPr>
        <w:spacing w:after="0" w:line="162" w:lineRule="exact"/>
        <w:rPr>
          <w:sz w:val="20"/>
          <w:szCs w:val="20"/>
          <w:color w:val="auto"/>
        </w:rPr>
      </w:pPr>
    </w:p>
    <w:p>
      <w:pPr>
        <w:ind w:left="380"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subsidiaries;</w:t>
      </w:r>
    </w:p>
    <w:p>
      <w:pPr>
        <w:spacing w:after="0" w:line="162" w:lineRule="exact"/>
        <w:rPr>
          <w:sz w:val="20"/>
          <w:szCs w:val="20"/>
          <w:color w:val="auto"/>
        </w:rPr>
      </w:pPr>
    </w:p>
    <w:p>
      <w:pPr>
        <w:ind w:left="380"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party to that certain indenture, dated as of September 10, 1997 (as amended, restated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Company Existing Indenture</w:t>
      </w:r>
      <w:r>
        <w:rPr>
          <w:rFonts w:ascii="Arial" w:cs="Arial" w:eastAsia="Arial" w:hAnsi="Arial"/>
          <w:sz w:val="18"/>
          <w:szCs w:val="18"/>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8"/>
          <w:szCs w:val="18"/>
          <w:u w:val="single" w:color="auto"/>
          <w:color w:val="auto"/>
        </w:rPr>
        <w:t>2028 Notes</w:t>
      </w:r>
      <w:r>
        <w:rPr>
          <w:rFonts w:ascii="Arial" w:cs="Arial" w:eastAsia="Arial" w:hAnsi="Arial"/>
          <w:sz w:val="18"/>
          <w:szCs w:val="18"/>
          <w:color w:val="auto"/>
        </w:rPr>
        <w:t>”), (ii) the Company’s 7.375% Senior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(iii) the Company’s 7.75% Senior Notes due 2032 (the “</w:t>
      </w:r>
      <w:r>
        <w:rPr>
          <w:rFonts w:ascii="Arial" w:cs="Arial" w:eastAsia="Arial" w:hAnsi="Arial"/>
          <w:sz w:val="18"/>
          <w:szCs w:val="18"/>
          <w:u w:val="single" w:color="auto"/>
          <w:color w:val="auto"/>
        </w:rPr>
        <w:t>2032 Notes</w:t>
      </w:r>
      <w:r>
        <w:rPr>
          <w:rFonts w:ascii="Arial" w:cs="Arial" w:eastAsia="Arial" w:hAnsi="Arial"/>
          <w:sz w:val="18"/>
          <w:szCs w:val="18"/>
          <w:color w:val="auto"/>
        </w:rPr>
        <w:t>”), and (iv) the Company’s 6.125% Senior Notes due 2039 (the “</w:t>
      </w:r>
      <w:r>
        <w:rPr>
          <w:rFonts w:ascii="Arial" w:cs="Arial" w:eastAsia="Arial" w:hAnsi="Arial"/>
          <w:sz w:val="18"/>
          <w:szCs w:val="18"/>
          <w:u w:val="single" w:color="auto"/>
          <w:color w:val="auto"/>
        </w:rPr>
        <w:t>2039 Notes</w:t>
      </w:r>
      <w:r>
        <w:rPr>
          <w:rFonts w:ascii="Arial" w:cs="Arial" w:eastAsia="Arial" w:hAnsi="Arial"/>
          <w:sz w:val="18"/>
          <w:szCs w:val="18"/>
          <w:color w:val="auto"/>
        </w:rPr>
        <w:t>”);</w:t>
      </w:r>
    </w:p>
    <w:p>
      <w:pPr>
        <w:spacing w:after="0" w:line="188" w:lineRule="exact"/>
        <w:rPr>
          <w:sz w:val="20"/>
          <w:szCs w:val="20"/>
          <w:color w:val="auto"/>
        </w:rPr>
      </w:pPr>
    </w:p>
    <w:p>
      <w:pPr>
        <w:ind w:left="380" w:right="40" w:firstLine="648"/>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w:t>
      </w:r>
    </w:p>
    <w:p>
      <w:pPr>
        <w:spacing w:after="0" w:line="2" w:lineRule="exact"/>
        <w:rPr>
          <w:sz w:val="20"/>
          <w:szCs w:val="20"/>
          <w:color w:val="auto"/>
        </w:rPr>
      </w:pPr>
    </w:p>
    <w:p>
      <w:pPr>
        <w:ind w:left="380" w:right="180"/>
        <w:spacing w:after="0" w:line="261" w:lineRule="auto"/>
        <w:rPr>
          <w:sz w:val="20"/>
          <w:szCs w:val="20"/>
          <w:color w:val="auto"/>
        </w:rPr>
      </w:pPr>
      <w:r>
        <w:rPr>
          <w:rFonts w:ascii="Arial" w:cs="Arial" w:eastAsia="Arial" w:hAnsi="Arial"/>
          <w:sz w:val="18"/>
          <w:szCs w:val="18"/>
          <w:color w:val="auto"/>
        </w:rPr>
        <w:t>7.10%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and together with the 2028 Notes, the 2029 Notes, the 2032 Notes and the 2039 Notes, the “</w:t>
      </w:r>
      <w:r>
        <w:rPr>
          <w:rFonts w:ascii="Arial" w:cs="Arial" w:eastAsia="Arial" w:hAnsi="Arial"/>
          <w:sz w:val="18"/>
          <w:szCs w:val="18"/>
          <w:u w:val="single" w:color="auto"/>
          <w:color w:val="auto"/>
        </w:rPr>
        <w:t>Specified Existing Notes</w:t>
      </w:r>
      <w:r>
        <w:rPr>
          <w:rFonts w:ascii="Arial" w:cs="Arial" w:eastAsia="Arial" w:hAnsi="Arial"/>
          <w:sz w:val="18"/>
          <w:szCs w:val="18"/>
          <w:color w:val="auto"/>
        </w:rPr>
        <w:t>”); and</w:t>
      </w:r>
    </w:p>
    <w:p>
      <w:pPr>
        <w:spacing w:after="0" w:line="180" w:lineRule="exact"/>
        <w:rPr>
          <w:sz w:val="20"/>
          <w:szCs w:val="20"/>
          <w:color w:val="auto"/>
        </w:rPr>
      </w:pPr>
    </w:p>
    <w:p>
      <w:pPr>
        <w:ind w:left="38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the eventual redemption and/or refinancing of the Specified Existing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deems it advisable to approve the Company’ pursuit of tender offers and/or redemption transactions with respect to the Specified Existing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740" w:hanging="360"/>
        <w:spacing w:after="0"/>
        <w:tabs>
          <w:tab w:leader="none" w:pos="7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6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 shelf</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S-3 (the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pursuant to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7"/>
          <w:szCs w:val="17"/>
          <w:u w:val="single" w:color="auto"/>
          <w:color w:val="auto"/>
        </w:rPr>
        <w:t>Registered Debt Securities</w:t>
      </w:r>
      <w:r>
        <w:rPr>
          <w:rFonts w:ascii="Arial" w:cs="Arial" w:eastAsia="Arial" w:hAnsi="Arial"/>
          <w:sz w:val="17"/>
          <w:szCs w:val="17"/>
          <w:color w:val="auto"/>
        </w:rPr>
        <w:t>”); common stock of the Company, par value $0.01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7"/>
          <w:szCs w:val="17"/>
          <w:u w:val="single" w:color="auto"/>
          <w:color w:val="auto"/>
        </w:rPr>
        <w:t>Registered Securities</w:t>
      </w:r>
      <w:r>
        <w:rPr>
          <w:rFonts w:ascii="Arial" w:cs="Arial" w:eastAsia="Arial" w:hAnsi="Arial"/>
          <w:sz w:val="17"/>
          <w:szCs w:val="17"/>
          <w:color w:val="auto"/>
        </w:rPr>
        <w:t>”), to be issued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82" w:name="page83"/>
    <w:bookmarkEnd w:id="82"/>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shall be deemed rescinded and superseded hereby;</w:t>
      </w:r>
    </w:p>
    <w:p>
      <w:pPr>
        <w:spacing w:after="0" w:line="162"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(as established pursuant to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be, and each of 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of 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be, and each of them hereby is, authorized,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Company is authorized to offer, issue and sell, or cause any subsidiary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sell, debt securities denominated in Canadian dollars (the “</w:t>
      </w:r>
      <w:r>
        <w:rPr>
          <w:rFonts w:ascii="Arial" w:cs="Arial" w:eastAsia="Arial" w:hAnsi="Arial"/>
          <w:sz w:val="18"/>
          <w:szCs w:val="18"/>
          <w:u w:val="single" w:color="auto"/>
          <w:color w:val="auto"/>
        </w:rPr>
        <w:t>Canadian Notes</w:t>
      </w:r>
      <w:r>
        <w:rPr>
          <w:rFonts w:ascii="Arial" w:cs="Arial" w:eastAsia="Arial" w:hAnsi="Arial"/>
          <w:sz w:val="18"/>
          <w:szCs w:val="18"/>
          <w:color w:val="auto"/>
        </w:rPr>
        <w:t>,” together with any Canadian Notes Guarantees (as defined below) the “</w:t>
      </w:r>
      <w:r>
        <w:rPr>
          <w:rFonts w:ascii="Arial" w:cs="Arial" w:eastAsia="Arial" w:hAnsi="Arial"/>
          <w:sz w:val="18"/>
          <w:szCs w:val="18"/>
          <w:u w:val="single" w:color="auto"/>
          <w:color w:val="auto"/>
        </w:rPr>
        <w:t>Canadian Securities</w:t>
      </w:r>
      <w:r>
        <w:rPr>
          <w:rFonts w:ascii="Arial" w:cs="Arial" w:eastAsia="Arial" w:hAnsi="Arial"/>
          <w:sz w:val="18"/>
          <w:szCs w:val="18"/>
          <w:color w:val="auto"/>
        </w:rPr>
        <w:t>,” and together with the Registered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transactions exempt from registration under the Securities Act, 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each of them, shall have full authority to authorize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62" w:lineRule="exact"/>
        <w:rPr>
          <w:sz w:val="20"/>
          <w:szCs w:val="20"/>
          <w:color w:val="auto"/>
        </w:rPr>
      </w:pPr>
    </w:p>
    <w:p>
      <w:pPr>
        <w:ind w:right="80" w:firstLine="527"/>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preparation and use of a preliminary offering memorandum relating to the Canadian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 together or individually, and those other employees of the Company as any of them shall designate, are hereby authorized and directed in the name and on behalf of the Company to prepare a pricing supplement (the “</w:t>
      </w:r>
      <w:r>
        <w:rPr>
          <w:rFonts w:ascii="Arial" w:cs="Arial" w:eastAsia="Arial" w:hAnsi="Arial"/>
          <w:sz w:val="17"/>
          <w:szCs w:val="17"/>
          <w:u w:val="single" w:color="auto"/>
          <w:color w:val="auto"/>
        </w:rPr>
        <w:t>Pricing Supplement</w:t>
      </w:r>
      <w:r>
        <w:rPr>
          <w:rFonts w:ascii="Arial" w:cs="Arial" w:eastAsia="Arial" w:hAnsi="Arial"/>
          <w:sz w:val="17"/>
          <w:szCs w:val="17"/>
          <w:color w:val="auto"/>
        </w:rPr>
        <w:t>”) in connection with the Canadian Offering, and the final offering 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 Authorized Officers deems necessary or appropriate in connection with the Canadian Offering, such approval to be conclusively evidenced by the distribution of such supplement or amendment by or on behalf of the Company to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464185</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121" w:right="759" w:bottom="1440" w:gutter="0" w:footer="0" w:header="0"/>
        </w:sectPr>
      </w:pPr>
    </w:p>
    <w:bookmarkStart w:id="83" w:name="page84"/>
    <w:bookmarkEnd w:id="83"/>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appropriate qualification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approve 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may, at any time and from time to time, on behalf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6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these 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of any Securities of any series which may not be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at one time (except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99" w:lineRule="exact"/>
        <w:rPr>
          <w:sz w:val="20"/>
          <w:szCs w:val="20"/>
          <w:color w:val="auto"/>
        </w:rPr>
      </w:pPr>
    </w:p>
    <w:p>
      <w:pPr>
        <w:jc w:val="both"/>
        <w:ind w:right="5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and sale of any Securities, that the Company may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therefrom: (1) 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9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any 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417830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121" w:right="759" w:bottom="1440" w:gutter="0" w:footer="0" w:header="0"/>
        </w:sectPr>
      </w:pPr>
    </w:p>
    <w:bookmarkStart w:id="84" w:name="page85"/>
    <w:bookmarkEnd w:id="84"/>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 (i) and (ii) being referred to as </w:t>
      </w:r>
      <w:r>
        <w:rPr>
          <w:rFonts w:ascii="Arial" w:cs="Arial" w:eastAsia="Arial" w:hAnsi="Arial"/>
          <w:sz w:val="16"/>
          <w:szCs w:val="16"/>
          <w:u w:val="single" w:color="auto"/>
          <w:color w:val="auto"/>
        </w:rPr>
        <w:t>“Liability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7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determine any and all terms and conditions of the Liability Management Transactions as the Authorized Officers may deem necessary, advisable or appropriate;</w:t>
      </w:r>
    </w:p>
    <w:p>
      <w:pPr>
        <w:spacing w:after="0" w:line="9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1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87"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80"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be, and each of them hereby is, authorized,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453390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1140" w:top="121" w:right="779" w:bottom="1440" w:gutter="0" w:footer="0" w:header="0"/>
        </w:sectPr>
      </w:pPr>
    </w:p>
    <w:bookmarkStart w:id="85" w:name="page86"/>
    <w:bookmarkEnd w:id="85"/>
    <w:p>
      <w:pPr>
        <w:ind w:left="380"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in 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80" w:hanging="352"/>
        <w:spacing w:after="0"/>
        <w:tabs>
          <w:tab w:leader="none" w:pos="13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2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others hereby 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4" w:lineRule="exact"/>
        <w:rPr>
          <w:sz w:val="20"/>
          <w:szCs w:val="20"/>
          <w:color w:val="auto"/>
        </w:rPr>
      </w:pPr>
    </w:p>
    <w:p>
      <w:pPr>
        <w:ind w:left="380" w:right="4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and 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4" w:lineRule="exact"/>
        <w:rPr>
          <w:sz w:val="20"/>
          <w:szCs w:val="20"/>
          <w:color w:val="auto"/>
        </w:rPr>
      </w:pPr>
    </w:p>
    <w:p>
      <w:pPr>
        <w:ind w:left="380" w:right="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left="380" w:right="3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officers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56" w:lineRule="exact"/>
        <w:rPr>
          <w:sz w:val="20"/>
          <w:szCs w:val="20"/>
          <w:color w:val="auto"/>
        </w:rPr>
      </w:pPr>
    </w:p>
    <w:p>
      <w:pPr>
        <w:ind w:left="3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1300"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100" w:firstLine="1288"/>
        <w:spacing w:after="0" w:line="257" w:lineRule="auto"/>
        <w:tabs>
          <w:tab w:leader="none" w:pos="19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$1,000,000,000 aggregate principal amount of 3.450% Senior Notes due 2029 (the “Notes”).</w:t>
      </w:r>
    </w:p>
    <w:p>
      <w:pPr>
        <w:spacing w:after="0" w:line="188" w:lineRule="exact"/>
        <w:rPr>
          <w:rFonts w:ascii="Arial" w:cs="Arial" w:eastAsia="Arial" w:hAnsi="Arial"/>
          <w:sz w:val="18"/>
          <w:szCs w:val="18"/>
          <w:color w:val="auto"/>
        </w:rPr>
      </w:pPr>
    </w:p>
    <w:p>
      <w:pPr>
        <w:ind w:left="1960" w:hanging="672"/>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undersigned have read Sections 102, 103, 301 and 303 of the Indenture and the definitions in the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jc w:val="both"/>
        <w:ind w:right="140" w:firstLine="1288"/>
        <w:spacing w:after="0" w:line="264" w:lineRule="auto"/>
        <w:tabs>
          <w:tab w:leader="none" w:pos="19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72"/>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read the covenants, conditions and provisions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relating thereto.</w:t>
      </w:r>
    </w:p>
    <w:p>
      <w:pPr>
        <w:spacing w:after="0" w:line="210" w:lineRule="exact"/>
        <w:rPr>
          <w:rFonts w:ascii="Arial" w:cs="Arial" w:eastAsia="Arial" w:hAnsi="Arial"/>
          <w:sz w:val="17"/>
          <w:szCs w:val="17"/>
          <w:color w:val="auto"/>
        </w:rPr>
      </w:pPr>
    </w:p>
    <w:p>
      <w:pPr>
        <w:ind w:right="260" w:firstLine="1288"/>
        <w:spacing w:after="0" w:line="264" w:lineRule="auto"/>
        <w:tabs>
          <w:tab w:leader="none" w:pos="19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60" w:firstLine="1288"/>
        <w:spacing w:after="0" w:line="264" w:lineRule="auto"/>
        <w:tabs>
          <w:tab w:leader="none" w:pos="19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jc w:val="both"/>
        <w:ind w:right="200" w:firstLine="1288"/>
        <w:spacing w:after="0" w:line="264" w:lineRule="auto"/>
        <w:tabs>
          <w:tab w:leader="none" w:pos="19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87" w:name="page88"/>
    <w:bookmarkEnd w:id="87"/>
    <w:p>
      <w:pPr>
        <w:ind w:left="6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622935</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20"/>
          </w:cols>
          <w:pgMar w:left="1440" w:top="517" w:right="839" w:bottom="1440" w:gutter="0" w:footer="0" w:header="0"/>
        </w:sectPr>
      </w:pPr>
    </w:p>
    <w:bookmarkStart w:id="88" w:name="page89"/>
    <w:bookmarkEnd w:id="88"/>
    <w:p>
      <w:pPr>
        <w:jc w:val="center"/>
        <w:ind w:right="-8"/>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9" w:firstLine="1296"/>
        <w:spacing w:after="0" w:line="273" w:lineRule="auto"/>
        <w:rPr>
          <w:sz w:val="20"/>
          <w:szCs w:val="20"/>
          <w:color w:val="auto"/>
        </w:rPr>
      </w:pPr>
      <w:r>
        <w:rPr>
          <w:rFonts w:ascii="Arial" w:cs="Arial" w:eastAsia="Arial" w:hAnsi="Arial"/>
          <w:sz w:val="17"/>
          <w:szCs w:val="17"/>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8" w:lineRule="exact"/>
        <w:rPr>
          <w:sz w:val="20"/>
          <w:szCs w:val="20"/>
          <w:color w:val="auto"/>
        </w:rPr>
      </w:pPr>
    </w:p>
    <w:p>
      <w:pPr>
        <w:ind w:left="649" w:hanging="649"/>
        <w:spacing w:after="0"/>
        <w:tabs>
          <w:tab w:leader="none" w:pos="6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title of the series of Securities shall be “3.450% Senior Notes due 2029”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w:t>
      </w:r>
    </w:p>
    <w:p>
      <w:pPr>
        <w:spacing w:after="0" w:line="23" w:lineRule="exact"/>
        <w:rPr>
          <w:rFonts w:ascii="Arial" w:cs="Arial" w:eastAsia="Arial" w:hAnsi="Arial"/>
          <w:sz w:val="18"/>
          <w:szCs w:val="18"/>
          <w:color w:val="auto"/>
        </w:rPr>
      </w:pPr>
    </w:p>
    <w:p>
      <w:pPr>
        <w:ind w:left="649" w:right="260"/>
        <w:spacing w:after="0" w:line="254" w:lineRule="auto"/>
        <w:rPr>
          <w:rFonts w:ascii="Arial" w:cs="Arial" w:eastAsia="Arial" w:hAnsi="Arial"/>
          <w:sz w:val="18"/>
          <w:szCs w:val="18"/>
          <w:color w:val="auto"/>
        </w:rPr>
      </w:pPr>
      <w:r>
        <w:rPr>
          <w:rFonts w:ascii="Arial" w:cs="Arial" w:eastAsia="Arial" w:hAnsi="Arial"/>
          <w:sz w:val="18"/>
          <w:szCs w:val="18"/>
          <w:color w:val="auto"/>
        </w:rPr>
        <w:t>$1,000,000,000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9" w:lineRule="exact"/>
        <w:rPr>
          <w:rFonts w:ascii="Arial" w:cs="Arial" w:eastAsia="Arial" w:hAnsi="Arial"/>
          <w:sz w:val="18"/>
          <w:szCs w:val="18"/>
          <w:color w:val="auto"/>
        </w:rPr>
      </w:pPr>
    </w:p>
    <w:p>
      <w:pPr>
        <w:ind w:left="649" w:hanging="649"/>
        <w:spacing w:after="0"/>
        <w:tabs>
          <w:tab w:leader="none" w:pos="6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2029.</w:t>
      </w:r>
    </w:p>
    <w:p>
      <w:pPr>
        <w:spacing w:after="0" w:line="225" w:lineRule="exact"/>
        <w:rPr>
          <w:rFonts w:ascii="Arial" w:cs="Arial" w:eastAsia="Arial" w:hAnsi="Arial"/>
          <w:sz w:val="18"/>
          <w:szCs w:val="18"/>
          <w:color w:val="auto"/>
        </w:rPr>
      </w:pPr>
    </w:p>
    <w:p>
      <w:pPr>
        <w:ind w:left="649" w:right="100" w:hanging="649"/>
        <w:spacing w:after="0" w:line="25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Note shall bear interest from May 22, 2019 at the fixed rate of 3.450%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88" w:lineRule="exact"/>
        <w:rPr>
          <w:rFonts w:ascii="Arial" w:cs="Arial" w:eastAsia="Arial" w:hAnsi="Arial"/>
          <w:sz w:val="18"/>
          <w:szCs w:val="18"/>
          <w:color w:val="auto"/>
        </w:rPr>
      </w:pPr>
    </w:p>
    <w:p>
      <w:pPr>
        <w:ind w:left="649" w:right="200" w:hanging="649"/>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49" w:hanging="649"/>
        <w:spacing w:after="0" w:line="259" w:lineRule="auto"/>
        <w:tabs>
          <w:tab w:leader="none" w:pos="6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ind w:left="649" w:hanging="649"/>
        <w:spacing w:after="0" w:line="279"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1" w:lineRule="exact"/>
        <w:rPr>
          <w:rFonts w:ascii="Arial" w:cs="Arial" w:eastAsia="Arial" w:hAnsi="Arial"/>
          <w:sz w:val="17"/>
          <w:szCs w:val="17"/>
          <w:color w:val="auto"/>
        </w:rPr>
      </w:pPr>
    </w:p>
    <w:p>
      <w:pPr>
        <w:ind w:left="649" w:right="20" w:hanging="649"/>
        <w:spacing w:after="0" w:line="289"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March 15, 2029.</w:t>
      </w:r>
    </w:p>
    <w:p>
      <w:pPr>
        <w:spacing w:after="0" w:line="166" w:lineRule="exact"/>
        <w:rPr>
          <w:rFonts w:ascii="Arial" w:cs="Arial" w:eastAsia="Arial" w:hAnsi="Arial"/>
          <w:sz w:val="16"/>
          <w:szCs w:val="16"/>
          <w:color w:val="auto"/>
        </w:rPr>
      </w:pPr>
    </w:p>
    <w:p>
      <w:pPr>
        <w:ind w:left="649" w:right="40" w:hanging="649"/>
        <w:spacing w:after="0" w:line="342" w:lineRule="auto"/>
        <w:tabs>
          <w:tab w:leader="none" w:pos="6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517" w:right="759" w:bottom="1440" w:gutter="0" w:footer="0" w:header="0"/>
        </w:sectPr>
      </w:pPr>
    </w:p>
    <w:bookmarkStart w:id="89" w:name="page90"/>
    <w:bookmarkEnd w:id="89"/>
    <w:p>
      <w:pPr>
        <w:ind w:left="649" w:right="220" w:hanging="649"/>
        <w:spacing w:after="0" w:line="277"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49" w:hanging="649"/>
        <w:spacing w:after="0"/>
        <w:tabs>
          <w:tab w:leader="none" w:pos="6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49" w:hanging="649"/>
        <w:spacing w:after="0" w:line="257" w:lineRule="auto"/>
        <w:tabs>
          <w:tab w:leader="none" w:pos="6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49" w:hanging="649"/>
        <w:spacing w:after="0" w:line="25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9" w:lineRule="exact"/>
        <w:rPr>
          <w:rFonts w:ascii="Arial" w:cs="Arial" w:eastAsia="Arial" w:hAnsi="Arial"/>
          <w:sz w:val="18"/>
          <w:szCs w:val="18"/>
          <w:color w:val="auto"/>
        </w:rPr>
      </w:pPr>
    </w:p>
    <w:p>
      <w:pPr>
        <w:ind w:left="649" w:right="120" w:hanging="649"/>
        <w:spacing w:after="0" w:line="308" w:lineRule="auto"/>
        <w:tabs>
          <w:tab w:leader="none" w:pos="657"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17" w:right="73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color w:val="auto"/>
        </w:rPr>
        <w:t>BOOK-ENTRY SECURITY</w:t>
      </w:r>
    </w:p>
    <w:p>
      <w:pPr>
        <w:spacing w:after="0" w:line="144"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08"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400"/>
          </w:cols>
          <w:pgMar w:left="760" w:top="517" w:right="7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w:t>
      </w:r>
    </w:p>
    <w:p>
      <w:pPr>
        <w:spacing w:after="0" w:line="200" w:lineRule="exact"/>
        <w:rPr>
          <w:sz w:val="20"/>
          <w:szCs w:val="20"/>
          <w:color w:val="auto"/>
        </w:rPr>
      </w:pPr>
    </w:p>
    <w:p>
      <w:pPr>
        <w:sectPr>
          <w:pgSz w:w="11900" w:h="16838" w:orient="portrait"/>
          <w:cols w:equalWidth="0" w:num="2">
            <w:col w:w="8380" w:space="720"/>
            <w:col w:w="1300"/>
          </w:cols>
          <w:pgMar w:left="760" w:top="51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7900" w:space="720"/>
            <w:col w:w="1780"/>
          </w:cols>
          <w:pgMar w:left="760" w:top="517" w:right="7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3.450% SENIOR NOTES DUE 2029</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CUSIP 94106L BG3</w:t>
      </w:r>
    </w:p>
    <w:p>
      <w:pPr>
        <w:spacing w:after="0" w:line="234" w:lineRule="exact"/>
        <w:rPr>
          <w:sz w:val="20"/>
          <w:szCs w:val="20"/>
          <w:color w:val="auto"/>
        </w:rPr>
      </w:pPr>
    </w:p>
    <w:p>
      <w:pPr>
        <w:ind w:right="260" w:firstLine="661"/>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w:t>
      </w:r>
    </w:p>
    <w:p>
      <w:pPr>
        <w:ind w:right="40"/>
        <w:spacing w:after="0" w:line="252" w:lineRule="auto"/>
        <w:rPr>
          <w:sz w:val="20"/>
          <w:szCs w:val="20"/>
          <w:color w:val="auto"/>
        </w:rPr>
      </w:pPr>
      <w:r>
        <w:rPr>
          <w:rFonts w:ascii="Arial" w:cs="Arial" w:eastAsia="Arial" w:hAnsi="Arial"/>
          <w:sz w:val="18"/>
          <w:szCs w:val="18"/>
          <w:color w:val="auto"/>
        </w:rPr>
        <w:t>Company, the principal sum of Million ($ ) U.S. dollars, or such lesser principal sum as is shown on the attached Schedule of Exchanges of Definitive Security, on June 15, 2029 in such coin or currency of the United States of America as at the time of payment shall be legal tender for the payment of public and private debts, and to pay interest at an annual rate of 3.450% payable on June 15 and December 15 of each year, to the person in whose name this Security is registered at the close of business on the record date for such interest, which shall be the preceding June 1 or December 1, respectively, payable commencing December 15, 2019, with interest accruing from May 22, 2019, or the most recent date to which interest has been paid.</w:t>
      </w:r>
    </w:p>
    <w:p>
      <w:pPr>
        <w:spacing w:after="0" w:line="113"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89"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89" w:lineRule="exact"/>
        <w:rPr>
          <w:sz w:val="20"/>
          <w:szCs w:val="20"/>
          <w:color w:val="auto"/>
        </w:rPr>
      </w:pPr>
    </w:p>
    <w:p>
      <w:pPr>
        <w:ind w:right="40" w:firstLine="667"/>
        <w:spacing w:after="0" w:line="293" w:lineRule="auto"/>
        <w:rPr>
          <w:sz w:val="20"/>
          <w:szCs w:val="20"/>
          <w:color w:val="auto"/>
        </w:rPr>
      </w:pPr>
      <w:r>
        <w:rPr>
          <w:rFonts w:ascii="Arial" w:cs="Arial" w:eastAsia="Arial" w:hAnsi="Arial"/>
          <w:sz w:val="16"/>
          <w:szCs w:val="16"/>
          <w:color w:val="auto"/>
        </w:rPr>
        <w:t>This Security is issued in respect of a series of Securities of an initial aggregate of U.S. $1,000,000,000 in principal amount designated as the 3.450%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4"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00" w:lineRule="exact"/>
        <w:rPr>
          <w:sz w:val="20"/>
          <w:szCs w:val="20"/>
          <w:color w:val="auto"/>
        </w:rPr>
      </w:pPr>
    </w:p>
    <w:p>
      <w:pPr>
        <w:ind w:right="560"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89" w:lineRule="exact"/>
        <w:rPr>
          <w:sz w:val="20"/>
          <w:szCs w:val="20"/>
          <w:color w:val="auto"/>
        </w:rPr>
      </w:pPr>
    </w:p>
    <w:p>
      <w:pPr>
        <w:ind w:right="30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tc>
      </w:tr>
      <w:tr>
        <w:trPr>
          <w:trHeight w:val="634"/>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WASTE MANAGEMENT, INC.,</w:t>
            </w:r>
          </w:p>
        </w:tc>
      </w:tr>
      <w:tr>
        <w:trPr>
          <w:trHeight w:val="230"/>
        </w:trPr>
        <w:tc>
          <w:tcPr>
            <w:tcW w:w="560" w:type="dxa"/>
            <w:vAlign w:val="bottom"/>
          </w:tcPr>
          <w:p>
            <w:pPr>
              <w:spacing w:after="0"/>
              <w:rPr>
                <w:sz w:val="20"/>
                <w:szCs w:val="20"/>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 Delaware corporation</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Attest:</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5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-130810</wp:posOffset>
            </wp:positionV>
            <wp:extent cx="30016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REVERSE OF BOOK-ENTRY SECURITY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3.450% SENIOR NOTES DUE 2029</w:t>
      </w:r>
    </w:p>
    <w:p>
      <w:pPr>
        <w:spacing w:after="0" w:line="144" w:lineRule="exact"/>
        <w:rPr>
          <w:sz w:val="20"/>
          <w:szCs w:val="20"/>
          <w:color w:val="auto"/>
        </w:rPr>
      </w:pPr>
    </w:p>
    <w:p>
      <w:pPr>
        <w:ind w:firstLine="667"/>
        <w:spacing w:after="0" w:line="291"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3.450% Senior Notes due 2029 of the Company, in initial aggregate principal amount of $1,000,000,000 (the “Securities”).</w:t>
      </w:r>
    </w:p>
    <w:p>
      <w:pPr>
        <w:spacing w:after="0" w:line="86" w:lineRule="exact"/>
        <w:rPr>
          <w:sz w:val="20"/>
          <w:szCs w:val="20"/>
          <w:color w:val="auto"/>
        </w:rPr>
      </w:pPr>
    </w:p>
    <w:p>
      <w:pPr>
        <w:ind w:left="1320" w:hanging="680"/>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3.450% per annum.</w:t>
      </w:r>
    </w:p>
    <w:p>
      <w:pPr>
        <w:spacing w:after="0" w:line="144"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3.450% per annum, in each case to the extent lawful.</w:t>
      </w:r>
    </w:p>
    <w:p>
      <w:pPr>
        <w:spacing w:after="0" w:line="178" w:lineRule="exact"/>
        <w:rPr>
          <w:sz w:val="20"/>
          <w:szCs w:val="20"/>
          <w:color w:val="auto"/>
        </w:rPr>
      </w:pPr>
    </w:p>
    <w:p>
      <w:pPr>
        <w:ind w:left="1320" w:hanging="680"/>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94" w:lineRule="exact"/>
        <w:rPr>
          <w:sz w:val="20"/>
          <w:szCs w:val="20"/>
          <w:color w:val="auto"/>
        </w:rPr>
      </w:pPr>
    </w:p>
    <w:p>
      <w:pPr>
        <w:ind w:left="1320" w:hanging="680"/>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44" w:lineRule="exact"/>
        <w:rPr>
          <w:sz w:val="20"/>
          <w:szCs w:val="20"/>
          <w:color w:val="auto"/>
        </w:rPr>
      </w:pPr>
    </w:p>
    <w:p>
      <w:pPr>
        <w:ind w:right="10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00" w:lineRule="exact"/>
        <w:rPr>
          <w:sz w:val="20"/>
          <w:szCs w:val="20"/>
          <w:color w:val="auto"/>
        </w:rPr>
      </w:pPr>
    </w:p>
    <w:p>
      <w:pPr>
        <w:ind w:left="1320" w:hanging="680"/>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44"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89"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3" w:name="page94"/>
    <w:bookmarkEnd w:id="93"/>
    <w:p>
      <w:pPr>
        <w:ind w:left="1320" w:hanging="680"/>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0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0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Upon the occurrence of the closing of the Merger, the foregoing provisions regarding the Special Mandatory Redemption Event will cease to apply.</w:t>
      </w:r>
    </w:p>
    <w:p>
      <w:pPr>
        <w:spacing w:after="0" w:line="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00" w:lineRule="exact"/>
        <w:rPr>
          <w:sz w:val="20"/>
          <w:szCs w:val="20"/>
          <w:color w:val="auto"/>
        </w:rPr>
      </w:pPr>
    </w:p>
    <w:p>
      <w:pPr>
        <w:ind w:left="1320" w:hanging="680"/>
        <w:spacing w:after="0"/>
        <w:tabs>
          <w:tab w:leader="none" w:pos="132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144"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78"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00" w:lineRule="exact"/>
        <w:rPr>
          <w:sz w:val="20"/>
          <w:szCs w:val="20"/>
          <w:color w:val="auto"/>
        </w:rPr>
      </w:pPr>
    </w:p>
    <w:p>
      <w:pPr>
        <w:ind w:right="80" w:firstLine="667"/>
        <w:spacing w:after="0" w:line="271"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4" w:name="page95"/>
    <w:bookmarkEnd w:id="94"/>
    <w:p>
      <w:pPr>
        <w:ind w:right="80" w:firstLine="667"/>
        <w:spacing w:after="0" w:line="279" w:lineRule="auto"/>
        <w:rPr>
          <w:sz w:val="20"/>
          <w:szCs w:val="20"/>
          <w:color w:val="auto"/>
        </w:rPr>
      </w:pPr>
      <w:r>
        <w:rPr>
          <w:rFonts w:ascii="Arial" w:cs="Arial" w:eastAsia="Arial" w:hAnsi="Arial"/>
          <w:sz w:val="17"/>
          <w:szCs w:val="17"/>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1"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March 15, 2029.</w:t>
      </w:r>
    </w:p>
    <w:p>
      <w:pPr>
        <w:spacing w:after="0" w:line="225" w:lineRule="exact"/>
        <w:rPr>
          <w:sz w:val="20"/>
          <w:szCs w:val="20"/>
          <w:color w:val="auto"/>
        </w:rPr>
      </w:pPr>
    </w:p>
    <w:p>
      <w:pPr>
        <w:ind w:right="20" w:firstLine="667"/>
        <w:spacing w:after="0" w:line="279" w:lineRule="auto"/>
        <w:rPr>
          <w:sz w:val="20"/>
          <w:szCs w:val="20"/>
          <w:color w:val="auto"/>
        </w:rPr>
      </w:pPr>
      <w:r>
        <w:rPr>
          <w:rFonts w:ascii="Arial" w:cs="Arial" w:eastAsia="Arial" w:hAnsi="Arial"/>
          <w:sz w:val="17"/>
          <w:szCs w:val="17"/>
          <w:color w:val="auto"/>
        </w:rPr>
        <w:t>“Reference Treasury Dealer”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71"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54"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may be redeemed in part in a minimum principal amount of $2,000, or any integral multiple of $1,000 in excess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20" w:hanging="680"/>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95" w:name="page96"/>
    <w:bookmarkEnd w:id="95"/>
    <w:p>
      <w:pPr>
        <w:ind w:left="6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80" w:right="320" w:firstLine="22"/>
        <w:spacing w:after="0" w:line="277" w:lineRule="auto"/>
        <w:rPr>
          <w:sz w:val="20"/>
          <w:szCs w:val="20"/>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3"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right="440"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6" w:name="page97"/>
    <w:bookmarkEnd w:id="96"/>
    <w:p>
      <w:pPr>
        <w:ind w:right="40" w:firstLine="667"/>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1"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60" w:firstLine="667"/>
        <w:spacing w:after="0" w:line="342" w:lineRule="auto"/>
        <w:rPr>
          <w:sz w:val="20"/>
          <w:szCs w:val="20"/>
          <w:color w:val="auto"/>
        </w:rPr>
      </w:pPr>
      <w:r>
        <w:rPr>
          <w:rFonts w:ascii="Arial" w:cs="Arial" w:eastAsia="Arial" w:hAnsi="Arial"/>
          <w:sz w:val="16"/>
          <w:szCs w:val="16"/>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4" w:lineRule="exact"/>
        <w:rPr>
          <w:sz w:val="20"/>
          <w:szCs w:val="20"/>
          <w:color w:val="auto"/>
        </w:rPr>
      </w:pPr>
    </w:p>
    <w:p>
      <w:pPr>
        <w:ind w:left="1320" w:hanging="680"/>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320" w:hanging="680"/>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20" w:hanging="680"/>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7" w:lineRule="exact"/>
        <w:rPr>
          <w:sz w:val="20"/>
          <w:szCs w:val="20"/>
          <w:color w:val="auto"/>
        </w:rPr>
      </w:pPr>
    </w:p>
    <w:p>
      <w:pPr>
        <w:ind w:left="1300" w:hanging="66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68"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7" w:name="page98"/>
    <w:bookmarkEnd w:id="97"/>
    <w:p>
      <w:pPr>
        <w:ind w:left="1320" w:hanging="680"/>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20" w:hanging="680"/>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20" w:hanging="680"/>
        <w:spacing w:after="0"/>
        <w:tabs>
          <w:tab w:leader="none" w:pos="13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20" w:hanging="680"/>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right="140" w:firstLine="667"/>
        <w:spacing w:after="0" w:line="312" w:lineRule="auto"/>
        <w:rPr>
          <w:sz w:val="20"/>
          <w:szCs w:val="20"/>
          <w:color w:val="auto"/>
        </w:rPr>
      </w:pPr>
      <w:r>
        <w:rPr>
          <w:rFonts w:ascii="Arial" w:cs="Arial" w:eastAsia="Arial" w:hAnsi="Arial"/>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7" w:lineRule="exact"/>
        <w:rPr>
          <w:sz w:val="20"/>
          <w:szCs w:val="20"/>
          <w:color w:val="auto"/>
        </w:rPr>
      </w:pPr>
    </w:p>
    <w:p>
      <w:pPr>
        <w:ind w:left="1320" w:hanging="680"/>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48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20" w:hanging="680"/>
        <w:spacing w:after="0"/>
        <w:tabs>
          <w:tab w:leader="none" w:pos="13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220" w:firstLine="667"/>
        <w:spacing w:after="0" w:line="255"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93" w:lineRule="exact"/>
        <w:rPr>
          <w:sz w:val="20"/>
          <w:szCs w:val="20"/>
          <w:color w:val="auto"/>
        </w:rPr>
      </w:pPr>
    </w:p>
    <w:p>
      <w:pPr>
        <w:ind w:left="1320" w:hanging="680"/>
        <w:spacing w:after="0"/>
        <w:tabs>
          <w:tab w:leader="none" w:pos="132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20" w:hanging="680"/>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8" w:lineRule="exact"/>
        <w:rPr>
          <w:sz w:val="20"/>
          <w:szCs w:val="20"/>
          <w:color w:val="auto"/>
        </w:rPr>
      </w:pPr>
    </w:p>
    <w:p>
      <w:pPr>
        <w:ind w:left="1280" w:hanging="622"/>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right="80" w:firstLine="1296"/>
        <w:spacing w:after="0" w:line="276" w:lineRule="auto"/>
        <w:rPr>
          <w:sz w:val="20"/>
          <w:szCs w:val="20"/>
          <w:color w:val="auto"/>
        </w:rPr>
      </w:pPr>
      <w:r>
        <w:rPr>
          <w:rFonts w:ascii="Arial" w:cs="Arial" w:eastAsia="Arial" w:hAnsi="Arial"/>
          <w:sz w:val="17"/>
          <w:szCs w:val="17"/>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517" w:right="7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 of increase</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in Principal</w:t>
            </w: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Exchange</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Book-Entry</w:t>
            </w:r>
          </w:p>
        </w:tc>
        <w:tc>
          <w:tcPr>
            <w:tcW w:w="1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Security</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Security</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Security Custodian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3"/>
        </w:trPr>
        <w:tc>
          <w:tcPr>
            <w:tcW w:w="2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17" w:right="7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380" w:right="14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which 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380"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ind w:left="380" w:right="7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offerings of securities to finance the Merger Consideration;</w:t>
      </w:r>
    </w:p>
    <w:p>
      <w:pPr>
        <w:spacing w:after="0" w:line="162" w:lineRule="exact"/>
        <w:rPr>
          <w:sz w:val="20"/>
          <w:szCs w:val="20"/>
          <w:color w:val="auto"/>
        </w:rPr>
      </w:pPr>
    </w:p>
    <w:p>
      <w:pPr>
        <w:ind w:left="380"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subsidiaries;</w:t>
      </w:r>
    </w:p>
    <w:p>
      <w:pPr>
        <w:spacing w:after="0" w:line="162" w:lineRule="exact"/>
        <w:rPr>
          <w:sz w:val="20"/>
          <w:szCs w:val="20"/>
          <w:color w:val="auto"/>
        </w:rPr>
      </w:pPr>
    </w:p>
    <w:p>
      <w:pPr>
        <w:ind w:left="380"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party to that certain indenture, dated as of September 10, 1997 (as amended, restated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Company Existing Indenture</w:t>
      </w:r>
      <w:r>
        <w:rPr>
          <w:rFonts w:ascii="Arial" w:cs="Arial" w:eastAsia="Arial" w:hAnsi="Arial"/>
          <w:sz w:val="18"/>
          <w:szCs w:val="18"/>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8"/>
          <w:szCs w:val="18"/>
          <w:u w:val="single" w:color="auto"/>
          <w:color w:val="auto"/>
        </w:rPr>
        <w:t>2028 Notes</w:t>
      </w:r>
      <w:r>
        <w:rPr>
          <w:rFonts w:ascii="Arial" w:cs="Arial" w:eastAsia="Arial" w:hAnsi="Arial"/>
          <w:sz w:val="18"/>
          <w:szCs w:val="18"/>
          <w:color w:val="auto"/>
        </w:rPr>
        <w:t>”), (ii) the Company’s 7.375% Senior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(iii) the Company’s 7.75% Senior Notes due 2032 (the “</w:t>
      </w:r>
      <w:r>
        <w:rPr>
          <w:rFonts w:ascii="Arial" w:cs="Arial" w:eastAsia="Arial" w:hAnsi="Arial"/>
          <w:sz w:val="18"/>
          <w:szCs w:val="18"/>
          <w:u w:val="single" w:color="auto"/>
          <w:color w:val="auto"/>
        </w:rPr>
        <w:t>2032 Notes</w:t>
      </w:r>
      <w:r>
        <w:rPr>
          <w:rFonts w:ascii="Arial" w:cs="Arial" w:eastAsia="Arial" w:hAnsi="Arial"/>
          <w:sz w:val="18"/>
          <w:szCs w:val="18"/>
          <w:color w:val="auto"/>
        </w:rPr>
        <w:t>”), and (iv) the Company’s 6.125% Senior Notes due 2039 (the “</w:t>
      </w:r>
      <w:r>
        <w:rPr>
          <w:rFonts w:ascii="Arial" w:cs="Arial" w:eastAsia="Arial" w:hAnsi="Arial"/>
          <w:sz w:val="18"/>
          <w:szCs w:val="18"/>
          <w:u w:val="single" w:color="auto"/>
          <w:color w:val="auto"/>
        </w:rPr>
        <w:t>2039 Notes</w:t>
      </w:r>
      <w:r>
        <w:rPr>
          <w:rFonts w:ascii="Arial" w:cs="Arial" w:eastAsia="Arial" w:hAnsi="Arial"/>
          <w:sz w:val="18"/>
          <w:szCs w:val="18"/>
          <w:color w:val="auto"/>
        </w:rPr>
        <w:t>”);</w:t>
      </w:r>
    </w:p>
    <w:p>
      <w:pPr>
        <w:spacing w:after="0" w:line="188" w:lineRule="exact"/>
        <w:rPr>
          <w:sz w:val="20"/>
          <w:szCs w:val="20"/>
          <w:color w:val="auto"/>
        </w:rPr>
      </w:pPr>
    </w:p>
    <w:p>
      <w:pPr>
        <w:ind w:left="380" w:right="40" w:firstLine="648"/>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w:t>
      </w:r>
    </w:p>
    <w:p>
      <w:pPr>
        <w:spacing w:after="0" w:line="2" w:lineRule="exact"/>
        <w:rPr>
          <w:sz w:val="20"/>
          <w:szCs w:val="20"/>
          <w:color w:val="auto"/>
        </w:rPr>
      </w:pPr>
    </w:p>
    <w:p>
      <w:pPr>
        <w:ind w:left="380" w:right="180"/>
        <w:spacing w:after="0" w:line="261" w:lineRule="auto"/>
        <w:rPr>
          <w:sz w:val="20"/>
          <w:szCs w:val="20"/>
          <w:color w:val="auto"/>
        </w:rPr>
      </w:pPr>
      <w:r>
        <w:rPr>
          <w:rFonts w:ascii="Arial" w:cs="Arial" w:eastAsia="Arial" w:hAnsi="Arial"/>
          <w:sz w:val="18"/>
          <w:szCs w:val="18"/>
          <w:color w:val="auto"/>
        </w:rPr>
        <w:t>7.10%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and together with the 2028 Notes, the 2029 Notes, the 2032 Notes and the 2039 Notes, the “</w:t>
      </w:r>
      <w:r>
        <w:rPr>
          <w:rFonts w:ascii="Arial" w:cs="Arial" w:eastAsia="Arial" w:hAnsi="Arial"/>
          <w:sz w:val="18"/>
          <w:szCs w:val="18"/>
          <w:u w:val="single" w:color="auto"/>
          <w:color w:val="auto"/>
        </w:rPr>
        <w:t>Specified Existing Notes</w:t>
      </w:r>
      <w:r>
        <w:rPr>
          <w:rFonts w:ascii="Arial" w:cs="Arial" w:eastAsia="Arial" w:hAnsi="Arial"/>
          <w:sz w:val="18"/>
          <w:szCs w:val="18"/>
          <w:color w:val="auto"/>
        </w:rPr>
        <w:t>”); and</w:t>
      </w:r>
    </w:p>
    <w:p>
      <w:pPr>
        <w:spacing w:after="0" w:line="180" w:lineRule="exact"/>
        <w:rPr>
          <w:sz w:val="20"/>
          <w:szCs w:val="20"/>
          <w:color w:val="auto"/>
        </w:rPr>
      </w:pPr>
    </w:p>
    <w:p>
      <w:pPr>
        <w:ind w:left="38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the eventual redemption and/or refinancing of the Specified Existing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deems it advisable to approve the Company’ pursuit of tender offers and/or redemption transactions with respect to the Specified Existing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144" w:lineRule="exact"/>
        <w:rPr>
          <w:sz w:val="20"/>
          <w:szCs w:val="20"/>
          <w:color w:val="auto"/>
        </w:rPr>
      </w:pPr>
    </w:p>
    <w:p>
      <w:pPr>
        <w:ind w:left="680" w:hanging="365"/>
        <w:spacing w:after="0"/>
        <w:tabs>
          <w:tab w:leader="none" w:pos="6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144" w:lineRule="exact"/>
        <w:rPr>
          <w:sz w:val="20"/>
          <w:szCs w:val="20"/>
          <w:color w:val="auto"/>
        </w:rPr>
      </w:pPr>
    </w:p>
    <w:p>
      <w:pPr>
        <w:ind w:left="380" w:right="6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 shelf</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S-3 (the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pursuant to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7"/>
          <w:szCs w:val="17"/>
          <w:u w:val="single" w:color="auto"/>
          <w:color w:val="auto"/>
        </w:rPr>
        <w:t>Registered Debt Securities</w:t>
      </w:r>
      <w:r>
        <w:rPr>
          <w:rFonts w:ascii="Arial" w:cs="Arial" w:eastAsia="Arial" w:hAnsi="Arial"/>
          <w:sz w:val="17"/>
          <w:szCs w:val="17"/>
          <w:color w:val="auto"/>
        </w:rPr>
        <w:t>”); common stock of the Company, par value $0.01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7"/>
          <w:szCs w:val="17"/>
          <w:u w:val="single" w:color="auto"/>
          <w:color w:val="auto"/>
        </w:rPr>
        <w:t>Registered Securities</w:t>
      </w:r>
      <w:r>
        <w:rPr>
          <w:rFonts w:ascii="Arial" w:cs="Arial" w:eastAsia="Arial" w:hAnsi="Arial"/>
          <w:sz w:val="17"/>
          <w:szCs w:val="17"/>
          <w:color w:val="auto"/>
        </w:rPr>
        <w:t>”), to be issued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00" w:name="page101"/>
    <w:bookmarkEnd w:id="100"/>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99"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shall be deemed rescinded and superseded hereby;</w:t>
      </w:r>
    </w:p>
    <w:p>
      <w:pPr>
        <w:spacing w:after="0" w:line="81"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(as established pursuant to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be, and each of 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7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of process on the Company under the Securities Act in connection with the New Registration Statement and any and all amendments and supplements thereto, with all powers incident to such appointment;</w:t>
      </w:r>
    </w:p>
    <w:p>
      <w:pPr>
        <w:spacing w:after="0" w:line="9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be, and each of them hereby is, authorized,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Company is authorized to offer, issue and sell, or cause any subsidiary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sell, debt securities denominated in Canadian dollars (the “</w:t>
      </w:r>
      <w:r>
        <w:rPr>
          <w:rFonts w:ascii="Arial" w:cs="Arial" w:eastAsia="Arial" w:hAnsi="Arial"/>
          <w:sz w:val="18"/>
          <w:szCs w:val="18"/>
          <w:u w:val="single" w:color="auto"/>
          <w:color w:val="auto"/>
        </w:rPr>
        <w:t>Canadian Notes</w:t>
      </w:r>
      <w:r>
        <w:rPr>
          <w:rFonts w:ascii="Arial" w:cs="Arial" w:eastAsia="Arial" w:hAnsi="Arial"/>
          <w:sz w:val="18"/>
          <w:szCs w:val="18"/>
          <w:color w:val="auto"/>
        </w:rPr>
        <w:t>,” together with any Canadian Notes Guarantees (as defined below) the “</w:t>
      </w:r>
      <w:r>
        <w:rPr>
          <w:rFonts w:ascii="Arial" w:cs="Arial" w:eastAsia="Arial" w:hAnsi="Arial"/>
          <w:sz w:val="18"/>
          <w:szCs w:val="18"/>
          <w:u w:val="single" w:color="auto"/>
          <w:color w:val="auto"/>
        </w:rPr>
        <w:t>Canadian Securities</w:t>
      </w:r>
      <w:r>
        <w:rPr>
          <w:rFonts w:ascii="Arial" w:cs="Arial" w:eastAsia="Arial" w:hAnsi="Arial"/>
          <w:sz w:val="18"/>
          <w:szCs w:val="18"/>
          <w:color w:val="auto"/>
        </w:rPr>
        <w:t>,” and together with the Registered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transactions exempt from registration under the Securities Act, 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each of them, shall have full authority to authorize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62" w:lineRule="exact"/>
        <w:rPr>
          <w:sz w:val="20"/>
          <w:szCs w:val="20"/>
          <w:color w:val="auto"/>
        </w:rPr>
      </w:pPr>
    </w:p>
    <w:p>
      <w:pPr>
        <w:ind w:right="8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preparation and use of a preliminary offering memorandum relating to the Canadian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 together or individually, and those other employees of the Company as any of them shall designate, are hereby authorized and directed in the name and on behalf of the Company to prepare a pricing supplement (the “</w:t>
      </w:r>
      <w:r>
        <w:rPr>
          <w:rFonts w:ascii="Arial" w:cs="Arial" w:eastAsia="Arial" w:hAnsi="Arial"/>
          <w:sz w:val="17"/>
          <w:szCs w:val="17"/>
          <w:u w:val="single" w:color="auto"/>
          <w:color w:val="auto"/>
        </w:rPr>
        <w:t>Pricing Supplement</w:t>
      </w:r>
      <w:r>
        <w:rPr>
          <w:rFonts w:ascii="Arial" w:cs="Arial" w:eastAsia="Arial" w:hAnsi="Arial"/>
          <w:sz w:val="17"/>
          <w:szCs w:val="17"/>
          <w:color w:val="auto"/>
        </w:rPr>
        <w:t>”) in connection with the Canadian Offering, and the final offering 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 Authorized Officers deems necessary or appropriate in connection with the Canadian Offering, such approval to be conclusively evidenced by the distribution of such supplement or amendment by or on behalf of the Company to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464185</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101" w:name="page102"/>
    <w:bookmarkEnd w:id="101"/>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appropriate qualification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approve 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may, at any time and from time to time, on behalf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6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these 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of any Securities of any series which may not be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at one time (except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80" w:lineRule="exact"/>
        <w:rPr>
          <w:sz w:val="20"/>
          <w:szCs w:val="20"/>
          <w:color w:val="auto"/>
        </w:rPr>
      </w:pPr>
    </w:p>
    <w:p>
      <w:pPr>
        <w:jc w:val="both"/>
        <w:ind w:right="5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and sale of any Securities, that the Company may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therefrom: (1) 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any 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469265</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102" w:name="page103"/>
    <w:bookmarkEnd w:id="102"/>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 (i) and (ii) being referred to as </w:t>
      </w:r>
      <w:r>
        <w:rPr>
          <w:rFonts w:ascii="Arial" w:cs="Arial" w:eastAsia="Arial" w:hAnsi="Arial"/>
          <w:sz w:val="16"/>
          <w:szCs w:val="16"/>
          <w:u w:val="single" w:color="auto"/>
          <w:color w:val="auto"/>
        </w:rPr>
        <w:t>“Liability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6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68"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99"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be, and each of them hereby is, authorized,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401955</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1140" w:top="513" w:right="779" w:bottom="1440" w:gutter="0" w:footer="0" w:header="0"/>
        </w:sectPr>
      </w:pPr>
    </w:p>
    <w:bookmarkStart w:id="103" w:name="page104"/>
    <w:bookmarkEnd w:id="103"/>
    <w:p>
      <w:pPr>
        <w:ind w:left="380"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in 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144" w:lineRule="exact"/>
        <w:rPr>
          <w:sz w:val="20"/>
          <w:szCs w:val="20"/>
          <w:color w:val="auto"/>
        </w:rPr>
      </w:pPr>
    </w:p>
    <w:p>
      <w:pPr>
        <w:ind w:left="1380" w:hanging="352"/>
        <w:spacing w:after="0"/>
        <w:tabs>
          <w:tab w:leader="none" w:pos="1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144" w:lineRule="exact"/>
        <w:rPr>
          <w:sz w:val="20"/>
          <w:szCs w:val="20"/>
          <w:color w:val="auto"/>
        </w:rPr>
      </w:pPr>
    </w:p>
    <w:p>
      <w:pPr>
        <w:ind w:left="380" w:right="2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others hereby 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93" w:lineRule="exact"/>
        <w:rPr>
          <w:sz w:val="20"/>
          <w:szCs w:val="20"/>
          <w:color w:val="auto"/>
        </w:rPr>
      </w:pPr>
    </w:p>
    <w:p>
      <w:pPr>
        <w:ind w:left="380" w:right="4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and 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93" w:lineRule="exact"/>
        <w:rPr>
          <w:sz w:val="20"/>
          <w:szCs w:val="20"/>
          <w:color w:val="auto"/>
        </w:rPr>
      </w:pPr>
    </w:p>
    <w:p>
      <w:pPr>
        <w:ind w:left="380" w:right="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99" w:lineRule="exact"/>
        <w:rPr>
          <w:sz w:val="20"/>
          <w:szCs w:val="20"/>
          <w:color w:val="auto"/>
        </w:rPr>
      </w:pPr>
    </w:p>
    <w:p>
      <w:pPr>
        <w:ind w:left="380" w:right="3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officers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75" w:lineRule="exact"/>
        <w:rPr>
          <w:sz w:val="20"/>
          <w:szCs w:val="20"/>
          <w:color w:val="auto"/>
        </w:rPr>
      </w:pPr>
    </w:p>
    <w:p>
      <w:pPr>
        <w:ind w:left="3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3" w:right="7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1300"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100" w:firstLine="1288"/>
        <w:spacing w:after="0" w:line="257" w:lineRule="auto"/>
        <w:tabs>
          <w:tab w:leader="none" w:pos="19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$500,000,000 aggregate principal amount of 4.000% Senior Notes due 2039 (the “Notes”).</w:t>
      </w:r>
    </w:p>
    <w:p>
      <w:pPr>
        <w:spacing w:after="0" w:line="188" w:lineRule="exact"/>
        <w:rPr>
          <w:rFonts w:ascii="Arial" w:cs="Arial" w:eastAsia="Arial" w:hAnsi="Arial"/>
          <w:sz w:val="18"/>
          <w:szCs w:val="18"/>
          <w:color w:val="auto"/>
        </w:rPr>
      </w:pPr>
    </w:p>
    <w:p>
      <w:pPr>
        <w:ind w:left="1960" w:hanging="672"/>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undersigned have read Sections 102, 103, 301 and 303 of the Indenture and the definitions in the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jc w:val="both"/>
        <w:ind w:right="140" w:firstLine="1288"/>
        <w:spacing w:after="0" w:line="264" w:lineRule="auto"/>
        <w:tabs>
          <w:tab w:leader="none" w:pos="19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72"/>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read the covenants, conditions and provisions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relating thereto.</w:t>
      </w:r>
    </w:p>
    <w:p>
      <w:pPr>
        <w:spacing w:after="0" w:line="210" w:lineRule="exact"/>
        <w:rPr>
          <w:rFonts w:ascii="Arial" w:cs="Arial" w:eastAsia="Arial" w:hAnsi="Arial"/>
          <w:sz w:val="17"/>
          <w:szCs w:val="17"/>
          <w:color w:val="auto"/>
        </w:rPr>
      </w:pPr>
    </w:p>
    <w:p>
      <w:pPr>
        <w:ind w:right="260" w:firstLine="1288"/>
        <w:spacing w:after="0" w:line="264" w:lineRule="auto"/>
        <w:tabs>
          <w:tab w:leader="none" w:pos="19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jc w:val="both"/>
        <w:ind w:right="60" w:firstLine="1288"/>
        <w:spacing w:after="0" w:line="264" w:lineRule="auto"/>
        <w:tabs>
          <w:tab w:leader="none" w:pos="196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jc w:val="both"/>
        <w:ind w:right="200" w:firstLine="1288"/>
        <w:spacing w:after="0" w:line="264" w:lineRule="auto"/>
        <w:tabs>
          <w:tab w:leader="none" w:pos="19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05" w:name="page106"/>
    <w:bookmarkEnd w:id="105"/>
    <w:p>
      <w:pPr>
        <w:ind w:left="6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33020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622935</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20"/>
          </w:cols>
          <w:pgMar w:left="1440" w:top="517" w:right="839" w:bottom="1440" w:gutter="0" w:footer="0" w:header="0"/>
        </w:sectPr>
      </w:pPr>
    </w:p>
    <w:bookmarkStart w:id="106" w:name="page107"/>
    <w:bookmarkEnd w:id="106"/>
    <w:p>
      <w:pPr>
        <w:jc w:val="center"/>
        <w:ind w:right="-8"/>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9" w:firstLine="1296"/>
        <w:spacing w:after="0" w:line="273" w:lineRule="auto"/>
        <w:rPr>
          <w:sz w:val="20"/>
          <w:szCs w:val="20"/>
          <w:color w:val="auto"/>
        </w:rPr>
      </w:pPr>
      <w:r>
        <w:rPr>
          <w:rFonts w:ascii="Arial" w:cs="Arial" w:eastAsia="Arial" w:hAnsi="Arial"/>
          <w:sz w:val="17"/>
          <w:szCs w:val="17"/>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8" w:lineRule="exact"/>
        <w:rPr>
          <w:sz w:val="20"/>
          <w:szCs w:val="20"/>
          <w:color w:val="auto"/>
        </w:rPr>
      </w:pPr>
    </w:p>
    <w:p>
      <w:pPr>
        <w:ind w:left="629" w:hanging="629"/>
        <w:spacing w:after="0"/>
        <w:tabs>
          <w:tab w:leader="none" w:pos="6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title of the series of Securities shall be “4.000% Senior Notes due 2039” (the “Notes”).</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49" w:right="60" w:hanging="649"/>
        <w:spacing w:after="0" w:line="257" w:lineRule="auto"/>
        <w:tabs>
          <w:tab w:leader="none" w:pos="6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8" w:lineRule="exact"/>
        <w:rPr>
          <w:rFonts w:ascii="Arial" w:cs="Arial" w:eastAsia="Arial" w:hAnsi="Arial"/>
          <w:sz w:val="18"/>
          <w:szCs w:val="18"/>
          <w:color w:val="auto"/>
        </w:rPr>
      </w:pPr>
    </w:p>
    <w:p>
      <w:pPr>
        <w:ind w:left="629" w:hanging="629"/>
        <w:spacing w:after="0"/>
        <w:tabs>
          <w:tab w:leader="none" w:pos="6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July 15, 2039.</w:t>
      </w:r>
    </w:p>
    <w:p>
      <w:pPr>
        <w:spacing w:after="0" w:line="225" w:lineRule="exact"/>
        <w:rPr>
          <w:rFonts w:ascii="Arial" w:cs="Arial" w:eastAsia="Arial" w:hAnsi="Arial"/>
          <w:sz w:val="18"/>
          <w:szCs w:val="18"/>
          <w:color w:val="auto"/>
        </w:rPr>
      </w:pPr>
    </w:p>
    <w:p>
      <w:pPr>
        <w:ind w:left="649" w:right="160" w:hanging="649"/>
        <w:spacing w:after="0" w:line="257" w:lineRule="auto"/>
        <w:tabs>
          <w:tab w:leader="none" w:pos="6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Note shall bear interest from May 22, 2019 at the fixed rate of 4.000% per annum; the Interest Payment Dates on which such interest shall be payable shall be January 15 and July 15, of each year, commencing January 15, 2020, until maturity unless such date falls on a day that is not a Business Day, in which case, such payment shall be made on the next day that is a Business Day. The Regular Record Date for the determination of Holders to whom interest is payable shall be January 1 or July 1, respectively, immediately preceding such date, as the case may be.</w:t>
      </w:r>
    </w:p>
    <w:p>
      <w:pPr>
        <w:spacing w:after="0" w:line="188" w:lineRule="exact"/>
        <w:rPr>
          <w:rFonts w:ascii="Arial" w:cs="Arial" w:eastAsia="Arial" w:hAnsi="Arial"/>
          <w:sz w:val="18"/>
          <w:szCs w:val="18"/>
          <w:color w:val="auto"/>
        </w:rPr>
      </w:pPr>
    </w:p>
    <w:p>
      <w:pPr>
        <w:ind w:left="649" w:right="200" w:hanging="649"/>
        <w:spacing w:after="0" w:line="264" w:lineRule="auto"/>
        <w:tabs>
          <w:tab w:leader="none" w:pos="6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49" w:hanging="649"/>
        <w:spacing w:after="0" w:line="259" w:lineRule="auto"/>
        <w:tabs>
          <w:tab w:leader="none" w:pos="6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ind w:left="649" w:hanging="649"/>
        <w:spacing w:after="0" w:line="279" w:lineRule="auto"/>
        <w:tabs>
          <w:tab w:leader="none" w:pos="63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1" w:lineRule="exact"/>
        <w:rPr>
          <w:rFonts w:ascii="Arial" w:cs="Arial" w:eastAsia="Arial" w:hAnsi="Arial"/>
          <w:sz w:val="17"/>
          <w:szCs w:val="17"/>
          <w:color w:val="auto"/>
        </w:rPr>
      </w:pPr>
    </w:p>
    <w:p>
      <w:pPr>
        <w:ind w:left="649" w:hanging="649"/>
        <w:spacing w:after="0" w:line="289" w:lineRule="auto"/>
        <w:tabs>
          <w:tab w:leader="none" w:pos="6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2039.</w:t>
      </w:r>
    </w:p>
    <w:p>
      <w:pPr>
        <w:spacing w:after="0" w:line="166" w:lineRule="exact"/>
        <w:rPr>
          <w:rFonts w:ascii="Arial" w:cs="Arial" w:eastAsia="Arial" w:hAnsi="Arial"/>
          <w:sz w:val="16"/>
          <w:szCs w:val="16"/>
          <w:color w:val="auto"/>
        </w:rPr>
      </w:pPr>
    </w:p>
    <w:p>
      <w:pPr>
        <w:ind w:left="649" w:right="60" w:hanging="649"/>
        <w:spacing w:after="0" w:line="342" w:lineRule="auto"/>
        <w:tabs>
          <w:tab w:leader="none" w:pos="6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517" w:right="759" w:bottom="1440" w:gutter="0" w:footer="0" w:header="0"/>
        </w:sectPr>
      </w:pPr>
    </w:p>
    <w:bookmarkStart w:id="107" w:name="page108"/>
    <w:bookmarkEnd w:id="107"/>
    <w:p>
      <w:pPr>
        <w:ind w:left="649" w:right="240" w:hanging="649"/>
        <w:spacing w:after="0" w:line="277" w:lineRule="auto"/>
        <w:tabs>
          <w:tab w:leader="none" w:pos="6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29" w:hanging="629"/>
        <w:spacing w:after="0"/>
        <w:tabs>
          <w:tab w:leader="none" w:pos="62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49" w:hanging="649"/>
        <w:spacing w:after="0"/>
        <w:tabs>
          <w:tab w:leader="none" w:pos="6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49" w:hanging="649"/>
        <w:spacing w:after="0" w:line="257" w:lineRule="auto"/>
        <w:tabs>
          <w:tab w:leader="none" w:pos="6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49" w:hanging="649"/>
        <w:spacing w:after="0" w:line="255" w:lineRule="auto"/>
        <w:tabs>
          <w:tab w:leader="none" w:pos="6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9" w:lineRule="exact"/>
        <w:rPr>
          <w:rFonts w:ascii="Arial" w:cs="Arial" w:eastAsia="Arial" w:hAnsi="Arial"/>
          <w:sz w:val="18"/>
          <w:szCs w:val="18"/>
          <w:color w:val="auto"/>
        </w:rPr>
      </w:pPr>
    </w:p>
    <w:p>
      <w:pPr>
        <w:ind w:left="649" w:right="140" w:hanging="649"/>
        <w:spacing w:after="0" w:line="308" w:lineRule="auto"/>
        <w:tabs>
          <w:tab w:leader="none" w:pos="63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517" w:right="7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color w:val="auto"/>
        </w:rPr>
        <w:t>BOOK-ENTRY SECURITY</w:t>
      </w:r>
    </w:p>
    <w:p>
      <w:pPr>
        <w:spacing w:after="0" w:line="144"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08"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400"/>
          </w:cols>
          <w:pgMar w:left="760" w:top="517" w:right="7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w:t>
      </w:r>
    </w:p>
    <w:p>
      <w:pPr>
        <w:spacing w:after="0" w:line="156" w:lineRule="exact"/>
        <w:rPr>
          <w:sz w:val="20"/>
          <w:szCs w:val="20"/>
          <w:color w:val="auto"/>
        </w:rPr>
      </w:pPr>
    </w:p>
    <w:p>
      <w:pPr>
        <w:sectPr>
          <w:pgSz w:w="11900" w:h="16838" w:orient="portrait"/>
          <w:cols w:equalWidth="0" w:num="2">
            <w:col w:w="8380" w:space="720"/>
            <w:col w:w="1300"/>
          </w:cols>
          <w:pgMar w:left="760" w:top="51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jc w:val="right"/>
        <w:spacing w:after="0"/>
        <w:tabs>
          <w:tab w:leader="none" w:pos="4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153" w:lineRule="exact"/>
        <w:rPr>
          <w:sz w:val="20"/>
          <w:szCs w:val="20"/>
          <w:color w:val="auto"/>
        </w:rPr>
      </w:pPr>
    </w:p>
    <w:p>
      <w:pPr>
        <w:sectPr>
          <w:pgSz w:w="11900" w:h="16838" w:orient="portrait"/>
          <w:cols w:equalWidth="0" w:num="2">
            <w:col w:w="7900" w:space="720"/>
            <w:col w:w="1780"/>
          </w:cols>
          <w:pgMar w:left="760" w:top="517" w:right="7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4.000% SENIOR NOTES DUE 2039</w:t>
      </w:r>
    </w:p>
    <w:p>
      <w:pPr>
        <w:spacing w:after="0" w:line="144" w:lineRule="exact"/>
        <w:rPr>
          <w:sz w:val="20"/>
          <w:szCs w:val="20"/>
          <w:color w:val="auto"/>
        </w:rPr>
      </w:pPr>
    </w:p>
    <w:p>
      <w:pPr>
        <w:ind w:left="8960"/>
        <w:spacing w:after="0"/>
        <w:rPr>
          <w:sz w:val="20"/>
          <w:szCs w:val="20"/>
          <w:color w:val="auto"/>
        </w:rPr>
      </w:pPr>
      <w:r>
        <w:rPr>
          <w:rFonts w:ascii="Arial" w:cs="Arial" w:eastAsia="Arial" w:hAnsi="Arial"/>
          <w:sz w:val="16"/>
          <w:szCs w:val="16"/>
          <w:color w:val="auto"/>
        </w:rPr>
        <w:t>CUSIP 94106L BJ7</w:t>
      </w:r>
    </w:p>
    <w:p>
      <w:pPr>
        <w:spacing w:after="0" w:line="248" w:lineRule="exact"/>
        <w:rPr>
          <w:sz w:val="20"/>
          <w:szCs w:val="20"/>
          <w:color w:val="auto"/>
        </w:rPr>
      </w:pPr>
    </w:p>
    <w:p>
      <w:pPr>
        <w:ind w:right="260" w:firstLine="661"/>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w:t>
      </w:r>
    </w:p>
    <w:p>
      <w:pPr>
        <w:ind w:right="40"/>
        <w:spacing w:after="0" w:line="252" w:lineRule="auto"/>
        <w:rPr>
          <w:sz w:val="20"/>
          <w:szCs w:val="20"/>
          <w:color w:val="auto"/>
        </w:rPr>
      </w:pPr>
      <w:r>
        <w:rPr>
          <w:rFonts w:ascii="Arial" w:cs="Arial" w:eastAsia="Arial" w:hAnsi="Arial"/>
          <w:sz w:val="18"/>
          <w:szCs w:val="18"/>
          <w:color w:val="auto"/>
        </w:rPr>
        <w:t>Company, the principal sum of Million ($ ) U.S. dollars, or such lesser principal sum as is shown on the attached Schedule of Exchanges of Definitive Security, on July 15, 2039 in such coin or currency of the United States of America as at the time of payment shall be legal tender for the payment of public and private debts, and to pay interest at an annual rate of 4.000% payable on January 15 and July 15 of each year, to the person in whose name this Security is registered at the close of business on the record date for such interest, which shall be the preceding January 1 or July 1, respectively, payable commencing January 15, 2020, with interest accruing from May 22, 2019, or the most recent date to which interest has been paid.</w:t>
      </w:r>
    </w:p>
    <w:p>
      <w:pPr>
        <w:spacing w:after="0" w:line="113"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89"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89" w:lineRule="exact"/>
        <w:rPr>
          <w:sz w:val="20"/>
          <w:szCs w:val="20"/>
          <w:color w:val="auto"/>
        </w:rPr>
      </w:pPr>
    </w:p>
    <w:p>
      <w:pPr>
        <w:ind w:right="160" w:firstLine="667"/>
        <w:spacing w:after="0" w:line="293" w:lineRule="auto"/>
        <w:rPr>
          <w:sz w:val="20"/>
          <w:szCs w:val="20"/>
          <w:color w:val="auto"/>
        </w:rPr>
      </w:pPr>
      <w:r>
        <w:rPr>
          <w:rFonts w:ascii="Arial" w:cs="Arial" w:eastAsia="Arial" w:hAnsi="Arial"/>
          <w:sz w:val="16"/>
          <w:szCs w:val="16"/>
          <w:color w:val="auto"/>
        </w:rPr>
        <w:t>This Security is issued in respect of a series of Securities of an initial aggregate of U.S. $500,000,000 in principal amount designated as the 4.000% Senior Notes due 2039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4"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00" w:lineRule="exact"/>
        <w:rPr>
          <w:sz w:val="20"/>
          <w:szCs w:val="20"/>
          <w:color w:val="auto"/>
        </w:rPr>
      </w:pPr>
    </w:p>
    <w:p>
      <w:pPr>
        <w:ind w:right="560"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89" w:lineRule="exact"/>
        <w:rPr>
          <w:sz w:val="20"/>
          <w:szCs w:val="20"/>
          <w:color w:val="auto"/>
        </w:rPr>
      </w:pPr>
    </w:p>
    <w:p>
      <w:pPr>
        <w:ind w:right="30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tc>
      </w:tr>
      <w:tr>
        <w:trPr>
          <w:trHeight w:val="634"/>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WASTE MANAGEMENT, INC.,</w:t>
            </w:r>
          </w:p>
        </w:tc>
      </w:tr>
      <w:tr>
        <w:trPr>
          <w:trHeight w:val="230"/>
        </w:trPr>
        <w:tc>
          <w:tcPr>
            <w:tcW w:w="560" w:type="dxa"/>
            <w:vAlign w:val="bottom"/>
          </w:tcPr>
          <w:p>
            <w:pPr>
              <w:spacing w:after="0"/>
              <w:rPr>
                <w:sz w:val="20"/>
                <w:szCs w:val="20"/>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 Delaware corporation</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7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Attest:</w:t>
            </w:r>
          </w:p>
        </w:tc>
      </w:tr>
      <w:tr>
        <w:trPr>
          <w:trHeight w:val="432"/>
        </w:trPr>
        <w:tc>
          <w:tcPr>
            <w:tcW w:w="560" w:type="dxa"/>
            <w:vAlign w:val="bottom"/>
          </w:tcPr>
          <w:p>
            <w:pPr>
              <w:spacing w:after="0"/>
              <w:rPr>
                <w:sz w:val="24"/>
                <w:szCs w:val="24"/>
                <w:color w:val="auto"/>
              </w:rPr>
            </w:pPr>
          </w:p>
        </w:tc>
        <w:tc>
          <w:tcPr>
            <w:tcW w:w="982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7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5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ind w:left="120"/>
        <w:spacing w:after="0"/>
        <w:tabs>
          <w:tab w:leader="none" w:pos="518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-130810</wp:posOffset>
            </wp:positionV>
            <wp:extent cx="305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REVERSE OF BOOK-ENTRY SECURITY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 SENIOR NOTES DUE 2039</w:t>
      </w:r>
    </w:p>
    <w:p>
      <w:pPr>
        <w:spacing w:after="0" w:line="144" w:lineRule="exact"/>
        <w:rPr>
          <w:sz w:val="20"/>
          <w:szCs w:val="20"/>
          <w:color w:val="auto"/>
        </w:rPr>
      </w:pPr>
    </w:p>
    <w:p>
      <w:pPr>
        <w:ind w:firstLine="667"/>
        <w:spacing w:after="0" w:line="291"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4.000% Senior Notes due 2039 of the Company, in initial aggregate principal amount of $500,000,000 (the “Securities”).</w:t>
      </w:r>
    </w:p>
    <w:p>
      <w:pPr>
        <w:spacing w:after="0" w:line="86" w:lineRule="exact"/>
        <w:rPr>
          <w:sz w:val="20"/>
          <w:szCs w:val="20"/>
          <w:color w:val="auto"/>
        </w:rPr>
      </w:pPr>
    </w:p>
    <w:p>
      <w:pPr>
        <w:ind w:left="1320" w:hanging="680"/>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4.000% per annum.</w:t>
      </w:r>
    </w:p>
    <w:p>
      <w:pPr>
        <w:spacing w:after="0" w:line="144"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The Company will pay interest semi-annually on January 15 and July 15 of each year (each an “Interest Payment Date”), commencing January 15, 2020.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4.000% per annum, in each case to the extent lawful.</w:t>
      </w:r>
    </w:p>
    <w:p>
      <w:pPr>
        <w:spacing w:after="0" w:line="193" w:lineRule="exact"/>
        <w:rPr>
          <w:sz w:val="20"/>
          <w:szCs w:val="20"/>
          <w:color w:val="auto"/>
        </w:rPr>
      </w:pPr>
    </w:p>
    <w:p>
      <w:pPr>
        <w:ind w:left="1320" w:hanging="680"/>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94" w:lineRule="exact"/>
        <w:rPr>
          <w:sz w:val="20"/>
          <w:szCs w:val="20"/>
          <w:color w:val="auto"/>
        </w:rPr>
      </w:pPr>
    </w:p>
    <w:p>
      <w:pPr>
        <w:ind w:left="1320" w:hanging="680"/>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44" w:lineRule="exact"/>
        <w:rPr>
          <w:sz w:val="20"/>
          <w:szCs w:val="20"/>
          <w:color w:val="auto"/>
        </w:rPr>
      </w:pPr>
    </w:p>
    <w:p>
      <w:pPr>
        <w:ind w:right="10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00" w:lineRule="exact"/>
        <w:rPr>
          <w:sz w:val="20"/>
          <w:szCs w:val="20"/>
          <w:color w:val="auto"/>
        </w:rPr>
      </w:pPr>
    </w:p>
    <w:p>
      <w:pPr>
        <w:ind w:left="1320" w:hanging="680"/>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44"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89"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1" w:name="page112"/>
    <w:bookmarkEnd w:id="111"/>
    <w:p>
      <w:pPr>
        <w:ind w:left="1320" w:hanging="680"/>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Upon the occurrence of the closing of the Merger, the foregoing provisions regarding the Special Mandatory Redemption Event will cease to apply.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320" w:hanging="680"/>
        <w:spacing w:after="0"/>
        <w:tabs>
          <w:tab w:leader="none" w:pos="132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78"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right="80" w:firstLine="667"/>
        <w:spacing w:after="0" w:line="271"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2" w:name="page113"/>
    <w:bookmarkEnd w:id="112"/>
    <w:p>
      <w:pPr>
        <w:ind w:right="80" w:firstLine="667"/>
        <w:spacing w:after="0" w:line="279" w:lineRule="auto"/>
        <w:rPr>
          <w:sz w:val="20"/>
          <w:szCs w:val="20"/>
          <w:color w:val="auto"/>
        </w:rPr>
      </w:pPr>
      <w:r>
        <w:rPr>
          <w:rFonts w:ascii="Arial" w:cs="Arial" w:eastAsia="Arial" w:hAnsi="Arial"/>
          <w:sz w:val="17"/>
          <w:szCs w:val="17"/>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1"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January 15, 2039.</w:t>
      </w:r>
    </w:p>
    <w:p>
      <w:pPr>
        <w:spacing w:after="0" w:line="225" w:lineRule="exact"/>
        <w:rPr>
          <w:sz w:val="20"/>
          <w:szCs w:val="20"/>
          <w:color w:val="auto"/>
        </w:rPr>
      </w:pPr>
    </w:p>
    <w:p>
      <w:pPr>
        <w:ind w:right="20" w:firstLine="667"/>
        <w:spacing w:after="0" w:line="279" w:lineRule="auto"/>
        <w:rPr>
          <w:sz w:val="20"/>
          <w:szCs w:val="20"/>
          <w:color w:val="auto"/>
        </w:rPr>
      </w:pPr>
      <w:r>
        <w:rPr>
          <w:rFonts w:ascii="Arial" w:cs="Arial" w:eastAsia="Arial" w:hAnsi="Arial"/>
          <w:sz w:val="17"/>
          <w:szCs w:val="17"/>
          <w:color w:val="auto"/>
        </w:rPr>
        <w:t>“Reference Treasury Dealer”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71"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54"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may be redeemed in part in a minimum principal amount of $2,000, or any integral multiple of $1,000 in excess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20" w:hanging="680"/>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13" w:name="page114"/>
    <w:bookmarkEnd w:id="113"/>
    <w:p>
      <w:pPr>
        <w:ind w:left="6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80" w:right="320" w:firstLine="22"/>
        <w:spacing w:after="0" w:line="277" w:lineRule="auto"/>
        <w:rPr>
          <w:sz w:val="20"/>
          <w:szCs w:val="20"/>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sz w:val="20"/>
          <w:szCs w:val="20"/>
          <w:color w:val="auto"/>
        </w:rPr>
      </w:pPr>
    </w:p>
    <w:p>
      <w:pPr>
        <w:ind w:left="1280" w:right="200" w:firstLine="22"/>
        <w:spacing w:after="0" w:line="277" w:lineRule="auto"/>
        <w:rPr>
          <w:sz w:val="20"/>
          <w:szCs w:val="20"/>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3"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20" w:firstLine="667"/>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right="440"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4" w:name="page115"/>
    <w:bookmarkEnd w:id="114"/>
    <w:p>
      <w:pPr>
        <w:ind w:right="40" w:firstLine="661"/>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1"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60" w:firstLine="667"/>
        <w:spacing w:after="0" w:line="342" w:lineRule="auto"/>
        <w:rPr>
          <w:sz w:val="20"/>
          <w:szCs w:val="20"/>
          <w:color w:val="auto"/>
        </w:rPr>
      </w:pPr>
      <w:r>
        <w:rPr>
          <w:rFonts w:ascii="Arial" w:cs="Arial" w:eastAsia="Arial" w:hAnsi="Arial"/>
          <w:sz w:val="16"/>
          <w:szCs w:val="16"/>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4" w:lineRule="exact"/>
        <w:rPr>
          <w:sz w:val="20"/>
          <w:szCs w:val="20"/>
          <w:color w:val="auto"/>
        </w:rPr>
      </w:pPr>
    </w:p>
    <w:p>
      <w:pPr>
        <w:ind w:left="1320" w:hanging="680"/>
        <w:spacing w:after="0"/>
        <w:tabs>
          <w:tab w:leader="none" w:pos="13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320" w:hanging="680"/>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20" w:hanging="680"/>
        <w:spacing w:after="0"/>
        <w:tabs>
          <w:tab w:leader="none" w:pos="132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7" w:lineRule="exact"/>
        <w:rPr>
          <w:sz w:val="20"/>
          <w:szCs w:val="20"/>
          <w:color w:val="auto"/>
        </w:rPr>
      </w:pPr>
    </w:p>
    <w:p>
      <w:pPr>
        <w:ind w:left="1300" w:hanging="660"/>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68"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5" w:name="page116"/>
    <w:bookmarkEnd w:id="115"/>
    <w:p>
      <w:pPr>
        <w:ind w:left="1320" w:hanging="680"/>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20" w:hanging="680"/>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20" w:hanging="680"/>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20" w:hanging="680"/>
        <w:spacing w:after="0"/>
        <w:tabs>
          <w:tab w:leader="none" w:pos="13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right="140" w:firstLine="667"/>
        <w:spacing w:after="0" w:line="312" w:lineRule="auto"/>
        <w:rPr>
          <w:sz w:val="20"/>
          <w:szCs w:val="20"/>
          <w:color w:val="auto"/>
        </w:rPr>
      </w:pPr>
      <w:r>
        <w:rPr>
          <w:rFonts w:ascii="Arial" w:cs="Arial" w:eastAsia="Arial" w:hAnsi="Arial"/>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7" w:lineRule="exact"/>
        <w:rPr>
          <w:sz w:val="20"/>
          <w:szCs w:val="20"/>
          <w:color w:val="auto"/>
        </w:rPr>
      </w:pPr>
    </w:p>
    <w:p>
      <w:pPr>
        <w:ind w:left="1320" w:hanging="680"/>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48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20" w:hanging="680"/>
        <w:spacing w:after="0"/>
        <w:tabs>
          <w:tab w:leader="none" w:pos="132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220" w:firstLine="667"/>
        <w:spacing w:after="0" w:line="255"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93" w:lineRule="exact"/>
        <w:rPr>
          <w:sz w:val="20"/>
          <w:szCs w:val="20"/>
          <w:color w:val="auto"/>
        </w:rPr>
      </w:pPr>
    </w:p>
    <w:p>
      <w:pPr>
        <w:ind w:left="1320" w:hanging="680"/>
        <w:spacing w:after="0"/>
        <w:tabs>
          <w:tab w:leader="none" w:pos="132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20" w:hanging="680"/>
        <w:spacing w:after="0"/>
        <w:tabs>
          <w:tab w:leader="none" w:pos="132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8" w:lineRule="exact"/>
        <w:rPr>
          <w:sz w:val="20"/>
          <w:szCs w:val="20"/>
          <w:color w:val="auto"/>
        </w:rPr>
      </w:pPr>
    </w:p>
    <w:p>
      <w:pPr>
        <w:ind w:left="1280" w:hanging="622"/>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517" w:right="779" w:bottom="1440" w:gutter="0" w:footer="0" w:header="0"/>
        </w:sectPr>
      </w:pPr>
    </w:p>
    <w:bookmarkStart w:id="116" w:name="page117"/>
    <w:bookmarkEnd w:id="116"/>
    <w:p>
      <w:pPr>
        <w:ind w:left="2920"/>
        <w:spacing w:after="0"/>
        <w:rPr>
          <w:sz w:val="20"/>
          <w:szCs w:val="20"/>
          <w:color w:val="auto"/>
        </w:rPr>
      </w:pPr>
      <w:r>
        <w:rPr>
          <w:rFonts w:ascii="Arial" w:cs="Arial" w:eastAsia="Arial" w:hAnsi="Arial"/>
          <w:sz w:val="18"/>
          <w:szCs w:val="18"/>
          <w:color w:val="auto"/>
        </w:rPr>
        <w:t>SCHEDULE OF EXCHANGES OF DEFINITIVE SECURITY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 Amount</w:t>
            </w: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Exchange</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Book-Entry</w:t>
            </w: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Security Custodian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2"/>
        </w:trPr>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17" w:right="7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380" w:right="14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which 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144" w:lineRule="exact"/>
        <w:rPr>
          <w:sz w:val="20"/>
          <w:szCs w:val="20"/>
          <w:color w:val="auto"/>
        </w:rPr>
      </w:pPr>
    </w:p>
    <w:p>
      <w:pPr>
        <w:jc w:val="both"/>
        <w:ind w:left="380"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95" w:lineRule="exact"/>
        <w:rPr>
          <w:sz w:val="20"/>
          <w:szCs w:val="20"/>
          <w:color w:val="auto"/>
        </w:rPr>
      </w:pPr>
    </w:p>
    <w:p>
      <w:pPr>
        <w:ind w:left="380" w:right="7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offerings of securities to finance the Merger Consideration;</w:t>
      </w:r>
    </w:p>
    <w:p>
      <w:pPr>
        <w:spacing w:after="0" w:line="81" w:lineRule="exact"/>
        <w:rPr>
          <w:sz w:val="20"/>
          <w:szCs w:val="20"/>
          <w:color w:val="auto"/>
        </w:rPr>
      </w:pPr>
    </w:p>
    <w:p>
      <w:pPr>
        <w:ind w:left="380"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subsidiaries;</w:t>
      </w:r>
    </w:p>
    <w:p>
      <w:pPr>
        <w:spacing w:after="0" w:line="81" w:lineRule="exact"/>
        <w:rPr>
          <w:sz w:val="20"/>
          <w:szCs w:val="20"/>
          <w:color w:val="auto"/>
        </w:rPr>
      </w:pPr>
    </w:p>
    <w:p>
      <w:pPr>
        <w:ind w:left="380"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party to that certain indenture, dated as of September 10, 1997 (as amended, restated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Company Existing Indenture</w:t>
      </w:r>
      <w:r>
        <w:rPr>
          <w:rFonts w:ascii="Arial" w:cs="Arial" w:eastAsia="Arial" w:hAnsi="Arial"/>
          <w:sz w:val="18"/>
          <w:szCs w:val="18"/>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8"/>
          <w:szCs w:val="18"/>
          <w:u w:val="single" w:color="auto"/>
          <w:color w:val="auto"/>
        </w:rPr>
        <w:t>2028 Notes</w:t>
      </w:r>
      <w:r>
        <w:rPr>
          <w:rFonts w:ascii="Arial" w:cs="Arial" w:eastAsia="Arial" w:hAnsi="Arial"/>
          <w:sz w:val="18"/>
          <w:szCs w:val="18"/>
          <w:color w:val="auto"/>
        </w:rPr>
        <w:t>”), (ii) the Company’s 7.375% Senior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(iii) the Company’s 7.75% Senior Notes due 2032 (the “</w:t>
      </w:r>
      <w:r>
        <w:rPr>
          <w:rFonts w:ascii="Arial" w:cs="Arial" w:eastAsia="Arial" w:hAnsi="Arial"/>
          <w:sz w:val="18"/>
          <w:szCs w:val="18"/>
          <w:u w:val="single" w:color="auto"/>
          <w:color w:val="auto"/>
        </w:rPr>
        <w:t>2032 Notes</w:t>
      </w:r>
      <w:r>
        <w:rPr>
          <w:rFonts w:ascii="Arial" w:cs="Arial" w:eastAsia="Arial" w:hAnsi="Arial"/>
          <w:sz w:val="18"/>
          <w:szCs w:val="18"/>
          <w:color w:val="auto"/>
        </w:rPr>
        <w:t>”), and (iv) the Company’s 6.125% Senior Notes due 2039 (the “</w:t>
      </w:r>
      <w:r>
        <w:rPr>
          <w:rFonts w:ascii="Arial" w:cs="Arial" w:eastAsia="Arial" w:hAnsi="Arial"/>
          <w:sz w:val="18"/>
          <w:szCs w:val="18"/>
          <w:u w:val="single" w:color="auto"/>
          <w:color w:val="auto"/>
        </w:rPr>
        <w:t>2039 Notes</w:t>
      </w:r>
      <w:r>
        <w:rPr>
          <w:rFonts w:ascii="Arial" w:cs="Arial" w:eastAsia="Arial" w:hAnsi="Arial"/>
          <w:sz w:val="18"/>
          <w:szCs w:val="18"/>
          <w:color w:val="auto"/>
        </w:rPr>
        <w:t>”);</w:t>
      </w:r>
    </w:p>
    <w:p>
      <w:pPr>
        <w:spacing w:after="0" w:line="188" w:lineRule="exact"/>
        <w:rPr>
          <w:sz w:val="20"/>
          <w:szCs w:val="20"/>
          <w:color w:val="auto"/>
        </w:rPr>
      </w:pPr>
    </w:p>
    <w:p>
      <w:pPr>
        <w:ind w:left="380" w:right="40" w:firstLine="648"/>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w:t>
      </w:r>
    </w:p>
    <w:p>
      <w:pPr>
        <w:spacing w:after="0" w:line="2" w:lineRule="exact"/>
        <w:rPr>
          <w:sz w:val="20"/>
          <w:szCs w:val="20"/>
          <w:color w:val="auto"/>
        </w:rPr>
      </w:pPr>
    </w:p>
    <w:p>
      <w:pPr>
        <w:ind w:left="380" w:right="180"/>
        <w:spacing w:after="0" w:line="261" w:lineRule="auto"/>
        <w:rPr>
          <w:sz w:val="20"/>
          <w:szCs w:val="20"/>
          <w:color w:val="auto"/>
        </w:rPr>
      </w:pPr>
      <w:r>
        <w:rPr>
          <w:rFonts w:ascii="Arial" w:cs="Arial" w:eastAsia="Arial" w:hAnsi="Arial"/>
          <w:sz w:val="18"/>
          <w:szCs w:val="18"/>
          <w:color w:val="auto"/>
        </w:rPr>
        <w:t>7.10%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and together with the 2028 Notes, the 2029 Notes, the 2032 Notes and the 2039 Notes, the “</w:t>
      </w:r>
      <w:r>
        <w:rPr>
          <w:rFonts w:ascii="Arial" w:cs="Arial" w:eastAsia="Arial" w:hAnsi="Arial"/>
          <w:sz w:val="18"/>
          <w:szCs w:val="18"/>
          <w:u w:val="single" w:color="auto"/>
          <w:color w:val="auto"/>
        </w:rPr>
        <w:t>Specified Existing Notes</w:t>
      </w:r>
      <w:r>
        <w:rPr>
          <w:rFonts w:ascii="Arial" w:cs="Arial" w:eastAsia="Arial" w:hAnsi="Arial"/>
          <w:sz w:val="18"/>
          <w:szCs w:val="18"/>
          <w:color w:val="auto"/>
        </w:rPr>
        <w:t>”); and</w:t>
      </w:r>
    </w:p>
    <w:p>
      <w:pPr>
        <w:spacing w:after="0" w:line="180" w:lineRule="exact"/>
        <w:rPr>
          <w:sz w:val="20"/>
          <w:szCs w:val="20"/>
          <w:color w:val="auto"/>
        </w:rPr>
      </w:pPr>
    </w:p>
    <w:p>
      <w:pPr>
        <w:ind w:left="38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the eventual redemption and/or refinancing of the Specified Existing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deems it advisable to approve the Company’ pursuit of tender offers and/or redemption transactions with respect to the Specified Existing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80" w:hanging="365"/>
        <w:spacing w:after="0"/>
        <w:tabs>
          <w:tab w:leader="none" w:pos="6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6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 shelf</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S-3 (the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pursuant to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7"/>
          <w:szCs w:val="17"/>
          <w:u w:val="single" w:color="auto"/>
          <w:color w:val="auto"/>
        </w:rPr>
        <w:t>Registered Debt Securities</w:t>
      </w:r>
      <w:r>
        <w:rPr>
          <w:rFonts w:ascii="Arial" w:cs="Arial" w:eastAsia="Arial" w:hAnsi="Arial"/>
          <w:sz w:val="17"/>
          <w:szCs w:val="17"/>
          <w:color w:val="auto"/>
        </w:rPr>
        <w:t>”); common stock of the Company, par value $0.01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7"/>
          <w:szCs w:val="17"/>
          <w:u w:val="single" w:color="auto"/>
          <w:color w:val="auto"/>
        </w:rPr>
        <w:t>Registered Securities</w:t>
      </w:r>
      <w:r>
        <w:rPr>
          <w:rFonts w:ascii="Arial" w:cs="Arial" w:eastAsia="Arial" w:hAnsi="Arial"/>
          <w:sz w:val="17"/>
          <w:szCs w:val="17"/>
          <w:color w:val="auto"/>
        </w:rPr>
        <w:t>”), to be issued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18" w:name="page119"/>
    <w:bookmarkEnd w:id="118"/>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shall be deemed rescinded and superseded hereby;</w:t>
      </w:r>
    </w:p>
    <w:p>
      <w:pPr>
        <w:spacing w:after="0" w:line="162"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(as established pursuant to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be, and each of 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of 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be, and each of them hereby is, authorized,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Company is authorized to offer, issue and sell, or cause any subsidiary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sell, debt securities denominated in Canadian dollars (the “</w:t>
      </w:r>
      <w:r>
        <w:rPr>
          <w:rFonts w:ascii="Arial" w:cs="Arial" w:eastAsia="Arial" w:hAnsi="Arial"/>
          <w:sz w:val="18"/>
          <w:szCs w:val="18"/>
          <w:u w:val="single" w:color="auto"/>
          <w:color w:val="auto"/>
        </w:rPr>
        <w:t>Canadian Notes</w:t>
      </w:r>
      <w:r>
        <w:rPr>
          <w:rFonts w:ascii="Arial" w:cs="Arial" w:eastAsia="Arial" w:hAnsi="Arial"/>
          <w:sz w:val="18"/>
          <w:szCs w:val="18"/>
          <w:color w:val="auto"/>
        </w:rPr>
        <w:t>,” together with any Canadian Notes Guarantees (as defined below) the “</w:t>
      </w:r>
      <w:r>
        <w:rPr>
          <w:rFonts w:ascii="Arial" w:cs="Arial" w:eastAsia="Arial" w:hAnsi="Arial"/>
          <w:sz w:val="18"/>
          <w:szCs w:val="18"/>
          <w:u w:val="single" w:color="auto"/>
          <w:color w:val="auto"/>
        </w:rPr>
        <w:t>Canadian Securities</w:t>
      </w:r>
      <w:r>
        <w:rPr>
          <w:rFonts w:ascii="Arial" w:cs="Arial" w:eastAsia="Arial" w:hAnsi="Arial"/>
          <w:sz w:val="18"/>
          <w:szCs w:val="18"/>
          <w:color w:val="auto"/>
        </w:rPr>
        <w:t>,” and together with the Registered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transactions exempt from registration under the Securities Act, 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each of them, shall have full authority to authorize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62" w:lineRule="exact"/>
        <w:rPr>
          <w:sz w:val="20"/>
          <w:szCs w:val="20"/>
          <w:color w:val="auto"/>
        </w:rPr>
      </w:pPr>
    </w:p>
    <w:p>
      <w:pPr>
        <w:ind w:right="8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preparation and use of a preliminary offering memorandum relating to the Canadian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 together or individually, and those other employees of the Company as any of them shall designate, are hereby authorized and directed in the name and on behalf of the Company to prepare a pricing supplement (the “</w:t>
      </w:r>
      <w:r>
        <w:rPr>
          <w:rFonts w:ascii="Arial" w:cs="Arial" w:eastAsia="Arial" w:hAnsi="Arial"/>
          <w:sz w:val="17"/>
          <w:szCs w:val="17"/>
          <w:u w:val="single" w:color="auto"/>
          <w:color w:val="auto"/>
        </w:rPr>
        <w:t>Pricing Supplement</w:t>
      </w:r>
      <w:r>
        <w:rPr>
          <w:rFonts w:ascii="Arial" w:cs="Arial" w:eastAsia="Arial" w:hAnsi="Arial"/>
          <w:sz w:val="17"/>
          <w:szCs w:val="17"/>
          <w:color w:val="auto"/>
        </w:rPr>
        <w:t>”) in connection with the Canadian Offering, and the final offering 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 Authorized Officers deems necessary or appropriate in connection with the Canadian Offering, such approval to be conclusively evidenced by the distribution of such supplement or amendment by or on behalf of the Company to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464185</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119" w:name="page120"/>
    <w:bookmarkEnd w:id="119"/>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appropriate qualification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approve 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may, at any time and from time to time, on behalf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6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these 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of any Securities of any series which may not be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at one time (except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80" w:lineRule="exact"/>
        <w:rPr>
          <w:sz w:val="20"/>
          <w:szCs w:val="20"/>
          <w:color w:val="auto"/>
        </w:rPr>
      </w:pPr>
    </w:p>
    <w:p>
      <w:pPr>
        <w:jc w:val="both"/>
        <w:ind w:right="5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and sale of any Securities, that the Company may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therefrom: (1) 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any 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469265</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513" w:right="759" w:bottom="1440" w:gutter="0" w:footer="0" w:header="0"/>
        </w:sectPr>
      </w:pPr>
    </w:p>
    <w:bookmarkStart w:id="120" w:name="page121"/>
    <w:bookmarkEnd w:id="120"/>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 (i) and (ii) being referred to as </w:t>
      </w:r>
      <w:r>
        <w:rPr>
          <w:rFonts w:ascii="Arial" w:cs="Arial" w:eastAsia="Arial" w:hAnsi="Arial"/>
          <w:sz w:val="16"/>
          <w:szCs w:val="16"/>
          <w:u w:val="single" w:color="auto"/>
          <w:color w:val="auto"/>
        </w:rPr>
        <w:t>“Liability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6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68"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80"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be, and each of them hereby is, authorized,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453390</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1140" w:top="513" w:right="779" w:bottom="1440" w:gutter="0" w:footer="0" w:header="0"/>
        </w:sectPr>
      </w:pPr>
    </w:p>
    <w:bookmarkStart w:id="121" w:name="page122"/>
    <w:bookmarkEnd w:id="121"/>
    <w:p>
      <w:pPr>
        <w:ind w:left="380"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in 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80" w:hanging="352"/>
        <w:spacing w:after="0"/>
        <w:tabs>
          <w:tab w:leader="none" w:pos="13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2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others hereby 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4" w:lineRule="exact"/>
        <w:rPr>
          <w:sz w:val="20"/>
          <w:szCs w:val="20"/>
          <w:color w:val="auto"/>
        </w:rPr>
      </w:pPr>
    </w:p>
    <w:p>
      <w:pPr>
        <w:ind w:left="380" w:right="4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and 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4" w:lineRule="exact"/>
        <w:rPr>
          <w:sz w:val="20"/>
          <w:szCs w:val="20"/>
          <w:color w:val="auto"/>
        </w:rPr>
      </w:pPr>
    </w:p>
    <w:p>
      <w:pPr>
        <w:ind w:left="380" w:right="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left="380" w:right="3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officers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56" w:lineRule="exact"/>
        <w:rPr>
          <w:sz w:val="20"/>
          <w:szCs w:val="20"/>
          <w:color w:val="auto"/>
        </w:rPr>
      </w:pPr>
    </w:p>
    <w:p>
      <w:pPr>
        <w:ind w:left="3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13" w:right="7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1300"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100" w:firstLine="1288"/>
        <w:spacing w:after="0" w:line="257" w:lineRule="auto"/>
        <w:tabs>
          <w:tab w:leader="none" w:pos="19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$1,000,000,000 aggregate principal amount of 4.150% Senior Notes due 2049 (the “Notes”).</w:t>
      </w:r>
    </w:p>
    <w:p>
      <w:pPr>
        <w:spacing w:after="0" w:line="188" w:lineRule="exact"/>
        <w:rPr>
          <w:rFonts w:ascii="Arial" w:cs="Arial" w:eastAsia="Arial" w:hAnsi="Arial"/>
          <w:sz w:val="18"/>
          <w:szCs w:val="18"/>
          <w:color w:val="auto"/>
        </w:rPr>
      </w:pPr>
    </w:p>
    <w:p>
      <w:pPr>
        <w:ind w:left="1960" w:hanging="672"/>
        <w:spacing w:after="0"/>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undersigned have read Sections 102, 103, 301 and 303 of the Indenture and the definitions in the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jc w:val="both"/>
        <w:ind w:right="140" w:firstLine="1288"/>
        <w:spacing w:after="0" w:line="264" w:lineRule="auto"/>
        <w:tabs>
          <w:tab w:leader="none" w:pos="19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72"/>
        <w:spacing w:after="0"/>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read the covenants, conditions and provisions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relating thereto.</w:t>
      </w:r>
    </w:p>
    <w:p>
      <w:pPr>
        <w:spacing w:after="0" w:line="210" w:lineRule="exact"/>
        <w:rPr>
          <w:rFonts w:ascii="Arial" w:cs="Arial" w:eastAsia="Arial" w:hAnsi="Arial"/>
          <w:sz w:val="17"/>
          <w:szCs w:val="17"/>
          <w:color w:val="auto"/>
        </w:rPr>
      </w:pPr>
    </w:p>
    <w:p>
      <w:pPr>
        <w:ind w:right="260" w:firstLine="1288"/>
        <w:spacing w:after="0" w:line="264" w:lineRule="auto"/>
        <w:tabs>
          <w:tab w:leader="none" w:pos="19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60" w:firstLine="1288"/>
        <w:spacing w:after="0" w:line="264" w:lineRule="auto"/>
        <w:tabs>
          <w:tab w:leader="none" w:pos="196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jc w:val="both"/>
        <w:ind w:right="200" w:firstLine="1288"/>
        <w:spacing w:after="0" w:line="264" w:lineRule="auto"/>
        <w:tabs>
          <w:tab w:leader="none" w:pos="19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23" w:name="page124"/>
    <w:bookmarkEnd w:id="123"/>
    <w:p>
      <w:pPr>
        <w:ind w:left="6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302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3020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485775</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20"/>
          </w:cols>
          <w:pgMar w:left="1440" w:top="125" w:right="839" w:bottom="1440" w:gutter="0" w:footer="0" w:header="0"/>
        </w:sectPr>
      </w:pPr>
    </w:p>
    <w:bookmarkStart w:id="124" w:name="page125"/>
    <w:bookmarkEnd w:id="124"/>
    <w:p>
      <w:pPr>
        <w:jc w:val="center"/>
        <w:ind w:right="-8"/>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9" w:firstLine="1296"/>
        <w:spacing w:after="0" w:line="273" w:lineRule="auto"/>
        <w:rPr>
          <w:sz w:val="20"/>
          <w:szCs w:val="20"/>
          <w:color w:val="auto"/>
        </w:rPr>
      </w:pPr>
      <w:r>
        <w:rPr>
          <w:rFonts w:ascii="Arial" w:cs="Arial" w:eastAsia="Arial" w:hAnsi="Arial"/>
          <w:sz w:val="17"/>
          <w:szCs w:val="17"/>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8" w:lineRule="exact"/>
        <w:rPr>
          <w:sz w:val="20"/>
          <w:szCs w:val="20"/>
          <w:color w:val="auto"/>
        </w:rPr>
      </w:pPr>
    </w:p>
    <w:p>
      <w:pPr>
        <w:ind w:left="629" w:hanging="629"/>
        <w:spacing w:after="0"/>
        <w:tabs>
          <w:tab w:leader="none" w:pos="6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title of the series of Securities shall be “4.150% Senior Notes due 2049” (the “Notes”).</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w:t>
      </w:r>
    </w:p>
    <w:p>
      <w:pPr>
        <w:spacing w:after="0" w:line="23" w:lineRule="exact"/>
        <w:rPr>
          <w:rFonts w:ascii="Arial" w:cs="Arial" w:eastAsia="Arial" w:hAnsi="Arial"/>
          <w:sz w:val="18"/>
          <w:szCs w:val="18"/>
          <w:color w:val="auto"/>
        </w:rPr>
      </w:pPr>
    </w:p>
    <w:p>
      <w:pPr>
        <w:ind w:left="649" w:right="260"/>
        <w:spacing w:after="0" w:line="254" w:lineRule="auto"/>
        <w:rPr>
          <w:rFonts w:ascii="Arial" w:cs="Arial" w:eastAsia="Arial" w:hAnsi="Arial"/>
          <w:sz w:val="18"/>
          <w:szCs w:val="18"/>
          <w:color w:val="auto"/>
        </w:rPr>
      </w:pPr>
      <w:r>
        <w:rPr>
          <w:rFonts w:ascii="Arial" w:cs="Arial" w:eastAsia="Arial" w:hAnsi="Arial"/>
          <w:sz w:val="18"/>
          <w:szCs w:val="18"/>
          <w:color w:val="auto"/>
        </w:rPr>
        <w:t>$1,000,000,000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9" w:lineRule="exact"/>
        <w:rPr>
          <w:rFonts w:ascii="Arial" w:cs="Arial" w:eastAsia="Arial" w:hAnsi="Arial"/>
          <w:sz w:val="18"/>
          <w:szCs w:val="18"/>
          <w:color w:val="auto"/>
        </w:rPr>
      </w:pPr>
    </w:p>
    <w:p>
      <w:pPr>
        <w:ind w:left="629" w:hanging="629"/>
        <w:spacing w:after="0"/>
        <w:tabs>
          <w:tab w:leader="none" w:pos="6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July 15, 2049.</w:t>
      </w:r>
    </w:p>
    <w:p>
      <w:pPr>
        <w:spacing w:after="0" w:line="225" w:lineRule="exact"/>
        <w:rPr>
          <w:rFonts w:ascii="Arial" w:cs="Arial" w:eastAsia="Arial" w:hAnsi="Arial"/>
          <w:sz w:val="18"/>
          <w:szCs w:val="18"/>
          <w:color w:val="auto"/>
        </w:rPr>
      </w:pPr>
    </w:p>
    <w:p>
      <w:pPr>
        <w:ind w:left="649" w:right="160" w:hanging="649"/>
        <w:spacing w:after="0" w:line="257" w:lineRule="auto"/>
        <w:tabs>
          <w:tab w:leader="none" w:pos="6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Note shall bear interest from May 22, 2019 at the fixed rate of 4.150% per annum; the Interest Payment Dates on which such interest shall be payable shall be January 15 and July 15, of each year, commencing January 15, 2020, until maturity unless such date falls on a day that is not a Business Day, in which case, such payment shall be made on the next day that is a Business Day. The Regular Record Date for the determination of Holders to whom interest is payable shall be January 1 or July 1, respectively, immediately preceding such date, as the case may be.</w:t>
      </w:r>
    </w:p>
    <w:p>
      <w:pPr>
        <w:spacing w:after="0" w:line="188" w:lineRule="exact"/>
        <w:rPr>
          <w:rFonts w:ascii="Arial" w:cs="Arial" w:eastAsia="Arial" w:hAnsi="Arial"/>
          <w:sz w:val="18"/>
          <w:szCs w:val="18"/>
          <w:color w:val="auto"/>
        </w:rPr>
      </w:pPr>
    </w:p>
    <w:p>
      <w:pPr>
        <w:ind w:left="649" w:right="200" w:hanging="649"/>
        <w:spacing w:after="0" w:line="264" w:lineRule="auto"/>
        <w:tabs>
          <w:tab w:leader="none" w:pos="6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49" w:hanging="649"/>
        <w:spacing w:after="0" w:line="259" w:lineRule="auto"/>
        <w:tabs>
          <w:tab w:leader="none" w:pos="6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6" w:lineRule="exact"/>
        <w:rPr>
          <w:rFonts w:ascii="Arial" w:cs="Arial" w:eastAsia="Arial" w:hAnsi="Arial"/>
          <w:sz w:val="18"/>
          <w:szCs w:val="18"/>
          <w:color w:val="auto"/>
        </w:rPr>
      </w:pPr>
    </w:p>
    <w:p>
      <w:pPr>
        <w:ind w:left="649" w:hanging="649"/>
        <w:spacing w:after="0" w:line="279" w:lineRule="auto"/>
        <w:tabs>
          <w:tab w:leader="none" w:pos="63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1" w:lineRule="exact"/>
        <w:rPr>
          <w:rFonts w:ascii="Arial" w:cs="Arial" w:eastAsia="Arial" w:hAnsi="Arial"/>
          <w:sz w:val="17"/>
          <w:szCs w:val="17"/>
          <w:color w:val="auto"/>
        </w:rPr>
      </w:pPr>
    </w:p>
    <w:p>
      <w:pPr>
        <w:ind w:left="649" w:hanging="649"/>
        <w:spacing w:after="0" w:line="289" w:lineRule="auto"/>
        <w:tabs>
          <w:tab w:leader="none" w:pos="63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2049.</w:t>
      </w:r>
    </w:p>
    <w:p>
      <w:pPr>
        <w:spacing w:after="0" w:line="166" w:lineRule="exact"/>
        <w:rPr>
          <w:rFonts w:ascii="Arial" w:cs="Arial" w:eastAsia="Arial" w:hAnsi="Arial"/>
          <w:sz w:val="16"/>
          <w:szCs w:val="16"/>
          <w:color w:val="auto"/>
        </w:rPr>
      </w:pPr>
    </w:p>
    <w:p>
      <w:pPr>
        <w:ind w:left="649" w:right="80" w:hanging="649"/>
        <w:spacing w:after="0" w:line="277" w:lineRule="auto"/>
        <w:tabs>
          <w:tab w:leader="none" w:pos="6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49" w:right="220" w:hanging="649"/>
        <w:spacing w:after="0" w:line="277" w:lineRule="auto"/>
        <w:tabs>
          <w:tab w:leader="none" w:pos="6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125" w:name="page126"/>
    <w:bookmarkEnd w:id="125"/>
    <w:p>
      <w:pPr>
        <w:ind w:left="629" w:hanging="629"/>
        <w:spacing w:after="0"/>
        <w:tabs>
          <w:tab w:leader="none" w:pos="6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29" w:hanging="629"/>
        <w:spacing w:after="0"/>
        <w:tabs>
          <w:tab w:leader="none" w:pos="6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49" w:hanging="649"/>
        <w:spacing w:after="0" w:line="257" w:lineRule="auto"/>
        <w:tabs>
          <w:tab w:leader="none" w:pos="6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49" w:right="140" w:hanging="649"/>
        <w:spacing w:after="0" w:line="308" w:lineRule="auto"/>
        <w:tabs>
          <w:tab w:leader="none" w:pos="63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5" w:right="7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9"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400"/>
          </w:cols>
          <w:pgMar w:left="760" w:top="125" w:right="7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w:t>
      </w:r>
    </w:p>
    <w:p>
      <w:pPr>
        <w:spacing w:after="0" w:line="200" w:lineRule="exact"/>
        <w:rPr>
          <w:sz w:val="20"/>
          <w:szCs w:val="20"/>
          <w:color w:val="auto"/>
        </w:rPr>
      </w:pPr>
    </w:p>
    <w:p>
      <w:pPr>
        <w:sectPr>
          <w:pgSz w:w="11900" w:h="16838" w:orient="portrait"/>
          <w:cols w:equalWidth="0" w:num="2">
            <w:col w:w="8380" w:space="720"/>
            <w:col w:w="1300"/>
          </w:cols>
          <w:pgMar w:left="760" w:top="12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7900" w:space="720"/>
            <w:col w:w="1780"/>
          </w:cols>
          <w:pgMar w:left="760" w:top="125" w:right="7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4.150% SENIOR NOTES DUE 2049</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CUSIP 94106L BK4</w:t>
      </w:r>
    </w:p>
    <w:p>
      <w:pPr>
        <w:spacing w:after="0" w:line="234" w:lineRule="exact"/>
        <w:rPr>
          <w:sz w:val="20"/>
          <w:szCs w:val="20"/>
          <w:color w:val="auto"/>
        </w:rPr>
      </w:pPr>
    </w:p>
    <w:p>
      <w:pPr>
        <w:ind w:right="26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w:t>
      </w:r>
    </w:p>
    <w:p>
      <w:pPr>
        <w:ind w:right="40"/>
        <w:spacing w:after="0" w:line="252" w:lineRule="auto"/>
        <w:rPr>
          <w:sz w:val="20"/>
          <w:szCs w:val="20"/>
          <w:color w:val="auto"/>
        </w:rPr>
      </w:pPr>
      <w:r>
        <w:rPr>
          <w:rFonts w:ascii="Arial" w:cs="Arial" w:eastAsia="Arial" w:hAnsi="Arial"/>
          <w:sz w:val="18"/>
          <w:szCs w:val="18"/>
          <w:color w:val="auto"/>
        </w:rPr>
        <w:t>Company, the principal sum of Million ($ ) U.S. dollars, or such lesser principal sum as is shown on the attached Schedule of Exchanges of Definitive Security, on July 15, 2049 in such coin or currency of the United States of America as at the time of payment shall be legal tender for the payment of public and private debts, and to pay interest at an annual rate of 4.150% payable on January 15 and July 15 of each year, to the person in whose name this Security is registered at the close of business on the record date for such interest, which shall be the preceding January 1 or July 1, respectively, payable commencing January 15, 2020, with interest accruing from May 22, 2019, or the most recent date to which interest has been paid.</w:t>
      </w:r>
    </w:p>
    <w:p>
      <w:pPr>
        <w:spacing w:after="0" w:line="194"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right="40" w:firstLine="667"/>
        <w:spacing w:after="0" w:line="293" w:lineRule="auto"/>
        <w:rPr>
          <w:sz w:val="20"/>
          <w:szCs w:val="20"/>
          <w:color w:val="auto"/>
        </w:rPr>
      </w:pPr>
      <w:r>
        <w:rPr>
          <w:rFonts w:ascii="Arial" w:cs="Arial" w:eastAsia="Arial" w:hAnsi="Arial"/>
          <w:sz w:val="16"/>
          <w:szCs w:val="16"/>
          <w:color w:val="auto"/>
        </w:rPr>
        <w:t>This Security is issued in respect of a series of Securities of an initial aggregate of U.S. $1,000,000,000 in principal amount designated as the 4.150% Senior Notes due 2049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6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right="560" w:firstLine="667"/>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170" w:lineRule="exact"/>
        <w:rPr>
          <w:sz w:val="20"/>
          <w:szCs w:val="20"/>
          <w:color w:val="auto"/>
        </w:rPr>
      </w:pPr>
    </w:p>
    <w:p>
      <w:pPr>
        <w:ind w:right="30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840" w:type="dxa"/>
            <w:vAlign w:val="bottom"/>
            <w:gridSpan w:val="2"/>
          </w:tcPr>
          <w:p>
            <w:pPr>
              <w:ind w:left="10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tc>
      </w:tr>
      <w:tr>
        <w:trPr>
          <w:trHeight w:val="634"/>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9840" w:type="dxa"/>
            <w:vAlign w:val="bottom"/>
            <w:gridSpan w:val="2"/>
          </w:tcPr>
          <w:p>
            <w:pPr>
              <w:ind w:left="4640"/>
              <w:spacing w:after="0"/>
              <w:rPr>
                <w:sz w:val="20"/>
                <w:szCs w:val="20"/>
                <w:color w:val="auto"/>
              </w:rPr>
            </w:pPr>
            <w:r>
              <w:rPr>
                <w:rFonts w:ascii="Arial" w:cs="Arial" w:eastAsia="Arial" w:hAnsi="Arial"/>
                <w:sz w:val="18"/>
                <w:szCs w:val="18"/>
                <w:color w:val="auto"/>
              </w:rPr>
              <w:t>WASTE MANAGEMENT, INC.,</w:t>
            </w:r>
          </w:p>
        </w:tc>
      </w:tr>
      <w:tr>
        <w:trPr>
          <w:trHeight w:val="230"/>
        </w:trPr>
        <w:tc>
          <w:tcPr>
            <w:tcW w:w="560" w:type="dxa"/>
            <w:vAlign w:val="bottom"/>
          </w:tcPr>
          <w:p>
            <w:pPr>
              <w:spacing w:after="0"/>
              <w:rPr>
                <w:sz w:val="20"/>
                <w:szCs w:val="20"/>
                <w:color w:val="auto"/>
              </w:rPr>
            </w:pPr>
          </w:p>
        </w:tc>
        <w:tc>
          <w:tcPr>
            <w:tcW w:w="9840" w:type="dxa"/>
            <w:vAlign w:val="bottom"/>
            <w:gridSpan w:val="2"/>
          </w:tcPr>
          <w:p>
            <w:pPr>
              <w:ind w:left="4640"/>
              <w:spacing w:after="0"/>
              <w:rPr>
                <w:sz w:val="20"/>
                <w:szCs w:val="20"/>
                <w:color w:val="auto"/>
              </w:rPr>
            </w:pPr>
            <w:r>
              <w:rPr>
                <w:rFonts w:ascii="Arial" w:cs="Arial" w:eastAsia="Arial" w:hAnsi="Arial"/>
                <w:sz w:val="18"/>
                <w:szCs w:val="18"/>
                <w:color w:val="auto"/>
              </w:rPr>
              <w:t>a Delaware corporation</w:t>
            </w:r>
          </w:p>
        </w:tc>
      </w:tr>
      <w:tr>
        <w:trPr>
          <w:trHeight w:val="432"/>
        </w:trPr>
        <w:tc>
          <w:tcPr>
            <w:tcW w:w="560" w:type="dxa"/>
            <w:vAlign w:val="bottom"/>
          </w:tcPr>
          <w:p>
            <w:pPr>
              <w:spacing w:after="0"/>
              <w:rPr>
                <w:sz w:val="24"/>
                <w:szCs w:val="24"/>
                <w:color w:val="auto"/>
              </w:rPr>
            </w:pPr>
          </w:p>
        </w:tc>
        <w:tc>
          <w:tcPr>
            <w:tcW w:w="984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9840" w:type="dxa"/>
            <w:vAlign w:val="bottom"/>
            <w:gridSpan w:val="2"/>
          </w:tcPr>
          <w:p>
            <w:pPr>
              <w:ind w:left="5140"/>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560" w:type="dxa"/>
            <w:vAlign w:val="bottom"/>
          </w:tcPr>
          <w:p>
            <w:pPr>
              <w:spacing w:after="0"/>
              <w:rPr>
                <w:sz w:val="24"/>
                <w:szCs w:val="24"/>
                <w:color w:val="auto"/>
              </w:rPr>
            </w:pPr>
          </w:p>
        </w:tc>
        <w:tc>
          <w:tcPr>
            <w:tcW w:w="9840" w:type="dxa"/>
            <w:vAlign w:val="bottom"/>
            <w:gridSpan w:val="2"/>
          </w:tcPr>
          <w:p>
            <w:pPr>
              <w:ind w:left="4640"/>
              <w:spacing w:after="0"/>
              <w:rPr>
                <w:sz w:val="20"/>
                <w:szCs w:val="20"/>
                <w:color w:val="auto"/>
              </w:rPr>
            </w:pPr>
            <w:r>
              <w:rPr>
                <w:rFonts w:ascii="Arial" w:cs="Arial" w:eastAsia="Arial" w:hAnsi="Arial"/>
                <w:sz w:val="18"/>
                <w:szCs w:val="18"/>
                <w:color w:val="auto"/>
              </w:rPr>
              <w:t>Attest:</w:t>
            </w:r>
          </w:p>
        </w:tc>
      </w:tr>
      <w:tr>
        <w:trPr>
          <w:trHeight w:val="432"/>
        </w:trPr>
        <w:tc>
          <w:tcPr>
            <w:tcW w:w="560" w:type="dxa"/>
            <w:vAlign w:val="bottom"/>
          </w:tcPr>
          <w:p>
            <w:pPr>
              <w:spacing w:after="0"/>
              <w:rPr>
                <w:sz w:val="24"/>
                <w:szCs w:val="24"/>
                <w:color w:val="auto"/>
              </w:rPr>
            </w:pPr>
          </w:p>
        </w:tc>
        <w:tc>
          <w:tcPr>
            <w:tcW w:w="984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5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560" w:type="dxa"/>
            <w:vAlign w:val="bottom"/>
          </w:tcPr>
          <w:p>
            <w:pPr>
              <w:spacing w:after="0"/>
              <w:rPr>
                <w:sz w:val="20"/>
                <w:szCs w:val="20"/>
                <w:color w:val="auto"/>
              </w:rPr>
            </w:pPr>
          </w:p>
        </w:tc>
        <w:tc>
          <w:tcPr>
            <w:tcW w:w="9840" w:type="dxa"/>
            <w:vAlign w:val="bottom"/>
            <w:gridSpan w:val="2"/>
          </w:tcPr>
          <w:p>
            <w:pPr>
              <w:ind w:left="5140"/>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-130810</wp:posOffset>
            </wp:positionV>
            <wp:extent cx="30530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4.150% SENIOR NOTES DUE 2049</w:t>
      </w:r>
    </w:p>
    <w:p>
      <w:pPr>
        <w:spacing w:after="0" w:line="225" w:lineRule="exact"/>
        <w:rPr>
          <w:sz w:val="20"/>
          <w:szCs w:val="20"/>
          <w:color w:val="auto"/>
        </w:rPr>
      </w:pPr>
    </w:p>
    <w:p>
      <w:pPr>
        <w:ind w:firstLine="667"/>
        <w:spacing w:after="0" w:line="291"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4.150% Senior Notes due 2049 of the Company, in initial aggregate principal amount of $1,000,000,000 (the “Securities”).</w:t>
      </w:r>
    </w:p>
    <w:p>
      <w:pPr>
        <w:spacing w:after="0" w:line="167" w:lineRule="exact"/>
        <w:rPr>
          <w:sz w:val="20"/>
          <w:szCs w:val="20"/>
          <w:color w:val="auto"/>
        </w:rPr>
      </w:pPr>
    </w:p>
    <w:p>
      <w:pPr>
        <w:ind w:left="1320" w:hanging="680"/>
        <w:spacing w:after="0"/>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4.150% per annum.</w:t>
      </w:r>
    </w:p>
    <w:p>
      <w:pPr>
        <w:spacing w:after="0" w:line="225"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The Company will pay interest semi-annually on January 15 and July 15 of each year (each an “Interest Payment Date”), commencing January 15, 2020.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4.150% per annum, in each case to the extent lawful.</w:t>
      </w:r>
    </w:p>
    <w:p>
      <w:pPr>
        <w:spacing w:after="0" w:line="193" w:lineRule="exact"/>
        <w:rPr>
          <w:sz w:val="20"/>
          <w:szCs w:val="20"/>
          <w:color w:val="auto"/>
        </w:rPr>
      </w:pPr>
    </w:p>
    <w:p>
      <w:pPr>
        <w:ind w:left="1320" w:hanging="680"/>
        <w:spacing w:after="0"/>
        <w:tabs>
          <w:tab w:leader="none" w:pos="132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86"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5" w:lineRule="exact"/>
        <w:rPr>
          <w:sz w:val="20"/>
          <w:szCs w:val="20"/>
          <w:color w:val="auto"/>
        </w:rPr>
      </w:pPr>
    </w:p>
    <w:p>
      <w:pPr>
        <w:ind w:left="1320" w:hanging="680"/>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10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20" w:hanging="680"/>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129" w:name="page130"/>
    <w:bookmarkEnd w:id="129"/>
    <w:p>
      <w:pPr>
        <w:ind w:left="1320" w:hanging="680"/>
        <w:spacing w:after="0"/>
        <w:tabs>
          <w:tab w:leader="none" w:pos="132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78"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right="80" w:firstLine="667"/>
        <w:spacing w:after="0" w:line="271"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60" w:firstLine="667"/>
        <w:spacing w:after="0" w:line="279" w:lineRule="auto"/>
        <w:rPr>
          <w:sz w:val="20"/>
          <w:szCs w:val="20"/>
          <w:color w:val="auto"/>
        </w:rPr>
      </w:pPr>
      <w:r>
        <w:rPr>
          <w:rFonts w:ascii="Arial" w:cs="Arial" w:eastAsia="Arial" w:hAnsi="Arial"/>
          <w:sz w:val="17"/>
          <w:szCs w:val="17"/>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71" w:lineRule="exact"/>
        <w:rPr>
          <w:sz w:val="20"/>
          <w:szCs w:val="20"/>
          <w:color w:val="auto"/>
        </w:rPr>
      </w:pPr>
    </w:p>
    <w:p>
      <w:pPr>
        <w:ind w:right="8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20" w:firstLine="667"/>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January 15, 2049.</w:t>
      </w:r>
    </w:p>
    <w:p>
      <w:pPr>
        <w:spacing w:after="0" w:line="225" w:lineRule="exact"/>
        <w:rPr>
          <w:sz w:val="20"/>
          <w:szCs w:val="20"/>
          <w:color w:val="auto"/>
        </w:rPr>
      </w:pPr>
    </w:p>
    <w:p>
      <w:pPr>
        <w:ind w:firstLine="667"/>
        <w:spacing w:after="0" w:line="279" w:lineRule="auto"/>
        <w:rPr>
          <w:sz w:val="20"/>
          <w:szCs w:val="20"/>
          <w:color w:val="auto"/>
        </w:rPr>
      </w:pPr>
      <w:r>
        <w:rPr>
          <w:rFonts w:ascii="Arial" w:cs="Arial" w:eastAsia="Arial" w:hAnsi="Arial"/>
          <w:sz w:val="17"/>
          <w:szCs w:val="17"/>
          <w:color w:val="auto"/>
        </w:rPr>
        <w:t>“Reference Treasury Dealer”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71" w:lineRule="exact"/>
        <w:rPr>
          <w:sz w:val="20"/>
          <w:szCs w:val="20"/>
          <w:color w:val="auto"/>
        </w:rPr>
      </w:pPr>
    </w:p>
    <w:p>
      <w:pPr>
        <w:ind w:right="80" w:firstLine="667"/>
        <w:spacing w:after="0" w:line="30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54" w:lineRule="exact"/>
        <w:rPr>
          <w:sz w:val="20"/>
          <w:szCs w:val="20"/>
          <w:color w:val="auto"/>
        </w:rPr>
      </w:pPr>
    </w:p>
    <w:p>
      <w:pPr>
        <w:ind w:right="140" w:firstLine="667"/>
        <w:spacing w:after="0" w:line="277"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130" w:name="page131"/>
    <w:bookmarkEnd w:id="130"/>
    <w:p>
      <w:pPr>
        <w:ind w:left="660"/>
        <w:spacing w:after="0"/>
        <w:rPr>
          <w:sz w:val="20"/>
          <w:szCs w:val="20"/>
          <w:color w:val="auto"/>
        </w:rPr>
      </w:pPr>
      <w:r>
        <w:rPr>
          <w:rFonts w:ascii="Arial" w:cs="Arial" w:eastAsia="Arial" w:hAnsi="Arial"/>
          <w:sz w:val="16"/>
          <w:szCs w:val="16"/>
          <w:color w:val="auto"/>
        </w:rPr>
        <w:t>The Securities may be redeemed in part in a minimum principal amount of $2,000, or any integral multiple of $1,000 in excess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20" w:hanging="680"/>
        <w:spacing w:after="0"/>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80" w:right="340" w:firstLine="22"/>
        <w:spacing w:after="0" w:line="277" w:lineRule="auto"/>
        <w:rPr>
          <w:sz w:val="20"/>
          <w:szCs w:val="20"/>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sz w:val="20"/>
          <w:szCs w:val="20"/>
          <w:color w:val="auto"/>
        </w:rPr>
      </w:pPr>
    </w:p>
    <w:p>
      <w:pPr>
        <w:ind w:left="1280" w:right="220" w:firstLine="22"/>
        <w:spacing w:after="0" w:line="277" w:lineRule="auto"/>
        <w:rPr>
          <w:sz w:val="20"/>
          <w:szCs w:val="20"/>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sz w:val="20"/>
          <w:szCs w:val="20"/>
          <w:color w:val="auto"/>
        </w:rPr>
      </w:pPr>
    </w:p>
    <w:p>
      <w:pPr>
        <w:ind w:left="1280" w:right="220" w:firstLine="22"/>
        <w:spacing w:after="0" w:line="277" w:lineRule="auto"/>
        <w:rPr>
          <w:sz w:val="20"/>
          <w:szCs w:val="20"/>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40" w:firstLine="667"/>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31" w:name="page132"/>
    <w:bookmarkEnd w:id="131"/>
    <w:p>
      <w:pPr>
        <w:ind w:firstLine="667"/>
        <w:spacing w:after="0" w:line="273"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right="440"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40" w:firstLine="667"/>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71" w:lineRule="exact"/>
        <w:rPr>
          <w:sz w:val="20"/>
          <w:szCs w:val="20"/>
          <w:color w:val="auto"/>
        </w:rPr>
      </w:pPr>
    </w:p>
    <w:p>
      <w:pPr>
        <w:ind w:right="80" w:firstLine="667"/>
        <w:spacing w:after="0" w:line="276"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60" w:firstLine="667"/>
        <w:spacing w:after="0" w:line="342" w:lineRule="auto"/>
        <w:rPr>
          <w:sz w:val="20"/>
          <w:szCs w:val="20"/>
          <w:color w:val="auto"/>
        </w:rPr>
      </w:pPr>
      <w:r>
        <w:rPr>
          <w:rFonts w:ascii="Arial" w:cs="Arial" w:eastAsia="Arial" w:hAnsi="Arial"/>
          <w:sz w:val="16"/>
          <w:szCs w:val="16"/>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4" w:lineRule="exact"/>
        <w:rPr>
          <w:sz w:val="20"/>
          <w:szCs w:val="20"/>
          <w:color w:val="auto"/>
        </w:rPr>
      </w:pPr>
    </w:p>
    <w:p>
      <w:pPr>
        <w:ind w:left="1320" w:hanging="680"/>
        <w:spacing w:after="0"/>
        <w:tabs>
          <w:tab w:leader="none" w:pos="132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320" w:hanging="680"/>
        <w:spacing w:after="0"/>
        <w:tabs>
          <w:tab w:leader="none" w:pos="132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20" w:hanging="680"/>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132" w:name="page133"/>
    <w:bookmarkEnd w:id="132"/>
    <w:p>
      <w:pPr>
        <w:ind w:left="1320" w:hanging="680"/>
        <w:spacing w:after="0"/>
        <w:tabs>
          <w:tab w:leader="none" w:pos="132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68"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1" w:lineRule="exact"/>
        <w:rPr>
          <w:sz w:val="20"/>
          <w:szCs w:val="20"/>
          <w:color w:val="auto"/>
        </w:rPr>
      </w:pPr>
    </w:p>
    <w:p>
      <w:pPr>
        <w:ind w:left="1300" w:hanging="660"/>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right="2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20" w:hanging="680"/>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20" w:hanging="680"/>
        <w:spacing w:after="0"/>
        <w:tabs>
          <w:tab w:leader="none" w:pos="132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right="16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20" w:hanging="680"/>
        <w:spacing w:after="0"/>
        <w:tabs>
          <w:tab w:leader="none" w:pos="132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right="160" w:firstLine="667"/>
        <w:spacing w:after="0" w:line="312" w:lineRule="auto"/>
        <w:rPr>
          <w:sz w:val="20"/>
          <w:szCs w:val="20"/>
          <w:color w:val="auto"/>
        </w:rPr>
      </w:pPr>
      <w:r>
        <w:rPr>
          <w:rFonts w:ascii="Arial" w:cs="Arial" w:eastAsia="Arial" w:hAnsi="Arial"/>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7" w:lineRule="exact"/>
        <w:rPr>
          <w:sz w:val="20"/>
          <w:szCs w:val="20"/>
          <w:color w:val="auto"/>
        </w:rPr>
      </w:pPr>
    </w:p>
    <w:p>
      <w:pPr>
        <w:ind w:left="1320" w:hanging="680"/>
        <w:spacing w:after="0"/>
        <w:tabs>
          <w:tab w:leader="none" w:pos="132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50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20" w:hanging="680"/>
        <w:spacing w:after="0"/>
        <w:tabs>
          <w:tab w:leader="none" w:pos="132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240" w:firstLine="667"/>
        <w:spacing w:after="0" w:line="255"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93" w:lineRule="exact"/>
        <w:rPr>
          <w:sz w:val="20"/>
          <w:szCs w:val="20"/>
          <w:color w:val="auto"/>
        </w:rPr>
      </w:pPr>
    </w:p>
    <w:p>
      <w:pPr>
        <w:ind w:left="1320" w:hanging="680"/>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133" w:name="page134"/>
    <w:bookmarkEnd w:id="133"/>
    <w:p>
      <w:pPr>
        <w:ind w:left="1320" w:hanging="680"/>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firstLine="667"/>
        <w:spacing w:after="0" w:line="257"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8" w:lineRule="exact"/>
        <w:rPr>
          <w:sz w:val="20"/>
          <w:szCs w:val="20"/>
          <w:color w:val="auto"/>
        </w:rPr>
      </w:pPr>
    </w:p>
    <w:p>
      <w:pPr>
        <w:ind w:left="1280" w:hanging="622"/>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right="20" w:firstLine="667"/>
        <w:spacing w:after="0" w:line="276" w:lineRule="auto"/>
        <w:rPr>
          <w:sz w:val="20"/>
          <w:szCs w:val="20"/>
          <w:color w:val="auto"/>
        </w:rPr>
      </w:pPr>
      <w:r>
        <w:rPr>
          <w:rFonts w:ascii="Arial" w:cs="Arial" w:eastAsia="Arial" w:hAnsi="Arial"/>
          <w:sz w:val="17"/>
          <w:szCs w:val="17"/>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00"/>
          </w:cols>
          <w:pgMar w:left="760" w:top="125" w:right="8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 Amount</w:t>
            </w: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Exchange</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Book-Entry</w:t>
            </w: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Security</w:t>
            </w: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Security Custodian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3"/>
        </w:trPr>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25" w:right="7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380" w:right="14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which 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380"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ind w:left="380" w:right="7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offerings of securities to finance the Merger Consideration;</w:t>
      </w:r>
    </w:p>
    <w:p>
      <w:pPr>
        <w:spacing w:after="0" w:line="162" w:lineRule="exact"/>
        <w:rPr>
          <w:sz w:val="20"/>
          <w:szCs w:val="20"/>
          <w:color w:val="auto"/>
        </w:rPr>
      </w:pPr>
    </w:p>
    <w:p>
      <w:pPr>
        <w:ind w:left="380" w:right="5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and/or its subsidiaries;</w:t>
      </w:r>
    </w:p>
    <w:p>
      <w:pPr>
        <w:spacing w:after="0" w:line="162" w:lineRule="exact"/>
        <w:rPr>
          <w:sz w:val="20"/>
          <w:szCs w:val="20"/>
          <w:color w:val="auto"/>
        </w:rPr>
      </w:pPr>
    </w:p>
    <w:p>
      <w:pPr>
        <w:ind w:left="380"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party to that certain indenture, dated as of September 10, 1997 (as amended, restated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Company Existing Indenture</w:t>
      </w:r>
      <w:r>
        <w:rPr>
          <w:rFonts w:ascii="Arial" w:cs="Arial" w:eastAsia="Arial" w:hAnsi="Arial"/>
          <w:sz w:val="18"/>
          <w:szCs w:val="18"/>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8"/>
          <w:szCs w:val="18"/>
          <w:u w:val="single" w:color="auto"/>
          <w:color w:val="auto"/>
        </w:rPr>
        <w:t>2028 Notes</w:t>
      </w:r>
      <w:r>
        <w:rPr>
          <w:rFonts w:ascii="Arial" w:cs="Arial" w:eastAsia="Arial" w:hAnsi="Arial"/>
          <w:sz w:val="18"/>
          <w:szCs w:val="18"/>
          <w:color w:val="auto"/>
        </w:rPr>
        <w:t>”), (ii) the Company’s 7.375% Senior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(iii) the Company’s 7.75% Senior Notes due 2032 (the “</w:t>
      </w:r>
      <w:r>
        <w:rPr>
          <w:rFonts w:ascii="Arial" w:cs="Arial" w:eastAsia="Arial" w:hAnsi="Arial"/>
          <w:sz w:val="18"/>
          <w:szCs w:val="18"/>
          <w:u w:val="single" w:color="auto"/>
          <w:color w:val="auto"/>
        </w:rPr>
        <w:t>2032 Notes</w:t>
      </w:r>
      <w:r>
        <w:rPr>
          <w:rFonts w:ascii="Arial" w:cs="Arial" w:eastAsia="Arial" w:hAnsi="Arial"/>
          <w:sz w:val="18"/>
          <w:szCs w:val="18"/>
          <w:color w:val="auto"/>
        </w:rPr>
        <w:t>”), and (iv) the Company’s 6.125% Senior Notes due 2039 (the “</w:t>
      </w:r>
      <w:r>
        <w:rPr>
          <w:rFonts w:ascii="Arial" w:cs="Arial" w:eastAsia="Arial" w:hAnsi="Arial"/>
          <w:sz w:val="18"/>
          <w:szCs w:val="18"/>
          <w:u w:val="single" w:color="auto"/>
          <w:color w:val="auto"/>
        </w:rPr>
        <w:t>2039 Notes</w:t>
      </w:r>
      <w:r>
        <w:rPr>
          <w:rFonts w:ascii="Arial" w:cs="Arial" w:eastAsia="Arial" w:hAnsi="Arial"/>
          <w:sz w:val="18"/>
          <w:szCs w:val="18"/>
          <w:color w:val="auto"/>
        </w:rPr>
        <w:t>”);</w:t>
      </w:r>
    </w:p>
    <w:p>
      <w:pPr>
        <w:spacing w:after="0" w:line="188" w:lineRule="exact"/>
        <w:rPr>
          <w:sz w:val="20"/>
          <w:szCs w:val="20"/>
          <w:color w:val="auto"/>
        </w:rPr>
      </w:pPr>
    </w:p>
    <w:p>
      <w:pPr>
        <w:ind w:left="380" w:right="40" w:firstLine="648"/>
        <w:spacing w:after="0" w:line="28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w:t>
      </w:r>
    </w:p>
    <w:p>
      <w:pPr>
        <w:spacing w:after="0" w:line="2" w:lineRule="exact"/>
        <w:rPr>
          <w:sz w:val="20"/>
          <w:szCs w:val="20"/>
          <w:color w:val="auto"/>
        </w:rPr>
      </w:pPr>
    </w:p>
    <w:p>
      <w:pPr>
        <w:ind w:left="380" w:right="180"/>
        <w:spacing w:after="0" w:line="261" w:lineRule="auto"/>
        <w:rPr>
          <w:sz w:val="20"/>
          <w:szCs w:val="20"/>
          <w:color w:val="auto"/>
        </w:rPr>
      </w:pPr>
      <w:r>
        <w:rPr>
          <w:rFonts w:ascii="Arial" w:cs="Arial" w:eastAsia="Arial" w:hAnsi="Arial"/>
          <w:sz w:val="18"/>
          <w:szCs w:val="18"/>
          <w:color w:val="auto"/>
        </w:rPr>
        <w:t>7.10%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and together with the 2028 Notes, the 2029 Notes, the 2032 Notes and the 2039 Notes, the “</w:t>
      </w:r>
      <w:r>
        <w:rPr>
          <w:rFonts w:ascii="Arial" w:cs="Arial" w:eastAsia="Arial" w:hAnsi="Arial"/>
          <w:sz w:val="18"/>
          <w:szCs w:val="18"/>
          <w:u w:val="single" w:color="auto"/>
          <w:color w:val="auto"/>
        </w:rPr>
        <w:t>Specified Existing Notes</w:t>
      </w:r>
      <w:r>
        <w:rPr>
          <w:rFonts w:ascii="Arial" w:cs="Arial" w:eastAsia="Arial" w:hAnsi="Arial"/>
          <w:sz w:val="18"/>
          <w:szCs w:val="18"/>
          <w:color w:val="auto"/>
        </w:rPr>
        <w:t>”); and</w:t>
      </w:r>
    </w:p>
    <w:p>
      <w:pPr>
        <w:spacing w:after="0" w:line="180" w:lineRule="exact"/>
        <w:rPr>
          <w:sz w:val="20"/>
          <w:szCs w:val="20"/>
          <w:color w:val="auto"/>
        </w:rPr>
      </w:pPr>
    </w:p>
    <w:p>
      <w:pPr>
        <w:ind w:left="38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the eventual redemption and/or refinancing of the Specified Existing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deems it advisable to approve the Company’ pursuit of tender offers and/or redemption transactions with respect to the Specified Existing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740" w:hanging="360"/>
        <w:spacing w:after="0"/>
        <w:tabs>
          <w:tab w:leader="none" w:pos="7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6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 shelf</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S-3 (the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pursuant to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7"/>
          <w:szCs w:val="17"/>
          <w:u w:val="single" w:color="auto"/>
          <w:color w:val="auto"/>
        </w:rPr>
        <w:t>Registered Debt Securities</w:t>
      </w:r>
      <w:r>
        <w:rPr>
          <w:rFonts w:ascii="Arial" w:cs="Arial" w:eastAsia="Arial" w:hAnsi="Arial"/>
          <w:sz w:val="17"/>
          <w:szCs w:val="17"/>
          <w:color w:val="auto"/>
        </w:rPr>
        <w:t>”); common stock of the Company, par value $0.01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7"/>
          <w:szCs w:val="17"/>
          <w:u w:val="single" w:color="auto"/>
          <w:color w:val="auto"/>
        </w:rPr>
        <w:t>Registered Securities</w:t>
      </w:r>
      <w:r>
        <w:rPr>
          <w:rFonts w:ascii="Arial" w:cs="Arial" w:eastAsia="Arial" w:hAnsi="Arial"/>
          <w:sz w:val="17"/>
          <w:szCs w:val="17"/>
          <w:color w:val="auto"/>
        </w:rPr>
        <w:t>”), to be issued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36" w:name="page137"/>
    <w:bookmarkEnd w:id="136"/>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shall be deemed rescinded and superseded hereby;</w:t>
      </w:r>
    </w:p>
    <w:p>
      <w:pPr>
        <w:spacing w:after="0" w:line="162"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(as established pursuant to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be, and each of 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 of 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be, and each of them hereby is, authorized,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Company is authorized to offer, issue and sell, or cause any subsidiary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issue and sell, debt securities denominated in Canadian dollars (the “</w:t>
      </w:r>
      <w:r>
        <w:rPr>
          <w:rFonts w:ascii="Arial" w:cs="Arial" w:eastAsia="Arial" w:hAnsi="Arial"/>
          <w:sz w:val="18"/>
          <w:szCs w:val="18"/>
          <w:u w:val="single" w:color="auto"/>
          <w:color w:val="auto"/>
        </w:rPr>
        <w:t>Canadian Notes</w:t>
      </w:r>
      <w:r>
        <w:rPr>
          <w:rFonts w:ascii="Arial" w:cs="Arial" w:eastAsia="Arial" w:hAnsi="Arial"/>
          <w:sz w:val="18"/>
          <w:szCs w:val="18"/>
          <w:color w:val="auto"/>
        </w:rPr>
        <w:t>,” together with any Canadian Notes Guarantees (as defined below) the “</w:t>
      </w:r>
      <w:r>
        <w:rPr>
          <w:rFonts w:ascii="Arial" w:cs="Arial" w:eastAsia="Arial" w:hAnsi="Arial"/>
          <w:sz w:val="18"/>
          <w:szCs w:val="18"/>
          <w:u w:val="single" w:color="auto"/>
          <w:color w:val="auto"/>
        </w:rPr>
        <w:t>Canadian Securities</w:t>
      </w:r>
      <w:r>
        <w:rPr>
          <w:rFonts w:ascii="Arial" w:cs="Arial" w:eastAsia="Arial" w:hAnsi="Arial"/>
          <w:sz w:val="18"/>
          <w:szCs w:val="18"/>
          <w:color w:val="auto"/>
        </w:rPr>
        <w:t>,” and together with the Registered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in transactions exempt from registration under the Securities Act, 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each of them, shall have full authority to authorize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62" w:lineRule="exact"/>
        <w:rPr>
          <w:sz w:val="20"/>
          <w:szCs w:val="20"/>
          <w:color w:val="auto"/>
        </w:rPr>
      </w:pPr>
    </w:p>
    <w:p>
      <w:pPr>
        <w:ind w:right="8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preparation and use of a preliminary offering memorandum relating to the Canadian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 together or individually, and those other employees of the Company as any of them shall designate, are hereby authorized and directed in the name and on behalf of the Company to prepare a pricing supplement (the “</w:t>
      </w:r>
      <w:r>
        <w:rPr>
          <w:rFonts w:ascii="Arial" w:cs="Arial" w:eastAsia="Arial" w:hAnsi="Arial"/>
          <w:sz w:val="17"/>
          <w:szCs w:val="17"/>
          <w:u w:val="single" w:color="auto"/>
          <w:color w:val="auto"/>
        </w:rPr>
        <w:t>Pricing Supplement</w:t>
      </w:r>
      <w:r>
        <w:rPr>
          <w:rFonts w:ascii="Arial" w:cs="Arial" w:eastAsia="Arial" w:hAnsi="Arial"/>
          <w:sz w:val="17"/>
          <w:szCs w:val="17"/>
          <w:color w:val="auto"/>
        </w:rPr>
        <w:t>”) in connection with the Canadian Offering, and the final offering 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 Authorized Officers deems necessary or appropriate in connection with the Canadian Offering, such approval to be conclusively evidenced by the distribution of such supplement or amendment by or on behalf of the Company to the Initial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464185</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121" w:right="759" w:bottom="1440" w:gutter="0" w:footer="0" w:header="0"/>
        </w:sectPr>
      </w:pPr>
    </w:p>
    <w:bookmarkStart w:id="137" w:name="page138"/>
    <w:bookmarkEnd w:id="137"/>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appropriate qualification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approve 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may, at any time and from time to time, on behalf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 the 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6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w:t>
      </w:r>
      <w:r>
        <w:rPr>
          <w:rFonts w:ascii="Arial" w:cs="Arial" w:eastAsia="Arial" w:hAnsi="Arial"/>
          <w:sz w:val="16"/>
          <w:szCs w:val="16"/>
          <w:b w:val="1"/>
          <w:bCs w:val="1"/>
          <w:color w:val="auto"/>
        </w:rPr>
        <w:t xml:space="preserve"> </w:t>
      </w:r>
      <w:r>
        <w:rPr>
          <w:rFonts w:ascii="Arial" w:cs="Arial" w:eastAsia="Arial" w:hAnsi="Arial"/>
          <w:sz w:val="16"/>
          <w:szCs w:val="16"/>
          <w:color w:val="auto"/>
        </w:rPr>
        <w:t>these 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of any Securities of any series which may not be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at one time (except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80" w:lineRule="exact"/>
        <w:rPr>
          <w:sz w:val="20"/>
          <w:szCs w:val="20"/>
          <w:color w:val="auto"/>
        </w:rPr>
      </w:pPr>
    </w:p>
    <w:p>
      <w:pPr>
        <w:jc w:val="both"/>
        <w:ind w:right="5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the issuance and sale of any Securities, that the Company may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therefrom: (1) 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any 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469265</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000"/>
          </w:cols>
          <w:pgMar w:left="1140" w:top="121" w:right="759" w:bottom="1440" w:gutter="0" w:footer="0" w:header="0"/>
        </w:sectPr>
      </w:pPr>
    </w:p>
    <w:bookmarkStart w:id="138" w:name="page139"/>
    <w:bookmarkEnd w:id="138"/>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 (i) and (ii) being referred to as </w:t>
      </w:r>
      <w:r>
        <w:rPr>
          <w:rFonts w:ascii="Arial" w:cs="Arial" w:eastAsia="Arial" w:hAnsi="Arial"/>
          <w:sz w:val="16"/>
          <w:szCs w:val="16"/>
          <w:u w:val="single" w:color="auto"/>
          <w:color w:val="auto"/>
        </w:rPr>
        <w:t>“Liability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Transactions</w:t>
      </w:r>
      <w:r>
        <w:rPr>
          <w:rFonts w:ascii="Arial" w:cs="Arial" w:eastAsia="Arial" w:hAnsi="Arial"/>
          <w:sz w:val="16"/>
          <w:szCs w:val="16"/>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6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68"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80"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and authorized employees be, and each of them hereby is, authorized,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401955</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980"/>
          </w:cols>
          <w:pgMar w:left="1140" w:top="121" w:right="779" w:bottom="1440" w:gutter="0" w:footer="0" w:header="0"/>
        </w:sectPr>
      </w:pPr>
    </w:p>
    <w:bookmarkStart w:id="139" w:name="page140"/>
    <w:bookmarkEnd w:id="139"/>
    <w:p>
      <w:pPr>
        <w:ind w:left="380"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in 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80" w:hanging="352"/>
        <w:spacing w:after="0"/>
        <w:tabs>
          <w:tab w:leader="none" w:pos="13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380" w:right="20"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others hereby 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4" w:lineRule="exact"/>
        <w:rPr>
          <w:sz w:val="20"/>
          <w:szCs w:val="20"/>
          <w:color w:val="auto"/>
        </w:rPr>
      </w:pPr>
    </w:p>
    <w:p>
      <w:pPr>
        <w:ind w:left="380" w:right="40" w:firstLine="648"/>
        <w:spacing w:after="0" w:line="27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and 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4" w:lineRule="exact"/>
        <w:rPr>
          <w:sz w:val="20"/>
          <w:szCs w:val="20"/>
          <w:color w:val="auto"/>
        </w:rPr>
      </w:pPr>
    </w:p>
    <w:p>
      <w:pPr>
        <w:ind w:left="380" w:right="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left="380" w:right="36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officers of the Company be, and each of them hereby is, authorized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56" w:lineRule="exact"/>
        <w:rPr>
          <w:sz w:val="20"/>
          <w:szCs w:val="20"/>
          <w:color w:val="auto"/>
        </w:rPr>
      </w:pPr>
    </w:p>
    <w:p>
      <w:pPr>
        <w:ind w:left="3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4.6</w:t>
      </w:r>
    </w:p>
    <w:p>
      <w:pPr>
        <w:spacing w:after="0" w:line="22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2.950% Senior Notes due 2024</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495300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141" w:name="page142"/>
    <w:bookmarkEnd w:id="141"/>
    <w:p>
      <w:pPr>
        <w:ind w:left="9" w:right="160" w:firstLine="648"/>
        <w:spacing w:after="0" w:line="302" w:lineRule="auto"/>
        <w:rPr>
          <w:sz w:val="20"/>
          <w:szCs w:val="20"/>
          <w:color w:val="auto"/>
        </w:rPr>
      </w:pPr>
      <w:r>
        <w:rPr>
          <w:rFonts w:ascii="Arial" w:cs="Arial" w:eastAsia="Arial" w:hAnsi="Arial"/>
          <w:sz w:val="16"/>
          <w:szCs w:val="16"/>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2.950% Senior Notes due 2024 (the “Debt Securities”) of Waste Management, Inc. (formerly known as USA Waste Services, Inc.), a Delaware corporation (the “Issuer”).</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 w:right="140" w:firstLine="1288"/>
        <w:spacing w:after="0" w:line="293" w:lineRule="auto"/>
        <w:tabs>
          <w:tab w:leader="none" w:pos="19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64" w:lineRule="exact"/>
        <w:rPr>
          <w:rFonts w:ascii="Arial" w:cs="Arial" w:eastAsia="Arial" w:hAnsi="Arial"/>
          <w:sz w:val="16"/>
          <w:szCs w:val="16"/>
          <w:color w:val="auto"/>
        </w:rPr>
      </w:pPr>
    </w:p>
    <w:p>
      <w:pPr>
        <w:ind w:left="9" w:right="20" w:firstLine="1288"/>
        <w:spacing w:after="0" w:line="272" w:lineRule="auto"/>
        <w:tabs>
          <w:tab w:leader="none" w:pos="196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8" w:lineRule="exact"/>
        <w:rPr>
          <w:sz w:val="20"/>
          <w:szCs w:val="20"/>
          <w:color w:val="auto"/>
        </w:rPr>
      </w:pPr>
    </w:p>
    <w:p>
      <w:pPr>
        <w:ind w:left="9" w:right="40"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1969" w:hanging="672"/>
        <w:spacing w:after="0"/>
        <w:tabs>
          <w:tab w:leader="none" w:pos="196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w:t>
      </w:r>
    </w:p>
    <w:p>
      <w:pPr>
        <w:spacing w:after="0" w:line="34" w:lineRule="exact"/>
        <w:rPr>
          <w:rFonts w:ascii="Arial" w:cs="Arial" w:eastAsia="Arial" w:hAnsi="Arial"/>
          <w:sz w:val="17"/>
          <w:szCs w:val="17"/>
          <w:color w:val="auto"/>
        </w:rPr>
      </w:pPr>
    </w:p>
    <w:p>
      <w:pPr>
        <w:ind w:left="269"/>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left="269" w:right="120" w:firstLine="1028"/>
        <w:spacing w:after="0" w:line="277" w:lineRule="auto"/>
        <w:tabs>
          <w:tab w:leader="none" w:pos="197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9" w:right="260" w:firstLine="1028"/>
        <w:spacing w:after="0" w:line="277" w:lineRule="auto"/>
        <w:tabs>
          <w:tab w:leader="none" w:pos="198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70" w:lineRule="exact"/>
        <w:rPr>
          <w:rFonts w:ascii="Arial" w:cs="Arial" w:eastAsia="Arial" w:hAnsi="Arial"/>
          <w:sz w:val="18"/>
          <w:szCs w:val="18"/>
          <w:color w:val="auto"/>
        </w:rPr>
      </w:pPr>
    </w:p>
    <w:p>
      <w:pPr>
        <w:ind w:left="1969" w:hanging="672"/>
        <w:spacing w:after="0"/>
        <w:tabs>
          <w:tab w:leader="none" w:pos="196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w:t>
      </w:r>
    </w:p>
    <w:p>
      <w:pPr>
        <w:spacing w:after="0" w:line="46"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existing and future senior indebtedness of the Guarantor and</w:t>
      </w:r>
    </w:p>
    <w:p>
      <w:pPr>
        <w:ind w:left="649" w:right="3240" w:hanging="649"/>
        <w:spacing w:after="0" w:line="492" w:lineRule="auto"/>
        <w:tabs>
          <w:tab w:leader="none" w:pos="2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senior in right of payment to all existing and future subordinated indebtedness of the Guarantor. SECTION 4. </w:t>
      </w:r>
      <w:r>
        <w:rPr>
          <w:rFonts w:ascii="Arial" w:cs="Arial" w:eastAsia="Arial" w:hAnsi="Arial"/>
          <w:sz w:val="18"/>
          <w:szCs w:val="18"/>
          <w:u w:val="single" w:color="auto"/>
          <w:color w:val="auto"/>
        </w:rPr>
        <w:t>Waiver; Subrogation</w:t>
      </w:r>
    </w:p>
    <w:p>
      <w:pPr>
        <w:spacing w:after="0" w:line="1" w:lineRule="exact"/>
        <w:rPr>
          <w:rFonts w:ascii="Arial" w:cs="Arial" w:eastAsia="Arial" w:hAnsi="Arial"/>
          <w:sz w:val="18"/>
          <w:szCs w:val="18"/>
          <w:color w:val="auto"/>
        </w:rPr>
      </w:pPr>
    </w:p>
    <w:p>
      <w:pPr>
        <w:ind w:left="9" w:right="220" w:firstLine="1288"/>
        <w:spacing w:after="0" w:line="312" w:lineRule="auto"/>
        <w:tabs>
          <w:tab w:leader="none" w:pos="195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6" w:lineRule="exact"/>
        <w:rPr>
          <w:rFonts w:ascii="Arial" w:cs="Arial" w:eastAsia="Arial" w:hAnsi="Arial"/>
          <w:sz w:val="16"/>
          <w:szCs w:val="16"/>
          <w:color w:val="auto"/>
        </w:rPr>
      </w:pPr>
    </w:p>
    <w:p>
      <w:pPr>
        <w:ind w:left="9" w:right="60" w:firstLine="1288"/>
        <w:spacing w:after="0" w:line="259" w:lineRule="auto"/>
        <w:tabs>
          <w:tab w:leader="none" w:pos="196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142" w:name="page143"/>
    <w:bookmarkEnd w:id="142"/>
    <w:p>
      <w:pPr>
        <w:ind w:left="9"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ind w:left="9" w:right="260"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w:t>
      </w:r>
    </w:p>
    <w:p>
      <w:pPr>
        <w:ind w:left="9" w:right="40" w:hanging="9"/>
        <w:spacing w:after="0" w:line="292" w:lineRule="auto"/>
        <w:tabs>
          <w:tab w:leader="none" w:pos="29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3" w:lineRule="exact"/>
        <w:rPr>
          <w:sz w:val="20"/>
          <w:szCs w:val="20"/>
          <w:color w:val="auto"/>
        </w:rPr>
      </w:pPr>
    </w:p>
    <w:p>
      <w:pPr>
        <w:jc w:val="both"/>
        <w:ind w:left="9" w:right="38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7" w:lineRule="exact"/>
        <w:rPr>
          <w:sz w:val="20"/>
          <w:szCs w:val="20"/>
          <w:color w:val="auto"/>
        </w:rPr>
      </w:pPr>
    </w:p>
    <w:p>
      <w:pPr>
        <w:jc w:val="both"/>
        <w:ind w:left="9" w:right="1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left="9" w:right="4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25" w:right="779" w:bottom="1440" w:gutter="0" w:footer="0" w:header="0"/>
        </w:sectPr>
      </w:pPr>
    </w:p>
    <w:bookmarkStart w:id="143" w:name="page144"/>
    <w:bookmarkEnd w:id="143"/>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Reed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-130810</wp:posOffset>
            </wp:positionV>
            <wp:extent cx="30359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Bennett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-130810</wp:posOffset>
            </wp:positionV>
            <wp:extent cx="30359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125" w:right="9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3.200% Senior Notes due 2026</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495300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145" w:name="page146"/>
    <w:bookmarkEnd w:id="145"/>
    <w:p>
      <w:pPr>
        <w:ind w:left="9" w:right="160" w:firstLine="648"/>
        <w:spacing w:after="0" w:line="302" w:lineRule="auto"/>
        <w:rPr>
          <w:sz w:val="20"/>
          <w:szCs w:val="20"/>
          <w:color w:val="auto"/>
        </w:rPr>
      </w:pPr>
      <w:r>
        <w:rPr>
          <w:rFonts w:ascii="Arial" w:cs="Arial" w:eastAsia="Arial" w:hAnsi="Arial"/>
          <w:sz w:val="16"/>
          <w:szCs w:val="16"/>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3.200% Senior Notes due 2026 (the “Debt Securities”) of Waste Management, Inc. (formerly known as USA Waste Services, Inc.), a Delaware corporation (the “Issuer”).</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 w:right="140" w:firstLine="1288"/>
        <w:spacing w:after="0" w:line="293" w:lineRule="auto"/>
        <w:tabs>
          <w:tab w:leader="none" w:pos="19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64" w:lineRule="exact"/>
        <w:rPr>
          <w:rFonts w:ascii="Arial" w:cs="Arial" w:eastAsia="Arial" w:hAnsi="Arial"/>
          <w:sz w:val="16"/>
          <w:szCs w:val="16"/>
          <w:color w:val="auto"/>
        </w:rPr>
      </w:pPr>
    </w:p>
    <w:p>
      <w:pPr>
        <w:ind w:left="9" w:right="20" w:firstLine="1288"/>
        <w:spacing w:after="0" w:line="272" w:lineRule="auto"/>
        <w:tabs>
          <w:tab w:leader="none" w:pos="196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8" w:lineRule="exact"/>
        <w:rPr>
          <w:sz w:val="20"/>
          <w:szCs w:val="20"/>
          <w:color w:val="auto"/>
        </w:rPr>
      </w:pPr>
    </w:p>
    <w:p>
      <w:pPr>
        <w:ind w:left="9" w:right="40"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1969" w:hanging="672"/>
        <w:spacing w:after="0"/>
        <w:tabs>
          <w:tab w:leader="none" w:pos="196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w:t>
      </w:r>
    </w:p>
    <w:p>
      <w:pPr>
        <w:spacing w:after="0" w:line="34" w:lineRule="exact"/>
        <w:rPr>
          <w:rFonts w:ascii="Arial" w:cs="Arial" w:eastAsia="Arial" w:hAnsi="Arial"/>
          <w:sz w:val="17"/>
          <w:szCs w:val="17"/>
          <w:color w:val="auto"/>
        </w:rPr>
      </w:pPr>
    </w:p>
    <w:p>
      <w:pPr>
        <w:ind w:left="269"/>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left="269" w:right="120" w:firstLine="1028"/>
        <w:spacing w:after="0" w:line="277" w:lineRule="auto"/>
        <w:tabs>
          <w:tab w:leader="none" w:pos="19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9" w:right="260" w:firstLine="1028"/>
        <w:spacing w:after="0" w:line="277" w:lineRule="auto"/>
        <w:tabs>
          <w:tab w:leader="none" w:pos="19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70" w:lineRule="exact"/>
        <w:rPr>
          <w:rFonts w:ascii="Arial" w:cs="Arial" w:eastAsia="Arial" w:hAnsi="Arial"/>
          <w:sz w:val="18"/>
          <w:szCs w:val="18"/>
          <w:color w:val="auto"/>
        </w:rPr>
      </w:pPr>
    </w:p>
    <w:p>
      <w:pPr>
        <w:ind w:left="1969" w:hanging="672"/>
        <w:spacing w:after="0"/>
        <w:tabs>
          <w:tab w:leader="none" w:pos="196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w:t>
      </w:r>
    </w:p>
    <w:p>
      <w:pPr>
        <w:spacing w:after="0" w:line="46"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existing and future senior indebtedness of the Guarantor and</w:t>
      </w:r>
    </w:p>
    <w:p>
      <w:pPr>
        <w:ind w:left="649" w:right="3240" w:hanging="649"/>
        <w:spacing w:after="0" w:line="492"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senior in right of payment to all existing and future subordinated indebtedness of the Guarantor. SECTION 4. </w:t>
      </w:r>
      <w:r>
        <w:rPr>
          <w:rFonts w:ascii="Arial" w:cs="Arial" w:eastAsia="Arial" w:hAnsi="Arial"/>
          <w:sz w:val="18"/>
          <w:szCs w:val="18"/>
          <w:u w:val="single" w:color="auto"/>
          <w:color w:val="auto"/>
        </w:rPr>
        <w:t>Waiver; Subrogation</w:t>
      </w:r>
    </w:p>
    <w:p>
      <w:pPr>
        <w:spacing w:after="0" w:line="1" w:lineRule="exact"/>
        <w:rPr>
          <w:rFonts w:ascii="Arial" w:cs="Arial" w:eastAsia="Arial" w:hAnsi="Arial"/>
          <w:sz w:val="18"/>
          <w:szCs w:val="18"/>
          <w:color w:val="auto"/>
        </w:rPr>
      </w:pPr>
    </w:p>
    <w:p>
      <w:pPr>
        <w:ind w:left="9" w:right="220" w:firstLine="1288"/>
        <w:spacing w:after="0" w:line="312" w:lineRule="auto"/>
        <w:tabs>
          <w:tab w:leader="none" w:pos="195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6" w:lineRule="exact"/>
        <w:rPr>
          <w:rFonts w:ascii="Arial" w:cs="Arial" w:eastAsia="Arial" w:hAnsi="Arial"/>
          <w:sz w:val="16"/>
          <w:szCs w:val="16"/>
          <w:color w:val="auto"/>
        </w:rPr>
      </w:pPr>
    </w:p>
    <w:p>
      <w:pPr>
        <w:ind w:left="9" w:right="60" w:firstLine="1288"/>
        <w:spacing w:after="0" w:line="259" w:lineRule="auto"/>
        <w:tabs>
          <w:tab w:leader="none" w:pos="196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146" w:name="page147"/>
    <w:bookmarkEnd w:id="146"/>
    <w:p>
      <w:pPr>
        <w:ind w:left="9"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ind w:left="9" w:right="260"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w:t>
      </w:r>
    </w:p>
    <w:p>
      <w:pPr>
        <w:ind w:left="9" w:right="40" w:hanging="9"/>
        <w:spacing w:after="0" w:line="292" w:lineRule="auto"/>
        <w:tabs>
          <w:tab w:leader="none" w:pos="2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3" w:lineRule="exact"/>
        <w:rPr>
          <w:sz w:val="20"/>
          <w:szCs w:val="20"/>
          <w:color w:val="auto"/>
        </w:rPr>
      </w:pPr>
    </w:p>
    <w:p>
      <w:pPr>
        <w:jc w:val="both"/>
        <w:ind w:left="9" w:right="38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7" w:lineRule="exact"/>
        <w:rPr>
          <w:sz w:val="20"/>
          <w:szCs w:val="20"/>
          <w:color w:val="auto"/>
        </w:rPr>
      </w:pPr>
    </w:p>
    <w:p>
      <w:pPr>
        <w:jc w:val="both"/>
        <w:ind w:left="9" w:right="1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left="9" w:right="4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25" w:right="77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Reed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-130810</wp:posOffset>
            </wp:positionV>
            <wp:extent cx="30359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Bennett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-130810</wp:posOffset>
            </wp:positionV>
            <wp:extent cx="30359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125" w:right="9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4.8</w:t>
      </w:r>
    </w:p>
    <w:p>
      <w:pPr>
        <w:spacing w:after="0" w:line="22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3.450% Senior Notes due 2029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495300</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149" w:name="page150"/>
    <w:bookmarkEnd w:id="149"/>
    <w:p>
      <w:pPr>
        <w:ind w:left="9" w:right="340" w:firstLine="648"/>
        <w:spacing w:after="0" w:line="302" w:lineRule="auto"/>
        <w:rPr>
          <w:sz w:val="20"/>
          <w:szCs w:val="20"/>
          <w:color w:val="auto"/>
        </w:rPr>
      </w:pPr>
      <w:r>
        <w:rPr>
          <w:rFonts w:ascii="Arial" w:cs="Arial" w:eastAsia="Arial" w:hAnsi="Arial"/>
          <w:sz w:val="16"/>
          <w:szCs w:val="16"/>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3.450% Senior Notes due 2029 (the “Debt Securities”) of Waste Management, Inc. (formerly known as USA Waste Services, Inc.), a Delaware corporation (the “Issuer”).</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 w:right="140" w:firstLine="1288"/>
        <w:spacing w:after="0" w:line="293" w:lineRule="auto"/>
        <w:tabs>
          <w:tab w:leader="none" w:pos="19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64" w:lineRule="exact"/>
        <w:rPr>
          <w:rFonts w:ascii="Arial" w:cs="Arial" w:eastAsia="Arial" w:hAnsi="Arial"/>
          <w:sz w:val="16"/>
          <w:szCs w:val="16"/>
          <w:color w:val="auto"/>
        </w:rPr>
      </w:pPr>
    </w:p>
    <w:p>
      <w:pPr>
        <w:ind w:left="9" w:right="20" w:firstLine="1288"/>
        <w:spacing w:after="0" w:line="272" w:lineRule="auto"/>
        <w:tabs>
          <w:tab w:leader="none" w:pos="196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8" w:lineRule="exact"/>
        <w:rPr>
          <w:sz w:val="20"/>
          <w:szCs w:val="20"/>
          <w:color w:val="auto"/>
        </w:rPr>
      </w:pPr>
    </w:p>
    <w:p>
      <w:pPr>
        <w:ind w:left="9" w:right="40"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1969" w:hanging="672"/>
        <w:spacing w:after="0"/>
        <w:tabs>
          <w:tab w:leader="none" w:pos="196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w:t>
      </w:r>
    </w:p>
    <w:p>
      <w:pPr>
        <w:spacing w:after="0" w:line="34" w:lineRule="exact"/>
        <w:rPr>
          <w:rFonts w:ascii="Arial" w:cs="Arial" w:eastAsia="Arial" w:hAnsi="Arial"/>
          <w:sz w:val="17"/>
          <w:szCs w:val="17"/>
          <w:color w:val="auto"/>
        </w:rPr>
      </w:pPr>
    </w:p>
    <w:p>
      <w:pPr>
        <w:ind w:left="269"/>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left="269" w:right="120" w:firstLine="1028"/>
        <w:spacing w:after="0" w:line="277" w:lineRule="auto"/>
        <w:tabs>
          <w:tab w:leader="none" w:pos="197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9" w:right="260" w:firstLine="1028"/>
        <w:spacing w:after="0" w:line="277" w:lineRule="auto"/>
        <w:tabs>
          <w:tab w:leader="none" w:pos="198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70" w:lineRule="exact"/>
        <w:rPr>
          <w:rFonts w:ascii="Arial" w:cs="Arial" w:eastAsia="Arial" w:hAnsi="Arial"/>
          <w:sz w:val="18"/>
          <w:szCs w:val="18"/>
          <w:color w:val="auto"/>
        </w:rPr>
      </w:pPr>
    </w:p>
    <w:p>
      <w:pPr>
        <w:ind w:left="1969" w:hanging="672"/>
        <w:spacing w:after="0"/>
        <w:tabs>
          <w:tab w:leader="none" w:pos="196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w:t>
      </w:r>
    </w:p>
    <w:p>
      <w:pPr>
        <w:spacing w:after="0" w:line="46"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existing and future senior indebtedness of the Guarantor and</w:t>
      </w:r>
    </w:p>
    <w:p>
      <w:pPr>
        <w:ind w:left="649" w:right="3240" w:hanging="649"/>
        <w:spacing w:after="0" w:line="492" w:lineRule="auto"/>
        <w:tabs>
          <w:tab w:leader="none" w:pos="2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senior in right of payment to all existing and future subordinated indebtedness of the Guarantor. SECTION 4. </w:t>
      </w:r>
      <w:r>
        <w:rPr>
          <w:rFonts w:ascii="Arial" w:cs="Arial" w:eastAsia="Arial" w:hAnsi="Arial"/>
          <w:sz w:val="18"/>
          <w:szCs w:val="18"/>
          <w:u w:val="single" w:color="auto"/>
          <w:color w:val="auto"/>
        </w:rPr>
        <w:t>Waiver; Subrogation</w:t>
      </w:r>
    </w:p>
    <w:p>
      <w:pPr>
        <w:spacing w:after="0" w:line="1" w:lineRule="exact"/>
        <w:rPr>
          <w:rFonts w:ascii="Arial" w:cs="Arial" w:eastAsia="Arial" w:hAnsi="Arial"/>
          <w:sz w:val="18"/>
          <w:szCs w:val="18"/>
          <w:color w:val="auto"/>
        </w:rPr>
      </w:pPr>
    </w:p>
    <w:p>
      <w:pPr>
        <w:ind w:left="9" w:right="220" w:firstLine="1288"/>
        <w:spacing w:after="0" w:line="312" w:lineRule="auto"/>
        <w:tabs>
          <w:tab w:leader="none" w:pos="195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6" w:lineRule="exact"/>
        <w:rPr>
          <w:rFonts w:ascii="Arial" w:cs="Arial" w:eastAsia="Arial" w:hAnsi="Arial"/>
          <w:sz w:val="16"/>
          <w:szCs w:val="16"/>
          <w:color w:val="auto"/>
        </w:rPr>
      </w:pPr>
    </w:p>
    <w:p>
      <w:pPr>
        <w:ind w:left="9" w:right="60" w:firstLine="1288"/>
        <w:spacing w:after="0" w:line="259" w:lineRule="auto"/>
        <w:tabs>
          <w:tab w:leader="none" w:pos="196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150" w:name="page151"/>
    <w:bookmarkEnd w:id="150"/>
    <w:p>
      <w:pPr>
        <w:ind w:left="9"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ind w:left="9" w:right="260"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w:t>
      </w:r>
    </w:p>
    <w:p>
      <w:pPr>
        <w:ind w:left="9" w:right="40" w:hanging="9"/>
        <w:spacing w:after="0" w:line="292" w:lineRule="auto"/>
        <w:tabs>
          <w:tab w:leader="none" w:pos="29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3" w:lineRule="exact"/>
        <w:rPr>
          <w:sz w:val="20"/>
          <w:szCs w:val="20"/>
          <w:color w:val="auto"/>
        </w:rPr>
      </w:pPr>
    </w:p>
    <w:p>
      <w:pPr>
        <w:jc w:val="both"/>
        <w:ind w:left="9" w:right="38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7" w:lineRule="exact"/>
        <w:rPr>
          <w:sz w:val="20"/>
          <w:szCs w:val="20"/>
          <w:color w:val="auto"/>
        </w:rPr>
      </w:pPr>
    </w:p>
    <w:p>
      <w:pPr>
        <w:jc w:val="both"/>
        <w:ind w:left="9" w:right="1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left="9" w:right="4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25" w:right="779" w:bottom="1440" w:gutter="0" w:footer="0" w:header="0"/>
        </w:sectPr>
      </w:pPr>
    </w:p>
    <w:bookmarkStart w:id="151" w:name="page152"/>
    <w:bookmarkEnd w:id="151"/>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David L. Reed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-130810</wp:posOffset>
            </wp:positionV>
            <wp:extent cx="30099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Jeff Bennett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-130810</wp:posOffset>
            </wp:positionV>
            <wp:extent cx="30099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125" w:right="9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4.9</w:t>
      </w:r>
    </w:p>
    <w:p>
      <w:pPr>
        <w:spacing w:after="0" w:line="22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$500,000,000</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4.000% Senior Notes due 2039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495300</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153" w:name="page154"/>
    <w:bookmarkEnd w:id="153"/>
    <w:p>
      <w:pPr>
        <w:ind w:left="9" w:right="160" w:firstLine="648"/>
        <w:spacing w:after="0" w:line="302" w:lineRule="auto"/>
        <w:rPr>
          <w:sz w:val="20"/>
          <w:szCs w:val="20"/>
          <w:color w:val="auto"/>
        </w:rPr>
      </w:pPr>
      <w:r>
        <w:rPr>
          <w:rFonts w:ascii="Arial" w:cs="Arial" w:eastAsia="Arial" w:hAnsi="Arial"/>
          <w:sz w:val="16"/>
          <w:szCs w:val="16"/>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4.000% Senior Notes due 2039 (the “Debt Securities”) of Waste Management, Inc. (formerly known as USA Waste Services, Inc.), a Delaware corporation (the “Issuer”).</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 w:right="140" w:firstLine="1288"/>
        <w:spacing w:after="0" w:line="293" w:lineRule="auto"/>
        <w:tabs>
          <w:tab w:leader="none" w:pos="19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64" w:lineRule="exact"/>
        <w:rPr>
          <w:rFonts w:ascii="Arial" w:cs="Arial" w:eastAsia="Arial" w:hAnsi="Arial"/>
          <w:sz w:val="16"/>
          <w:szCs w:val="16"/>
          <w:color w:val="auto"/>
        </w:rPr>
      </w:pPr>
    </w:p>
    <w:p>
      <w:pPr>
        <w:ind w:left="9" w:right="20" w:firstLine="1288"/>
        <w:spacing w:after="0" w:line="272" w:lineRule="auto"/>
        <w:tabs>
          <w:tab w:leader="none" w:pos="196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8" w:lineRule="exact"/>
        <w:rPr>
          <w:sz w:val="20"/>
          <w:szCs w:val="20"/>
          <w:color w:val="auto"/>
        </w:rPr>
      </w:pPr>
    </w:p>
    <w:p>
      <w:pPr>
        <w:ind w:left="9" w:right="40"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1969" w:hanging="672"/>
        <w:spacing w:after="0"/>
        <w:tabs>
          <w:tab w:leader="none" w:pos="196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w:t>
      </w:r>
    </w:p>
    <w:p>
      <w:pPr>
        <w:spacing w:after="0" w:line="34" w:lineRule="exact"/>
        <w:rPr>
          <w:rFonts w:ascii="Arial" w:cs="Arial" w:eastAsia="Arial" w:hAnsi="Arial"/>
          <w:sz w:val="17"/>
          <w:szCs w:val="17"/>
          <w:color w:val="auto"/>
        </w:rPr>
      </w:pPr>
    </w:p>
    <w:p>
      <w:pPr>
        <w:ind w:left="269"/>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left="269" w:right="120" w:firstLine="1028"/>
        <w:spacing w:after="0" w:line="277" w:lineRule="auto"/>
        <w:tabs>
          <w:tab w:leader="none" w:pos="197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9" w:right="260" w:firstLine="1028"/>
        <w:spacing w:after="0" w:line="258" w:lineRule="auto"/>
        <w:tabs>
          <w:tab w:leader="none" w:pos="198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 w:lineRule="exact"/>
        <w:rPr>
          <w:rFonts w:ascii="Arial" w:cs="Arial" w:eastAsia="Arial" w:hAnsi="Arial"/>
          <w:sz w:val="18"/>
          <w:szCs w:val="18"/>
          <w:color w:val="auto"/>
        </w:rPr>
      </w:pPr>
    </w:p>
    <w:p>
      <w:pPr>
        <w:ind w:left="1969" w:hanging="672"/>
        <w:spacing w:after="0"/>
        <w:tabs>
          <w:tab w:leader="none" w:pos="196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w:t>
      </w:r>
    </w:p>
    <w:p>
      <w:pPr>
        <w:spacing w:after="0" w:line="32"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existing and future senior indebtedness of the Guarantor and</w:t>
      </w:r>
    </w:p>
    <w:p>
      <w:pPr>
        <w:ind w:left="649" w:right="3240" w:hanging="649"/>
        <w:spacing w:after="0" w:line="492"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senior in right of payment to all existing and future subordinated indebtedness of the Guarantor. SECTION 4. </w:t>
      </w:r>
      <w:r>
        <w:rPr>
          <w:rFonts w:ascii="Arial" w:cs="Arial" w:eastAsia="Arial" w:hAnsi="Arial"/>
          <w:sz w:val="18"/>
          <w:szCs w:val="18"/>
          <w:u w:val="single" w:color="auto"/>
          <w:color w:val="auto"/>
        </w:rPr>
        <w:t>Waiver; Subrogation</w:t>
      </w:r>
    </w:p>
    <w:p>
      <w:pPr>
        <w:spacing w:after="0" w:line="1" w:lineRule="exact"/>
        <w:rPr>
          <w:rFonts w:ascii="Arial" w:cs="Arial" w:eastAsia="Arial" w:hAnsi="Arial"/>
          <w:sz w:val="18"/>
          <w:szCs w:val="18"/>
          <w:color w:val="auto"/>
        </w:rPr>
      </w:pPr>
    </w:p>
    <w:p>
      <w:pPr>
        <w:ind w:left="9" w:right="220" w:firstLine="1288"/>
        <w:spacing w:after="0" w:line="312" w:lineRule="auto"/>
        <w:tabs>
          <w:tab w:leader="none" w:pos="195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6" w:lineRule="exact"/>
        <w:rPr>
          <w:rFonts w:ascii="Arial" w:cs="Arial" w:eastAsia="Arial" w:hAnsi="Arial"/>
          <w:sz w:val="16"/>
          <w:szCs w:val="16"/>
          <w:color w:val="auto"/>
        </w:rPr>
      </w:pPr>
    </w:p>
    <w:p>
      <w:pPr>
        <w:ind w:left="9" w:right="60" w:firstLine="1288"/>
        <w:spacing w:after="0" w:line="259" w:lineRule="auto"/>
        <w:tabs>
          <w:tab w:leader="none" w:pos="196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6" w:right="759" w:bottom="1440" w:gutter="0" w:footer="0" w:header="0"/>
        </w:sectPr>
      </w:pPr>
    </w:p>
    <w:bookmarkStart w:id="154" w:name="page155"/>
    <w:bookmarkEnd w:id="154"/>
    <w:p>
      <w:pPr>
        <w:ind w:left="9"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ind w:left="9" w:right="260"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w:t>
      </w:r>
    </w:p>
    <w:p>
      <w:pPr>
        <w:ind w:left="9" w:right="40" w:hanging="9"/>
        <w:spacing w:after="0" w:line="292" w:lineRule="auto"/>
        <w:tabs>
          <w:tab w:leader="none" w:pos="29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3" w:lineRule="exact"/>
        <w:rPr>
          <w:sz w:val="20"/>
          <w:szCs w:val="20"/>
          <w:color w:val="auto"/>
        </w:rPr>
      </w:pPr>
    </w:p>
    <w:p>
      <w:pPr>
        <w:jc w:val="both"/>
        <w:ind w:left="9" w:right="38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7" w:lineRule="exact"/>
        <w:rPr>
          <w:sz w:val="20"/>
          <w:szCs w:val="20"/>
          <w:color w:val="auto"/>
        </w:rPr>
      </w:pPr>
    </w:p>
    <w:p>
      <w:pPr>
        <w:jc w:val="both"/>
        <w:ind w:left="9" w:right="1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left="9" w:right="4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25" w:right="779" w:bottom="1440" w:gutter="0" w:footer="0" w:header="0"/>
        </w:sectPr>
      </w:pPr>
    </w:p>
    <w:bookmarkStart w:id="155" w:name="page156"/>
    <w:bookmarkEnd w:id="155"/>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/s/ David L. Reed</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-130810</wp:posOffset>
            </wp:positionV>
            <wp:extent cx="29927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/s/ Jeff Bennett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-130810</wp:posOffset>
            </wp:positionV>
            <wp:extent cx="2992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125" w:right="9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4.10</w:t>
      </w:r>
    </w:p>
    <w:p>
      <w:pPr>
        <w:spacing w:after="0" w:line="22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4.150% Senior Notes due 2049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495300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21" w:right="739" w:bottom="1440" w:gutter="0" w:footer="0" w:header="0"/>
        </w:sectPr>
      </w:pPr>
    </w:p>
    <w:bookmarkStart w:id="157" w:name="page158"/>
    <w:bookmarkEnd w:id="157"/>
    <w:p>
      <w:pPr>
        <w:ind w:left="9" w:right="340" w:firstLine="648"/>
        <w:spacing w:after="0" w:line="302" w:lineRule="auto"/>
        <w:rPr>
          <w:sz w:val="20"/>
          <w:szCs w:val="20"/>
          <w:color w:val="auto"/>
        </w:rPr>
      </w:pPr>
      <w:r>
        <w:rPr>
          <w:rFonts w:ascii="Arial" w:cs="Arial" w:eastAsia="Arial" w:hAnsi="Arial"/>
          <w:sz w:val="16"/>
          <w:szCs w:val="16"/>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4.150% Senior Notes due 2049 (the “Debt Securities”) of Waste Management, Inc. (formerly known as USA Waste Services, Inc.), a Delaware corporation (the “Issuer”).</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 w:right="140" w:firstLine="1288"/>
        <w:spacing w:after="0" w:line="293" w:lineRule="auto"/>
        <w:tabs>
          <w:tab w:leader="none" w:pos="195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64" w:lineRule="exact"/>
        <w:rPr>
          <w:rFonts w:ascii="Arial" w:cs="Arial" w:eastAsia="Arial" w:hAnsi="Arial"/>
          <w:sz w:val="16"/>
          <w:szCs w:val="16"/>
          <w:color w:val="auto"/>
        </w:rPr>
      </w:pPr>
    </w:p>
    <w:p>
      <w:pPr>
        <w:ind w:left="9" w:right="20" w:firstLine="1288"/>
        <w:spacing w:after="0" w:line="272" w:lineRule="auto"/>
        <w:tabs>
          <w:tab w:leader="none" w:pos="196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78" w:lineRule="exact"/>
        <w:rPr>
          <w:sz w:val="20"/>
          <w:szCs w:val="20"/>
          <w:color w:val="auto"/>
        </w:rPr>
      </w:pPr>
    </w:p>
    <w:p>
      <w:pPr>
        <w:ind w:left="9" w:right="40"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1969" w:hanging="672"/>
        <w:spacing w:after="0"/>
        <w:tabs>
          <w:tab w:leader="none" w:pos="196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w:t>
      </w:r>
    </w:p>
    <w:p>
      <w:pPr>
        <w:spacing w:after="0" w:line="34" w:lineRule="exact"/>
        <w:rPr>
          <w:rFonts w:ascii="Arial" w:cs="Arial" w:eastAsia="Arial" w:hAnsi="Arial"/>
          <w:sz w:val="17"/>
          <w:szCs w:val="17"/>
          <w:color w:val="auto"/>
        </w:rPr>
      </w:pPr>
    </w:p>
    <w:p>
      <w:pPr>
        <w:ind w:left="269"/>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7"/>
          <w:szCs w:val="17"/>
          <w:color w:val="auto"/>
        </w:rPr>
      </w:pPr>
    </w:p>
    <w:p>
      <w:pPr>
        <w:ind w:left="269" w:right="120" w:firstLine="1028"/>
        <w:spacing w:after="0" w:line="277" w:lineRule="auto"/>
        <w:tabs>
          <w:tab w:leader="none" w:pos="197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9" w:right="260" w:firstLine="1028"/>
        <w:spacing w:after="0" w:line="258" w:lineRule="auto"/>
        <w:tabs>
          <w:tab w:leader="none" w:pos="198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 w:lineRule="exact"/>
        <w:rPr>
          <w:rFonts w:ascii="Arial" w:cs="Arial" w:eastAsia="Arial" w:hAnsi="Arial"/>
          <w:sz w:val="18"/>
          <w:szCs w:val="18"/>
          <w:color w:val="auto"/>
        </w:rPr>
      </w:pPr>
    </w:p>
    <w:p>
      <w:pPr>
        <w:ind w:left="1969" w:hanging="672"/>
        <w:spacing w:after="0"/>
        <w:tabs>
          <w:tab w:leader="none" w:pos="196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w:t>
      </w:r>
    </w:p>
    <w:p>
      <w:pPr>
        <w:spacing w:after="0" w:line="32"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existing and future senior indebtedness of the Guarantor and</w:t>
      </w:r>
    </w:p>
    <w:p>
      <w:pPr>
        <w:ind w:left="649" w:right="3240" w:hanging="649"/>
        <w:spacing w:after="0" w:line="492"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senior in right of payment to all existing and future subordinated indebtedness of the Guarantor. SECTION 4. </w:t>
      </w:r>
      <w:r>
        <w:rPr>
          <w:rFonts w:ascii="Arial" w:cs="Arial" w:eastAsia="Arial" w:hAnsi="Arial"/>
          <w:sz w:val="18"/>
          <w:szCs w:val="18"/>
          <w:u w:val="single" w:color="auto"/>
          <w:color w:val="auto"/>
        </w:rPr>
        <w:t>Waiver; Subrogation</w:t>
      </w:r>
    </w:p>
    <w:p>
      <w:pPr>
        <w:spacing w:after="0" w:line="1" w:lineRule="exact"/>
        <w:rPr>
          <w:rFonts w:ascii="Arial" w:cs="Arial" w:eastAsia="Arial" w:hAnsi="Arial"/>
          <w:sz w:val="18"/>
          <w:szCs w:val="18"/>
          <w:color w:val="auto"/>
        </w:rPr>
      </w:pPr>
    </w:p>
    <w:p>
      <w:pPr>
        <w:ind w:left="9" w:right="220" w:firstLine="1288"/>
        <w:spacing w:after="0" w:line="312" w:lineRule="auto"/>
        <w:tabs>
          <w:tab w:leader="none" w:pos="195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6" w:lineRule="exact"/>
        <w:rPr>
          <w:rFonts w:ascii="Arial" w:cs="Arial" w:eastAsia="Arial" w:hAnsi="Arial"/>
          <w:sz w:val="16"/>
          <w:szCs w:val="16"/>
          <w:color w:val="auto"/>
        </w:rPr>
      </w:pPr>
    </w:p>
    <w:p>
      <w:pPr>
        <w:ind w:left="9" w:right="60" w:firstLine="1288"/>
        <w:spacing w:after="0" w:line="259" w:lineRule="auto"/>
        <w:tabs>
          <w:tab w:leader="none" w:pos="196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6612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125" w:right="759" w:bottom="1440" w:gutter="0" w:footer="0" w:header="0"/>
        </w:sectPr>
      </w:pPr>
    </w:p>
    <w:bookmarkStart w:id="158" w:name="page159"/>
    <w:bookmarkEnd w:id="158"/>
    <w:p>
      <w:pPr>
        <w:ind w:left="9"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ind w:left="9" w:right="260" w:firstLine="648"/>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w:t>
      </w:r>
    </w:p>
    <w:p>
      <w:pPr>
        <w:ind w:left="9" w:right="40" w:hanging="9"/>
        <w:spacing w:after="0" w:line="292" w:lineRule="auto"/>
        <w:tabs>
          <w:tab w:leader="none" w:pos="29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3" w:lineRule="exact"/>
        <w:rPr>
          <w:sz w:val="20"/>
          <w:szCs w:val="20"/>
          <w:color w:val="auto"/>
        </w:rPr>
      </w:pPr>
    </w:p>
    <w:p>
      <w:pPr>
        <w:jc w:val="both"/>
        <w:ind w:left="9" w:right="38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Reinstatement</w:t>
      </w:r>
      <w:r>
        <w:rPr>
          <w:rFonts w:ascii="Arial" w:cs="Arial" w:eastAsia="Arial" w:hAnsi="Arial"/>
          <w:sz w:val="16"/>
          <w:szCs w:val="16"/>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7" w:lineRule="exact"/>
        <w:rPr>
          <w:sz w:val="20"/>
          <w:szCs w:val="20"/>
          <w:color w:val="auto"/>
        </w:rPr>
      </w:pPr>
    </w:p>
    <w:p>
      <w:pPr>
        <w:jc w:val="both"/>
        <w:ind w:left="9" w:right="10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left="9" w:right="4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125" w:right="779" w:bottom="1440" w:gutter="0" w:footer="0" w:header="0"/>
        </w:sectPr>
      </w:pPr>
    </w:p>
    <w:bookmarkStart w:id="159" w:name="page160"/>
    <w:bookmarkEnd w:id="159"/>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David L. Reed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-130810</wp:posOffset>
            </wp:positionV>
            <wp:extent cx="30099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Jeff Bennett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-130810</wp:posOffset>
            </wp:positionV>
            <wp:extent cx="30099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125" w:right="9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486410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2019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486410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2019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During the quarter ended June 30, 2019,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Phoenix Resources, Inc., an indirect wholly-owned subsidiary of Waste Management, Inc., was assessed a penalty of $121 by the MSHA in connection with its landfill operations in Wellsboro, Pennsylvania.</w:t>
      </w:r>
    </w:p>
    <w:p>
      <w:pPr>
        <w:spacing w:after="0" w:line="121"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June 30, 2019,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574675</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1."/>
      <w:numFmt w:val="decimal"/>
      <w:start w:val="2"/>
    </w:lvl>
  </w:abstractNum>
  <w:abstractNum w:abstractNumId="4">
    <w:nsid w:val="1716703B"/>
    <w:multiLevelType w:val="hybridMultilevel"/>
    <w:lvl w:ilvl="0">
      <w:lvlJc w:val="left"/>
      <w:lvlText w:val="(%1)"/>
      <w:numFmt w:val="lowerLetter"/>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1."/>
      <w:numFmt w:val="decimal"/>
      <w:start w:val="6"/>
    </w:lvl>
  </w:abstractNum>
  <w:abstractNum w:abstractNumId="8">
    <w:nsid w:val="68EBC550"/>
    <w:multiLevelType w:val="hybridMultilevel"/>
    <w:lvl w:ilvl="0">
      <w:lvlJc w:val="left"/>
      <w:lvlText w:val="(%1)"/>
      <w:numFmt w:val="lowerLetter"/>
      <w:start w:val="1"/>
    </w:lvl>
  </w:abstractNum>
  <w:abstractNum w:abstractNumId="9">
    <w:nsid w:val="2DF6D648"/>
    <w:multiLevelType w:val="hybridMultilevel"/>
    <w:lvl w:ilvl="0">
      <w:lvlJc w:val="left"/>
      <w:lvlText w:val="(%1)"/>
      <w:numFmt w:val="lowerLetter"/>
      <w:start w:val="1"/>
    </w:lvl>
    <w:lvl w:ilvl="1">
      <w:lvlJc w:val="left"/>
      <w:lvlText w:val="(%2)"/>
      <w:numFmt w:val="lowerLetter"/>
      <w:start w:val="61"/>
    </w:lvl>
  </w:abstractNum>
  <w:abstractNum w:abstractNumId="10">
    <w:nsid w:val="46B7D447"/>
    <w:multiLevelType w:val="hybridMultilevel"/>
    <w:lvl w:ilvl="0">
      <w:lvlJc w:val="left"/>
      <w:lvlText w:val="(%1)"/>
      <w:numFmt w:val="lowerLetter"/>
      <w:start w:val="1"/>
    </w:lvl>
  </w:abstractNum>
  <w:abstractNum w:abstractNumId="11">
    <w:nsid w:val="4A2AC315"/>
    <w:multiLevelType w:val="hybridMultilevel"/>
    <w:lvl w:ilvl="0">
      <w:lvlJc w:val="left"/>
      <w:lvlText w:val="(%1)"/>
      <w:numFmt w:val="lowerLetter"/>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1)"/>
      <w:numFmt w:val="lowerLetter"/>
      <w:start w:val="1"/>
    </w:lvl>
    <w:lvl w:ilvl="1">
      <w:lvlJc w:val="left"/>
      <w:lvlText w:val="(%2)"/>
      <w:numFmt w:val="lowerLetter"/>
      <w:start w:val="61"/>
    </w:lvl>
  </w:abstractNum>
  <w:abstractNum w:abstractNumId="14">
    <w:nsid w:val="CC1016F"/>
    <w:multiLevelType w:val="hybridMultilevel"/>
    <w:lvl w:ilvl="0">
      <w:lvlJc w:val="left"/>
      <w:lvlText w:val="(%1)"/>
      <w:numFmt w:val="lowerLetter"/>
      <w:start w:val="1"/>
    </w:lvl>
  </w:abstractNum>
  <w:abstractNum w:abstractNumId="15">
    <w:nsid w:val="43F18422"/>
    <w:multiLevelType w:val="hybridMultilevel"/>
    <w:lvl w:ilvl="0">
      <w:lvlJc w:val="left"/>
      <w:lvlText w:val="●"/>
      <w:numFmt w:val="bullet"/>
      <w:start w:val="1"/>
    </w:lvl>
    <w:lvl w:ilvl="1">
      <w:lvlJc w:val="left"/>
      <w:lvlText w:val="(%2)"/>
      <w:numFmt w:val="lowerRoman"/>
      <w:start w:val="3"/>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1)"/>
      <w:numFmt w:val="lowerLetter"/>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1."/>
      <w:numFmt w:val="decimal"/>
      <w:start w:val="1"/>
    </w:lvl>
  </w:abstractNum>
  <w:abstractNum w:abstractNumId="24">
    <w:nsid w:val="5FB8011C"/>
    <w:multiLevelType w:val="hybridMultilevel"/>
    <w:lvl w:ilvl="0">
      <w:lvlJc w:val="left"/>
      <w:lvlText w:val="(%1)"/>
      <w:numFmt w:val="decimal"/>
      <w:start w:val="1"/>
    </w:lvl>
  </w:abstractNum>
  <w:abstractNum w:abstractNumId="25">
    <w:nsid w:val="6AA78F7F"/>
    <w:multiLevelType w:val="hybridMultilevel"/>
    <w:lvl w:ilvl="0">
      <w:lvlJc w:val="left"/>
      <w:lvlText w:val="(%1)"/>
      <w:numFmt w:val="decimal"/>
      <w:start w:val="11"/>
    </w:lvl>
  </w:abstractNum>
  <w:abstractNum w:abstractNumId="26">
    <w:nsid w:val="7672BD23"/>
    <w:multiLevelType w:val="hybridMultilevel"/>
    <w:lvl w:ilvl="0">
      <w:lvlJc w:val="left"/>
      <w:lvlText w:val="%1."/>
      <w:numFmt w:val="decimal"/>
      <w:start w:val="1"/>
    </w:lvl>
  </w:abstractNum>
  <w:abstractNum w:abstractNumId="27">
    <w:nsid w:val="6FC75AF8"/>
    <w:multiLevelType w:val="hybridMultilevel"/>
    <w:lvl w:ilvl="0">
      <w:lvlJc w:val="left"/>
      <w:lvlText w:val="%1."/>
      <w:numFmt w:val="decimal"/>
      <w:start w:val="2"/>
    </w:lvl>
  </w:abstractNum>
  <w:abstractNum w:abstractNumId="28">
    <w:nsid w:val="6A5F7029"/>
    <w:multiLevelType w:val="hybridMultilevel"/>
    <w:lvl w:ilvl="0">
      <w:lvlJc w:val="left"/>
      <w:lvlText w:val="%1."/>
      <w:numFmt w:val="decimal"/>
      <w:start w:val="3"/>
    </w:lvl>
  </w:abstractNum>
  <w:abstractNum w:abstractNumId="29">
    <w:nsid w:val="7D5E18F8"/>
    <w:multiLevelType w:val="hybridMultilevel"/>
    <w:lvl w:ilvl="0">
      <w:lvlJc w:val="left"/>
      <w:lvlText w:val="%1."/>
      <w:numFmt w:val="decimal"/>
      <w:start w:val="4"/>
    </w:lvl>
  </w:abstractNum>
  <w:abstractNum w:abstractNumId="30">
    <w:nsid w:val="5F3534A4"/>
    <w:multiLevelType w:val="hybridMultilevel"/>
    <w:lvl w:ilvl="0">
      <w:lvlJc w:val="left"/>
      <w:lvlText w:val="%1."/>
      <w:numFmt w:val="decimal"/>
      <w:start w:val="5"/>
    </w:lvl>
  </w:abstractNum>
  <w:abstractNum w:abstractNumId="31">
    <w:nsid w:val="73A1821B"/>
    <w:multiLevelType w:val="hybridMultilevel"/>
    <w:lvl w:ilvl="0">
      <w:lvlJc w:val="left"/>
      <w:lvlText w:val="%1."/>
      <w:numFmt w:val="decimal"/>
      <w:start w:val="6"/>
    </w:lvl>
  </w:abstractNum>
  <w:abstractNum w:abstractNumId="32">
    <w:nsid w:val="7DE67713"/>
    <w:multiLevelType w:val="hybridMultilevel"/>
    <w:lvl w:ilvl="0">
      <w:lvlJc w:val="left"/>
      <w:lvlText w:val="%1."/>
      <w:numFmt w:val="decimal"/>
      <w:start w:val="7"/>
    </w:lvl>
  </w:abstractNum>
  <w:abstractNum w:abstractNumId="33">
    <w:nsid w:val="555C55B5"/>
    <w:multiLevelType w:val="hybridMultilevel"/>
    <w:lvl w:ilvl="0">
      <w:lvlJc w:val="left"/>
      <w:lvlText w:val="%1."/>
      <w:numFmt w:val="decimal"/>
      <w:start w:val="8"/>
    </w:lvl>
  </w:abstractNum>
  <w:abstractNum w:abstractNumId="34">
    <w:nsid w:val="3FA62ACA"/>
    <w:multiLevelType w:val="hybridMultilevel"/>
    <w:lvl w:ilvl="0">
      <w:lvlJc w:val="left"/>
      <w:lvlText w:val="%1."/>
      <w:numFmt w:val="decimal"/>
      <w:start w:val="9"/>
    </w:lvl>
  </w:abstractNum>
  <w:abstractNum w:abstractNumId="35">
    <w:nsid w:val="14FCE74E"/>
    <w:multiLevelType w:val="hybridMultilevel"/>
    <w:lvl w:ilvl="0">
      <w:lvlJc w:val="left"/>
      <w:lvlText w:val="%1."/>
      <w:numFmt w:val="decimal"/>
      <w:start w:val="10"/>
    </w:lvl>
  </w:abstractNum>
  <w:abstractNum w:abstractNumId="36">
    <w:nsid w:val="6A3DD3E8"/>
    <w:multiLevelType w:val="hybridMultilevel"/>
    <w:lvl w:ilvl="0">
      <w:lvlJc w:val="left"/>
      <w:lvlText w:val="%1."/>
      <w:numFmt w:val="decimal"/>
      <w:start w:val="11"/>
    </w:lvl>
  </w:abstractNum>
  <w:abstractNum w:abstractNumId="37">
    <w:nsid w:val="71C91298"/>
    <w:multiLevelType w:val="hybridMultilevel"/>
    <w:lvl w:ilvl="0">
      <w:lvlJc w:val="left"/>
      <w:lvlText w:val="%1."/>
      <w:numFmt w:val="decimal"/>
      <w:start w:val="12"/>
    </w:lvl>
  </w:abstractNum>
  <w:abstractNum w:abstractNumId="38">
    <w:nsid w:val="9DAF632"/>
    <w:multiLevelType w:val="hybridMultilevel"/>
    <w:lvl w:ilvl="0">
      <w:lvlJc w:val="left"/>
      <w:lvlText w:val="%1."/>
      <w:numFmt w:val="decimal"/>
      <w:start w:val="13"/>
    </w:lvl>
  </w:abstractNum>
  <w:abstractNum w:abstractNumId="39">
    <w:nsid w:val="53299938"/>
    <w:multiLevelType w:val="hybridMultilevel"/>
    <w:lvl w:ilvl="0">
      <w:lvlJc w:val="left"/>
      <w:lvlText w:val="%1."/>
      <w:numFmt w:val="decimal"/>
      <w:start w:val="14"/>
    </w:lvl>
  </w:abstractNum>
  <w:abstractNum w:abstractNumId="40">
    <w:nsid w:val="1FBFE8E0"/>
    <w:multiLevelType w:val="hybridMultilevel"/>
    <w:lvl w:ilvl="0">
      <w:lvlJc w:val="left"/>
      <w:lvlText w:val="%1."/>
      <w:numFmt w:val="decimal"/>
      <w:start w:val="15"/>
    </w:lvl>
  </w:abstractNum>
  <w:abstractNum w:abstractNumId="41">
    <w:nsid w:val="5092CA79"/>
    <w:multiLevelType w:val="hybridMultilevel"/>
    <w:lvl w:ilvl="0">
      <w:lvlJc w:val="left"/>
      <w:lvlText w:val="%1."/>
      <w:numFmt w:val="decimal"/>
      <w:start w:val="16"/>
    </w:lvl>
  </w:abstractNum>
  <w:abstractNum w:abstractNumId="42">
    <w:nsid w:val="1D545C4D"/>
    <w:multiLevelType w:val="hybridMultilevel"/>
    <w:lvl w:ilvl="0">
      <w:lvlJc w:val="left"/>
      <w:lvlText w:val="%1."/>
      <w:numFmt w:val="decimal"/>
      <w:start w:val="17"/>
    </w:lvl>
  </w:abstractNum>
  <w:abstractNum w:abstractNumId="43">
    <w:nsid w:val="59ADEA3D"/>
    <w:multiLevelType w:val="hybridMultilevel"/>
    <w:lvl w:ilvl="0">
      <w:lvlJc w:val="left"/>
      <w:lvlText w:val="%1."/>
      <w:numFmt w:val="decimal"/>
      <w:start w:val="18"/>
    </w:lvl>
  </w:abstractNum>
  <w:abstractNum w:abstractNumId="44">
    <w:nsid w:val="288F1A34"/>
    <w:multiLevelType w:val="hybridMultilevel"/>
    <w:lvl w:ilvl="0">
      <w:lvlJc w:val="left"/>
      <w:lvlText w:val="%1."/>
      <w:numFmt w:val="decimal"/>
      <w:start w:val="19"/>
    </w:lvl>
  </w:abstractNum>
  <w:abstractNum w:abstractNumId="45">
    <w:nsid w:val="2A155DBC"/>
    <w:multiLevelType w:val="hybridMultilevel"/>
    <w:lvl w:ilvl="0">
      <w:lvlJc w:val="left"/>
      <w:lvlText w:val="%1."/>
      <w:numFmt w:val="decimal"/>
      <w:start w:val="20"/>
    </w:lvl>
  </w:abstractNum>
  <w:abstractNum w:abstractNumId="46">
    <w:nsid w:val="1D9F6E5F"/>
    <w:multiLevelType w:val="hybridMultilevel"/>
    <w:lvl w:ilvl="0">
      <w:lvlJc w:val="left"/>
      <w:lvlText w:val="%1."/>
      <w:numFmt w:val="decimal"/>
      <w:start w:val="3"/>
    </w:lvl>
  </w:abstractNum>
  <w:abstractNum w:abstractNumId="47">
    <w:nsid w:val="97E1B4E"/>
    <w:multiLevelType w:val="hybridMultilevel"/>
    <w:lvl w:ilvl="0">
      <w:lvlJc w:val="left"/>
      <w:lvlText w:val="%1."/>
      <w:numFmt w:val="decimal"/>
      <w:start w:val="7"/>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1"/>
    </w:lvl>
  </w:abstractNum>
  <w:abstractNum w:abstractNumId="50">
    <w:nsid w:val="53584BCB"/>
    <w:multiLevelType w:val="hybridMultilevel"/>
    <w:lvl w:ilvl="0">
      <w:lvlJc w:val="left"/>
      <w:lvlText w:val="(%1)"/>
      <w:numFmt w:val="decimal"/>
      <w:start w:val="11"/>
    </w:lvl>
  </w:abstractNum>
  <w:abstractNum w:abstractNumId="51">
    <w:nsid w:val="415E286C"/>
    <w:multiLevelType w:val="hybridMultilevel"/>
    <w:lvl w:ilvl="0">
      <w:lvlJc w:val="left"/>
      <w:lvlText w:val="%1."/>
      <w:numFmt w:val="decimal"/>
      <w:start w:val="1"/>
    </w:lvl>
  </w:abstractNum>
  <w:abstractNum w:abstractNumId="52">
    <w:nsid w:val="7C58FD05"/>
    <w:multiLevelType w:val="hybridMultilevel"/>
    <w:lvl w:ilvl="0">
      <w:lvlJc w:val="left"/>
      <w:lvlText w:val="%1."/>
      <w:numFmt w:val="decimal"/>
      <w:start w:val="2"/>
    </w:lvl>
  </w:abstractNum>
  <w:abstractNum w:abstractNumId="53">
    <w:nsid w:val="23D86AAC"/>
    <w:multiLevelType w:val="hybridMultilevel"/>
    <w:lvl w:ilvl="0">
      <w:lvlJc w:val="left"/>
      <w:lvlText w:val="%1."/>
      <w:numFmt w:val="decimal"/>
      <w:start w:val="3"/>
    </w:lvl>
  </w:abstractNum>
  <w:abstractNum w:abstractNumId="54">
    <w:nsid w:val="45E6D486"/>
    <w:multiLevelType w:val="hybridMultilevel"/>
    <w:lvl w:ilvl="0">
      <w:lvlJc w:val="left"/>
      <w:lvlText w:val="%1."/>
      <w:numFmt w:val="decimal"/>
      <w:start w:val="4"/>
    </w:lvl>
  </w:abstractNum>
  <w:abstractNum w:abstractNumId="55">
    <w:nsid w:val="5C10FE21"/>
    <w:multiLevelType w:val="hybridMultilevel"/>
    <w:lvl w:ilvl="0">
      <w:lvlJc w:val="left"/>
      <w:lvlText w:val="%1."/>
      <w:numFmt w:val="decimal"/>
      <w:start w:val="5"/>
    </w:lvl>
  </w:abstractNum>
  <w:abstractNum w:abstractNumId="56">
    <w:nsid w:val="E7FFA2B"/>
    <w:multiLevelType w:val="hybridMultilevel"/>
    <w:lvl w:ilvl="0">
      <w:lvlJc w:val="left"/>
      <w:lvlText w:val="%1."/>
      <w:numFmt w:val="decimal"/>
      <w:start w:val="6"/>
    </w:lvl>
  </w:abstractNum>
  <w:abstractNum w:abstractNumId="57">
    <w:nsid w:val="3C5991AA"/>
    <w:multiLevelType w:val="hybridMultilevel"/>
    <w:lvl w:ilvl="0">
      <w:lvlJc w:val="left"/>
      <w:lvlText w:val="%1."/>
      <w:numFmt w:val="decimal"/>
      <w:start w:val="7"/>
    </w:lvl>
  </w:abstractNum>
  <w:abstractNum w:abstractNumId="58">
    <w:nsid w:val="4BD8591A"/>
    <w:multiLevelType w:val="hybridMultilevel"/>
    <w:lvl w:ilvl="0">
      <w:lvlJc w:val="left"/>
      <w:lvlText w:val="%1."/>
      <w:numFmt w:val="decimal"/>
      <w:start w:val="8"/>
    </w:lvl>
  </w:abstractNum>
  <w:abstractNum w:abstractNumId="59">
    <w:nsid w:val="78DF6A55"/>
    <w:multiLevelType w:val="hybridMultilevel"/>
    <w:lvl w:ilvl="0">
      <w:lvlJc w:val="left"/>
      <w:lvlText w:val="%1."/>
      <w:numFmt w:val="decimal"/>
      <w:start w:val="9"/>
    </w:lvl>
  </w:abstractNum>
  <w:abstractNum w:abstractNumId="60">
    <w:nsid w:val="39B7AAA2"/>
    <w:multiLevelType w:val="hybridMultilevel"/>
    <w:lvl w:ilvl="0">
      <w:lvlJc w:val="left"/>
      <w:lvlText w:val="%1."/>
      <w:numFmt w:val="decimal"/>
      <w:start w:val="10"/>
    </w:lvl>
  </w:abstractNum>
  <w:abstractNum w:abstractNumId="61">
    <w:nsid w:val="2B0D8DBE"/>
    <w:multiLevelType w:val="hybridMultilevel"/>
    <w:lvl w:ilvl="0">
      <w:lvlJc w:val="left"/>
      <w:lvlText w:val="%1."/>
      <w:numFmt w:val="decimal"/>
      <w:start w:val="11"/>
    </w:lvl>
  </w:abstractNum>
  <w:abstractNum w:abstractNumId="62">
    <w:nsid w:val="6C80EC70"/>
    <w:multiLevelType w:val="hybridMultilevel"/>
    <w:lvl w:ilvl="0">
      <w:lvlJc w:val="left"/>
      <w:lvlText w:val="%1."/>
      <w:numFmt w:val="decimal"/>
      <w:start w:val="12"/>
    </w:lvl>
  </w:abstractNum>
  <w:abstractNum w:abstractNumId="63">
    <w:nsid w:val="379E21B5"/>
    <w:multiLevelType w:val="hybridMultilevel"/>
    <w:lvl w:ilvl="0">
      <w:lvlJc w:val="left"/>
      <w:lvlText w:val="%1."/>
      <w:numFmt w:val="decimal"/>
      <w:start w:val="13"/>
    </w:lvl>
  </w:abstractNum>
  <w:abstractNum w:abstractNumId="64">
    <w:nsid w:val="69E373"/>
    <w:multiLevelType w:val="hybridMultilevel"/>
    <w:lvl w:ilvl="0">
      <w:lvlJc w:val="left"/>
      <w:lvlText w:val="%1."/>
      <w:numFmt w:val="decimal"/>
      <w:start w:val="14"/>
    </w:lvl>
  </w:abstractNum>
  <w:abstractNum w:abstractNumId="65">
    <w:nsid w:val="2C27173B"/>
    <w:multiLevelType w:val="hybridMultilevel"/>
    <w:lvl w:ilvl="0">
      <w:lvlJc w:val="left"/>
      <w:lvlText w:val="%1."/>
      <w:numFmt w:val="decimal"/>
      <w:start w:val="15"/>
    </w:lvl>
  </w:abstractNum>
  <w:abstractNum w:abstractNumId="66">
    <w:nsid w:val="4C9B0904"/>
    <w:multiLevelType w:val="hybridMultilevel"/>
    <w:lvl w:ilvl="0">
      <w:lvlJc w:val="left"/>
      <w:lvlText w:val="%1."/>
      <w:numFmt w:val="decimal"/>
      <w:start w:val="16"/>
    </w:lvl>
  </w:abstractNum>
  <w:abstractNum w:abstractNumId="67">
    <w:nsid w:val="6AA7B75C"/>
    <w:multiLevelType w:val="hybridMultilevel"/>
    <w:lvl w:ilvl="0">
      <w:lvlJc w:val="left"/>
      <w:lvlText w:val="%1."/>
      <w:numFmt w:val="decimal"/>
      <w:start w:val="17"/>
    </w:lvl>
  </w:abstractNum>
  <w:abstractNum w:abstractNumId="68">
    <w:nsid w:val="1DF029D3"/>
    <w:multiLevelType w:val="hybridMultilevel"/>
    <w:lvl w:ilvl="0">
      <w:lvlJc w:val="left"/>
      <w:lvlText w:val="%1."/>
      <w:numFmt w:val="decimal"/>
      <w:start w:val="18"/>
    </w:lvl>
  </w:abstractNum>
  <w:abstractNum w:abstractNumId="69">
    <w:nsid w:val="5675FF36"/>
    <w:multiLevelType w:val="hybridMultilevel"/>
    <w:lvl w:ilvl="0">
      <w:lvlJc w:val="left"/>
      <w:lvlText w:val="%1."/>
      <w:numFmt w:val="decimal"/>
      <w:start w:val="19"/>
    </w:lvl>
  </w:abstractNum>
  <w:abstractNum w:abstractNumId="70">
    <w:nsid w:val="3DD15094"/>
    <w:multiLevelType w:val="hybridMultilevel"/>
    <w:lvl w:ilvl="0">
      <w:lvlJc w:val="left"/>
      <w:lvlText w:val="%1."/>
      <w:numFmt w:val="decimal"/>
      <w:start w:val="20"/>
    </w:lvl>
  </w:abstractNum>
  <w:abstractNum w:abstractNumId="71">
    <w:nsid w:val="3DB012B3"/>
    <w:multiLevelType w:val="hybridMultilevel"/>
    <w:lvl w:ilvl="0">
      <w:lvlJc w:val="left"/>
      <w:lvlText w:val="%1."/>
      <w:numFmt w:val="decimal"/>
      <w:start w:val="3"/>
    </w:lvl>
  </w:abstractNum>
  <w:abstractNum w:abstractNumId="72">
    <w:nsid w:val="2708C9AF"/>
    <w:multiLevelType w:val="hybridMultilevel"/>
    <w:lvl w:ilvl="0">
      <w:lvlJc w:val="left"/>
      <w:lvlText w:val="%1."/>
      <w:numFmt w:val="decimal"/>
      <w:start w:val="7"/>
    </w:lvl>
  </w:abstractNum>
  <w:abstractNum w:abstractNumId="73">
    <w:nsid w:val="5B25ACE2"/>
    <w:multiLevelType w:val="hybridMultilevel"/>
    <w:lvl w:ilvl="0">
      <w:lvlJc w:val="left"/>
      <w:lvlText w:val="%1."/>
      <w:numFmt w:val="decimal"/>
      <w:start w:val="1"/>
    </w:lvl>
  </w:abstractNum>
  <w:abstractNum w:abstractNumId="74">
    <w:nsid w:val="175DFCF0"/>
    <w:multiLevelType w:val="hybridMultilevel"/>
    <w:lvl w:ilvl="0">
      <w:lvlJc w:val="left"/>
      <w:lvlText w:val="(%1)"/>
      <w:numFmt w:val="decimal"/>
      <w:start w:val="1"/>
    </w:lvl>
  </w:abstractNum>
  <w:abstractNum w:abstractNumId="75">
    <w:nsid w:val="4F97E3E4"/>
    <w:multiLevelType w:val="hybridMultilevel"/>
    <w:lvl w:ilvl="0">
      <w:lvlJc w:val="left"/>
      <w:lvlText w:val="(%1)"/>
      <w:numFmt w:val="decimal"/>
      <w:start w:val="11"/>
    </w:lvl>
  </w:abstractNum>
  <w:abstractNum w:abstractNumId="76">
    <w:nsid w:val="53B0A9E"/>
    <w:multiLevelType w:val="hybridMultilevel"/>
    <w:lvl w:ilvl="0">
      <w:lvlJc w:val="left"/>
      <w:lvlText w:val="%1."/>
      <w:numFmt w:val="decimal"/>
      <w:start w:val="1"/>
    </w:lvl>
  </w:abstractNum>
  <w:abstractNum w:abstractNumId="77">
    <w:nsid w:val="34FD6B4F"/>
    <w:multiLevelType w:val="hybridMultilevel"/>
    <w:lvl w:ilvl="0">
      <w:lvlJc w:val="left"/>
      <w:lvlText w:val="%1."/>
      <w:numFmt w:val="decimal"/>
      <w:start w:val="2"/>
    </w:lvl>
  </w:abstractNum>
  <w:abstractNum w:abstractNumId="78">
    <w:nsid w:val="5915FF32"/>
    <w:multiLevelType w:val="hybridMultilevel"/>
    <w:lvl w:ilvl="0">
      <w:lvlJc w:val="left"/>
      <w:lvlText w:val="%1."/>
      <w:numFmt w:val="decimal"/>
      <w:start w:val="3"/>
    </w:lvl>
  </w:abstractNum>
  <w:abstractNum w:abstractNumId="79">
    <w:nsid w:val="56438D15"/>
    <w:multiLevelType w:val="hybridMultilevel"/>
    <w:lvl w:ilvl="0">
      <w:lvlJc w:val="left"/>
      <w:lvlText w:val="%1."/>
      <w:numFmt w:val="decimal"/>
      <w:start w:val="4"/>
    </w:lvl>
  </w:abstractNum>
  <w:abstractNum w:abstractNumId="80">
    <w:nsid w:val="519E3149"/>
    <w:multiLevelType w:val="hybridMultilevel"/>
    <w:lvl w:ilvl="0">
      <w:lvlJc w:val="left"/>
      <w:lvlText w:val="%1."/>
      <w:numFmt w:val="decimal"/>
      <w:start w:val="5"/>
    </w:lvl>
  </w:abstractNum>
  <w:abstractNum w:abstractNumId="81">
    <w:nsid w:val="2C6E4AFD"/>
    <w:multiLevelType w:val="hybridMultilevel"/>
    <w:lvl w:ilvl="0">
      <w:lvlJc w:val="left"/>
      <w:lvlText w:val="%1."/>
      <w:numFmt w:val="decimal"/>
      <w:start w:val="6"/>
    </w:lvl>
  </w:abstractNum>
  <w:abstractNum w:abstractNumId="82">
    <w:nsid w:val="17A1B582"/>
    <w:multiLevelType w:val="hybridMultilevel"/>
    <w:lvl w:ilvl="0">
      <w:lvlJc w:val="left"/>
      <w:lvlText w:val="%1."/>
      <w:numFmt w:val="decimal"/>
      <w:start w:val="7"/>
    </w:lvl>
  </w:abstractNum>
  <w:abstractNum w:abstractNumId="83">
    <w:nsid w:val="4DF72E4E"/>
    <w:multiLevelType w:val="hybridMultilevel"/>
    <w:lvl w:ilvl="0">
      <w:lvlJc w:val="left"/>
      <w:lvlText w:val="%1."/>
      <w:numFmt w:val="decimal"/>
      <w:start w:val="8"/>
    </w:lvl>
  </w:abstractNum>
  <w:abstractNum w:abstractNumId="84">
    <w:nsid w:val="5046B5A9"/>
    <w:multiLevelType w:val="hybridMultilevel"/>
    <w:lvl w:ilvl="0">
      <w:lvlJc w:val="left"/>
      <w:lvlText w:val="%1."/>
      <w:numFmt w:val="decimal"/>
      <w:start w:val="9"/>
    </w:lvl>
  </w:abstractNum>
  <w:abstractNum w:abstractNumId="85">
    <w:nsid w:val="5D888A08"/>
    <w:multiLevelType w:val="hybridMultilevel"/>
    <w:lvl w:ilvl="0">
      <w:lvlJc w:val="left"/>
      <w:lvlText w:val="%1."/>
      <w:numFmt w:val="decimal"/>
      <w:start w:val="10"/>
    </w:lvl>
  </w:abstractNum>
  <w:abstractNum w:abstractNumId="86">
    <w:nsid w:val="2A082C70"/>
    <w:multiLevelType w:val="hybridMultilevel"/>
    <w:lvl w:ilvl="0">
      <w:lvlJc w:val="left"/>
      <w:lvlText w:val="%1."/>
      <w:numFmt w:val="decimal"/>
      <w:start w:val="11"/>
    </w:lvl>
  </w:abstractNum>
  <w:abstractNum w:abstractNumId="87">
    <w:nsid w:val="5EC6AFD4"/>
    <w:multiLevelType w:val="hybridMultilevel"/>
    <w:lvl w:ilvl="0">
      <w:lvlJc w:val="left"/>
      <w:lvlText w:val="%1."/>
      <w:numFmt w:val="decimal"/>
      <w:start w:val="12"/>
    </w:lvl>
  </w:abstractNum>
  <w:abstractNum w:abstractNumId="88">
    <w:nsid w:val="19E21BB2"/>
    <w:multiLevelType w:val="hybridMultilevel"/>
    <w:lvl w:ilvl="0">
      <w:lvlJc w:val="left"/>
      <w:lvlText w:val="%1."/>
      <w:numFmt w:val="decimal"/>
      <w:start w:val="13"/>
    </w:lvl>
  </w:abstractNum>
  <w:abstractNum w:abstractNumId="89">
    <w:nsid w:val="75E0858A"/>
    <w:multiLevelType w:val="hybridMultilevel"/>
    <w:lvl w:ilvl="0">
      <w:lvlJc w:val="left"/>
      <w:lvlText w:val="%1."/>
      <w:numFmt w:val="decimal"/>
      <w:start w:val="14"/>
    </w:lvl>
  </w:abstractNum>
  <w:abstractNum w:abstractNumId="90">
    <w:nsid w:val="57A61A29"/>
    <w:multiLevelType w:val="hybridMultilevel"/>
    <w:lvl w:ilvl="0">
      <w:lvlJc w:val="left"/>
      <w:lvlText w:val="%1."/>
      <w:numFmt w:val="decimal"/>
      <w:start w:val="15"/>
    </w:lvl>
  </w:abstractNum>
  <w:abstractNum w:abstractNumId="91">
    <w:nsid w:val="5399C654"/>
    <w:multiLevelType w:val="hybridMultilevel"/>
    <w:lvl w:ilvl="0">
      <w:lvlJc w:val="left"/>
      <w:lvlText w:val="%1."/>
      <w:numFmt w:val="decimal"/>
      <w:start w:val="16"/>
    </w:lvl>
  </w:abstractNum>
  <w:abstractNum w:abstractNumId="92">
    <w:nsid w:val="20EE1348"/>
    <w:multiLevelType w:val="hybridMultilevel"/>
    <w:lvl w:ilvl="0">
      <w:lvlJc w:val="left"/>
      <w:lvlText w:val="%1."/>
      <w:numFmt w:val="decimal"/>
      <w:start w:val="17"/>
    </w:lvl>
  </w:abstractNum>
  <w:abstractNum w:abstractNumId="93">
    <w:nsid w:val="4427069A"/>
    <w:multiLevelType w:val="hybridMultilevel"/>
    <w:lvl w:ilvl="0">
      <w:lvlJc w:val="left"/>
      <w:lvlText w:val="%1."/>
      <w:numFmt w:val="decimal"/>
      <w:start w:val="18"/>
    </w:lvl>
  </w:abstractNum>
  <w:abstractNum w:abstractNumId="94">
    <w:nsid w:val="B37E80A"/>
    <w:multiLevelType w:val="hybridMultilevel"/>
    <w:lvl w:ilvl="0">
      <w:lvlJc w:val="left"/>
      <w:lvlText w:val="%1."/>
      <w:numFmt w:val="decimal"/>
      <w:start w:val="19"/>
    </w:lvl>
  </w:abstractNum>
  <w:abstractNum w:abstractNumId="95">
    <w:nsid w:val="2157F6BC"/>
    <w:multiLevelType w:val="hybridMultilevel"/>
    <w:lvl w:ilvl="0">
      <w:lvlJc w:val="left"/>
      <w:lvlText w:val="%1."/>
      <w:numFmt w:val="decimal"/>
      <w:start w:val="20"/>
    </w:lvl>
  </w:abstractNum>
  <w:abstractNum w:abstractNumId="96">
    <w:nsid w:val="704E1DD5"/>
    <w:multiLevelType w:val="hybridMultilevel"/>
    <w:lvl w:ilvl="0">
      <w:lvlJc w:val="left"/>
      <w:lvlText w:val="%1."/>
      <w:numFmt w:val="decimal"/>
      <w:start w:val="3"/>
    </w:lvl>
  </w:abstractNum>
  <w:abstractNum w:abstractNumId="97">
    <w:nsid w:val="57D2F10E"/>
    <w:multiLevelType w:val="hybridMultilevel"/>
    <w:lvl w:ilvl="0">
      <w:lvlJc w:val="left"/>
      <w:lvlText w:val="%1."/>
      <w:numFmt w:val="decimal"/>
      <w:start w:val="7"/>
    </w:lvl>
  </w:abstractNum>
  <w:abstractNum w:abstractNumId="98">
    <w:nsid w:val="BFFAE18"/>
    <w:multiLevelType w:val="hybridMultilevel"/>
    <w:lvl w:ilvl="0">
      <w:lvlJc w:val="left"/>
      <w:lvlText w:val="%1."/>
      <w:numFmt w:val="decimal"/>
      <w:start w:val="1"/>
    </w:lvl>
  </w:abstractNum>
  <w:abstractNum w:abstractNumId="99">
    <w:nsid w:val="E3E47A8"/>
    <w:multiLevelType w:val="hybridMultilevel"/>
    <w:lvl w:ilvl="0">
      <w:lvlJc w:val="left"/>
      <w:lvlText w:val="(%1)"/>
      <w:numFmt w:val="decimal"/>
      <w:start w:val="1"/>
    </w:lvl>
  </w:abstractNum>
  <w:abstractNum w:abstractNumId="100">
    <w:nsid w:val="2E48F044"/>
    <w:multiLevelType w:val="hybridMultilevel"/>
    <w:lvl w:ilvl="0">
      <w:lvlJc w:val="left"/>
      <w:lvlText w:val="(%1)"/>
      <w:numFmt w:val="decimal"/>
      <w:start w:val="11"/>
    </w:lvl>
  </w:abstractNum>
  <w:abstractNum w:abstractNumId="101">
    <w:nsid w:val="49D0FEAC"/>
    <w:multiLevelType w:val="hybridMultilevel"/>
    <w:lvl w:ilvl="0">
      <w:lvlJc w:val="left"/>
      <w:lvlText w:val="%1."/>
      <w:numFmt w:val="decimal"/>
      <w:start w:val="1"/>
    </w:lvl>
  </w:abstractNum>
  <w:abstractNum w:abstractNumId="102">
    <w:nsid w:val="4BEE5A5B"/>
    <w:multiLevelType w:val="hybridMultilevel"/>
    <w:lvl w:ilvl="0">
      <w:lvlJc w:val="left"/>
      <w:lvlText w:val="%1."/>
      <w:numFmt w:val="decimal"/>
      <w:start w:val="2"/>
    </w:lvl>
  </w:abstractNum>
  <w:abstractNum w:abstractNumId="103">
    <w:nsid w:val="5551B9F3"/>
    <w:multiLevelType w:val="hybridMultilevel"/>
    <w:lvl w:ilvl="0">
      <w:lvlJc w:val="left"/>
      <w:lvlText w:val="%1."/>
      <w:numFmt w:val="decimal"/>
      <w:start w:val="3"/>
    </w:lvl>
  </w:abstractNum>
  <w:abstractNum w:abstractNumId="104">
    <w:nsid w:val="24F6AB8E"/>
    <w:multiLevelType w:val="hybridMultilevel"/>
    <w:lvl w:ilvl="0">
      <w:lvlJc w:val="left"/>
      <w:lvlText w:val="%1."/>
      <w:numFmt w:val="decimal"/>
      <w:start w:val="4"/>
    </w:lvl>
  </w:abstractNum>
  <w:abstractNum w:abstractNumId="105">
    <w:nsid w:val="634C574C"/>
    <w:multiLevelType w:val="hybridMultilevel"/>
    <w:lvl w:ilvl="0">
      <w:lvlJc w:val="left"/>
      <w:lvlText w:val="%1."/>
      <w:numFmt w:val="decimal"/>
      <w:start w:val="5"/>
    </w:lvl>
  </w:abstractNum>
  <w:abstractNum w:abstractNumId="106">
    <w:nsid w:val="24E99DD7"/>
    <w:multiLevelType w:val="hybridMultilevel"/>
    <w:lvl w:ilvl="0">
      <w:lvlJc w:val="left"/>
      <w:lvlText w:val="%1."/>
      <w:numFmt w:val="decimal"/>
      <w:start w:val="6"/>
    </w:lvl>
  </w:abstractNum>
  <w:abstractNum w:abstractNumId="107">
    <w:nsid w:val="2A31B62D"/>
    <w:multiLevelType w:val="hybridMultilevel"/>
    <w:lvl w:ilvl="0">
      <w:lvlJc w:val="left"/>
      <w:lvlText w:val="%1."/>
      <w:numFmt w:val="decimal"/>
      <w:start w:val="7"/>
    </w:lvl>
  </w:abstractNum>
  <w:abstractNum w:abstractNumId="108">
    <w:nsid w:val="1849C29B"/>
    <w:multiLevelType w:val="hybridMultilevel"/>
    <w:lvl w:ilvl="0">
      <w:lvlJc w:val="left"/>
      <w:lvlText w:val="%1."/>
      <w:numFmt w:val="decimal"/>
      <w:start w:val="8"/>
    </w:lvl>
  </w:abstractNum>
  <w:abstractNum w:abstractNumId="109">
    <w:nsid w:val="7DFF9D09"/>
    <w:multiLevelType w:val="hybridMultilevel"/>
    <w:lvl w:ilvl="0">
      <w:lvlJc w:val="left"/>
      <w:lvlText w:val="%1."/>
      <w:numFmt w:val="decimal"/>
      <w:start w:val="9"/>
    </w:lvl>
  </w:abstractNum>
  <w:abstractNum w:abstractNumId="110">
    <w:nsid w:val="754342"/>
    <w:multiLevelType w:val="hybridMultilevel"/>
    <w:lvl w:ilvl="0">
      <w:lvlJc w:val="left"/>
      <w:lvlText w:val="%1."/>
      <w:numFmt w:val="decimal"/>
      <w:start w:val="10"/>
    </w:lvl>
  </w:abstractNum>
  <w:abstractNum w:abstractNumId="111">
    <w:nsid w:val="69E7F3E5"/>
    <w:multiLevelType w:val="hybridMultilevel"/>
    <w:lvl w:ilvl="0">
      <w:lvlJc w:val="left"/>
      <w:lvlText w:val="%1."/>
      <w:numFmt w:val="decimal"/>
      <w:start w:val="11"/>
    </w:lvl>
  </w:abstractNum>
  <w:abstractNum w:abstractNumId="112">
    <w:nsid w:val="2A6DE806"/>
    <w:multiLevelType w:val="hybridMultilevel"/>
    <w:lvl w:ilvl="0">
      <w:lvlJc w:val="left"/>
      <w:lvlText w:val="%1."/>
      <w:numFmt w:val="decimal"/>
      <w:start w:val="12"/>
    </w:lvl>
  </w:abstractNum>
  <w:abstractNum w:abstractNumId="113">
    <w:nsid w:val="1816F8C4"/>
    <w:multiLevelType w:val="hybridMultilevel"/>
    <w:lvl w:ilvl="0">
      <w:lvlJc w:val="left"/>
      <w:lvlText w:val="%1."/>
      <w:numFmt w:val="decimal"/>
      <w:start w:val="13"/>
    </w:lvl>
  </w:abstractNum>
  <w:abstractNum w:abstractNumId="114">
    <w:nsid w:val="37DF2233"/>
    <w:multiLevelType w:val="hybridMultilevel"/>
    <w:lvl w:ilvl="0">
      <w:lvlJc w:val="left"/>
      <w:lvlText w:val="%1."/>
      <w:numFmt w:val="decimal"/>
      <w:start w:val="14"/>
    </w:lvl>
  </w:abstractNum>
  <w:abstractNum w:abstractNumId="115">
    <w:nsid w:val="7AB49DAF"/>
    <w:multiLevelType w:val="hybridMultilevel"/>
    <w:lvl w:ilvl="0">
      <w:lvlJc w:val="left"/>
      <w:lvlText w:val="%1."/>
      <w:numFmt w:val="decimal"/>
      <w:start w:val="15"/>
    </w:lvl>
  </w:abstractNum>
  <w:abstractNum w:abstractNumId="116">
    <w:nsid w:val="759F82CD"/>
    <w:multiLevelType w:val="hybridMultilevel"/>
    <w:lvl w:ilvl="0">
      <w:lvlJc w:val="left"/>
      <w:lvlText w:val="%1."/>
      <w:numFmt w:val="decimal"/>
      <w:start w:val="16"/>
    </w:lvl>
  </w:abstractNum>
  <w:abstractNum w:abstractNumId="117">
    <w:nsid w:val="61E74EA3"/>
    <w:multiLevelType w:val="hybridMultilevel"/>
    <w:lvl w:ilvl="0">
      <w:lvlJc w:val="left"/>
      <w:lvlText w:val="%1."/>
      <w:numFmt w:val="decimal"/>
      <w:start w:val="17"/>
    </w:lvl>
  </w:abstractNum>
  <w:abstractNum w:abstractNumId="118">
    <w:nsid w:val="597B4D84"/>
    <w:multiLevelType w:val="hybridMultilevel"/>
    <w:lvl w:ilvl="0">
      <w:lvlJc w:val="left"/>
      <w:lvlText w:val="%1."/>
      <w:numFmt w:val="decimal"/>
      <w:start w:val="18"/>
    </w:lvl>
  </w:abstractNum>
  <w:abstractNum w:abstractNumId="119">
    <w:nsid w:val="F819E7F"/>
    <w:multiLevelType w:val="hybridMultilevel"/>
    <w:lvl w:ilvl="0">
      <w:lvlJc w:val="left"/>
      <w:lvlText w:val="%1."/>
      <w:numFmt w:val="decimal"/>
      <w:start w:val="19"/>
    </w:lvl>
  </w:abstractNum>
  <w:abstractNum w:abstractNumId="120">
    <w:nsid w:val="57C7D42D"/>
    <w:multiLevelType w:val="hybridMultilevel"/>
    <w:lvl w:ilvl="0">
      <w:lvlJc w:val="left"/>
      <w:lvlText w:val="%1."/>
      <w:numFmt w:val="decimal"/>
      <w:start w:val="20"/>
    </w:lvl>
  </w:abstractNum>
  <w:abstractNum w:abstractNumId="121">
    <w:nsid w:val="312167AD"/>
    <w:multiLevelType w:val="hybridMultilevel"/>
    <w:lvl w:ilvl="0">
      <w:lvlJc w:val="left"/>
      <w:lvlText w:val="%1."/>
      <w:numFmt w:val="decimal"/>
      <w:start w:val="3"/>
    </w:lvl>
  </w:abstractNum>
  <w:abstractNum w:abstractNumId="122">
    <w:nsid w:val="631B64D4"/>
    <w:multiLevelType w:val="hybridMultilevel"/>
    <w:lvl w:ilvl="0">
      <w:lvlJc w:val="left"/>
      <w:lvlText w:val="%1."/>
      <w:numFmt w:val="decimal"/>
      <w:start w:val="7"/>
    </w:lvl>
  </w:abstractNum>
  <w:abstractNum w:abstractNumId="123">
    <w:nsid w:val="78B5E776"/>
    <w:multiLevelType w:val="hybridMultilevel"/>
    <w:lvl w:ilvl="0">
      <w:lvlJc w:val="left"/>
      <w:lvlText w:val="%1."/>
      <w:numFmt w:val="decimal"/>
      <w:start w:val="1"/>
    </w:lvl>
  </w:abstractNum>
  <w:abstractNum w:abstractNumId="124">
    <w:nsid w:val="75486E47"/>
    <w:multiLevelType w:val="hybridMultilevel"/>
    <w:lvl w:ilvl="0">
      <w:lvlJc w:val="left"/>
      <w:lvlText w:val="(%1)"/>
      <w:numFmt w:val="decimal"/>
      <w:start w:val="1"/>
    </w:lvl>
  </w:abstractNum>
  <w:abstractNum w:abstractNumId="125">
    <w:nsid w:val="6E534CDE"/>
    <w:multiLevelType w:val="hybridMultilevel"/>
    <w:lvl w:ilvl="0">
      <w:lvlJc w:val="left"/>
      <w:lvlText w:val="(%1)"/>
      <w:numFmt w:val="decimal"/>
      <w:start w:val="12"/>
    </w:lvl>
  </w:abstractNum>
  <w:abstractNum w:abstractNumId="126">
    <w:nsid w:val="1A0DDE32"/>
    <w:multiLevelType w:val="hybridMultilevel"/>
    <w:lvl w:ilvl="0">
      <w:lvlJc w:val="left"/>
      <w:lvlText w:val="%1."/>
      <w:numFmt w:val="decimal"/>
      <w:start w:val="1"/>
    </w:lvl>
  </w:abstractNum>
  <w:abstractNum w:abstractNumId="127">
    <w:nsid w:val="65968C1C"/>
    <w:multiLevelType w:val="hybridMultilevel"/>
    <w:lvl w:ilvl="0">
      <w:lvlJc w:val="left"/>
      <w:lvlText w:val="%1."/>
      <w:numFmt w:val="decimal"/>
      <w:start w:val="2"/>
    </w:lvl>
  </w:abstractNum>
  <w:abstractNum w:abstractNumId="128">
    <w:nsid w:val="46263DEC"/>
    <w:multiLevelType w:val="hybridMultilevel"/>
    <w:lvl w:ilvl="0">
      <w:lvlJc w:val="left"/>
      <w:lvlText w:val="%1."/>
      <w:numFmt w:val="decimal"/>
      <w:start w:val="3"/>
    </w:lvl>
  </w:abstractNum>
  <w:abstractNum w:abstractNumId="129">
    <w:nsid w:val="260D8C4A"/>
    <w:multiLevelType w:val="hybridMultilevel"/>
    <w:lvl w:ilvl="0">
      <w:lvlJc w:val="left"/>
      <w:lvlText w:val="%1."/>
      <w:numFmt w:val="decimal"/>
      <w:start w:val="4"/>
    </w:lvl>
  </w:abstractNum>
  <w:abstractNum w:abstractNumId="130">
    <w:nsid w:val="73D4D3C4"/>
    <w:multiLevelType w:val="hybridMultilevel"/>
    <w:lvl w:ilvl="0">
      <w:lvlJc w:val="left"/>
      <w:lvlText w:val="%1."/>
      <w:numFmt w:val="decimal"/>
      <w:start w:val="5"/>
    </w:lvl>
  </w:abstractNum>
  <w:abstractNum w:abstractNumId="131">
    <w:nsid w:val="746F2E30"/>
    <w:multiLevelType w:val="hybridMultilevel"/>
    <w:lvl w:ilvl="0">
      <w:lvlJc w:val="left"/>
      <w:lvlText w:val="%1."/>
      <w:numFmt w:val="decimal"/>
      <w:start w:val="6"/>
    </w:lvl>
  </w:abstractNum>
  <w:abstractNum w:abstractNumId="132">
    <w:nsid w:val="6FDE8AF6"/>
    <w:multiLevelType w:val="hybridMultilevel"/>
    <w:lvl w:ilvl="0">
      <w:lvlJc w:val="left"/>
      <w:lvlText w:val="%1."/>
      <w:numFmt w:val="decimal"/>
      <w:start w:val="7"/>
    </w:lvl>
  </w:abstractNum>
  <w:abstractNum w:abstractNumId="133">
    <w:nsid w:val="3FC32E20"/>
    <w:multiLevelType w:val="hybridMultilevel"/>
    <w:lvl w:ilvl="0">
      <w:lvlJc w:val="left"/>
      <w:lvlText w:val="%1."/>
      <w:numFmt w:val="decimal"/>
      <w:start w:val="8"/>
    </w:lvl>
  </w:abstractNum>
  <w:abstractNum w:abstractNumId="134">
    <w:nsid w:val="49C0E823"/>
    <w:multiLevelType w:val="hybridMultilevel"/>
    <w:lvl w:ilvl="0">
      <w:lvlJc w:val="left"/>
      <w:lvlText w:val="%1."/>
      <w:numFmt w:val="decimal"/>
      <w:start w:val="9"/>
    </w:lvl>
  </w:abstractNum>
  <w:abstractNum w:abstractNumId="135">
    <w:nsid w:val="14D53685"/>
    <w:multiLevelType w:val="hybridMultilevel"/>
    <w:lvl w:ilvl="0">
      <w:lvlJc w:val="left"/>
      <w:lvlText w:val="%1."/>
      <w:numFmt w:val="decimal"/>
      <w:start w:val="10"/>
    </w:lvl>
  </w:abstractNum>
  <w:abstractNum w:abstractNumId="136">
    <w:nsid w:val="230F856C"/>
    <w:multiLevelType w:val="hybridMultilevel"/>
    <w:lvl w:ilvl="0">
      <w:lvlJc w:val="left"/>
      <w:lvlText w:val="%1."/>
      <w:numFmt w:val="decimal"/>
      <w:start w:val="11"/>
    </w:lvl>
  </w:abstractNum>
  <w:abstractNum w:abstractNumId="137">
    <w:nsid w:val="6EAA85FB"/>
    <w:multiLevelType w:val="hybridMultilevel"/>
    <w:lvl w:ilvl="0">
      <w:lvlJc w:val="left"/>
      <w:lvlText w:val="%1."/>
      <w:numFmt w:val="decimal"/>
      <w:start w:val="12"/>
    </w:lvl>
  </w:abstractNum>
  <w:abstractNum w:abstractNumId="138">
    <w:nsid w:val="3F06ECB2"/>
    <w:multiLevelType w:val="hybridMultilevel"/>
    <w:lvl w:ilvl="0">
      <w:lvlJc w:val="left"/>
      <w:lvlText w:val="%1."/>
      <w:numFmt w:val="decimal"/>
      <w:start w:val="13"/>
    </w:lvl>
  </w:abstractNum>
  <w:abstractNum w:abstractNumId="139">
    <w:nsid w:val="3B594807"/>
    <w:multiLevelType w:val="hybridMultilevel"/>
    <w:lvl w:ilvl="0">
      <w:lvlJc w:val="left"/>
      <w:lvlText w:val="%1."/>
      <w:numFmt w:val="decimal"/>
      <w:start w:val="14"/>
    </w:lvl>
  </w:abstractNum>
  <w:abstractNum w:abstractNumId="140">
    <w:nsid w:val="6CAA2304"/>
    <w:multiLevelType w:val="hybridMultilevel"/>
    <w:lvl w:ilvl="0">
      <w:lvlJc w:val="left"/>
      <w:lvlText w:val="%1."/>
      <w:numFmt w:val="decimal"/>
      <w:start w:val="15"/>
    </w:lvl>
  </w:abstractNum>
  <w:abstractNum w:abstractNumId="141">
    <w:nsid w:val="3F7C2FF4"/>
    <w:multiLevelType w:val="hybridMultilevel"/>
    <w:lvl w:ilvl="0">
      <w:lvlJc w:val="left"/>
      <w:lvlText w:val="%1."/>
      <w:numFmt w:val="decimal"/>
      <w:start w:val="16"/>
    </w:lvl>
  </w:abstractNum>
  <w:abstractNum w:abstractNumId="142">
    <w:nsid w:val="25413BEC"/>
    <w:multiLevelType w:val="hybridMultilevel"/>
    <w:lvl w:ilvl="0">
      <w:lvlJc w:val="left"/>
      <w:lvlText w:val="%1."/>
      <w:numFmt w:val="decimal"/>
      <w:start w:val="17"/>
    </w:lvl>
  </w:abstractNum>
  <w:abstractNum w:abstractNumId="143">
    <w:nsid w:val="17180B0B"/>
    <w:multiLevelType w:val="hybridMultilevel"/>
    <w:lvl w:ilvl="0">
      <w:lvlJc w:val="left"/>
      <w:lvlText w:val="%1."/>
      <w:numFmt w:val="decimal"/>
      <w:start w:val="18"/>
    </w:lvl>
  </w:abstractNum>
  <w:abstractNum w:abstractNumId="144">
    <w:nsid w:val="579328B9"/>
    <w:multiLevelType w:val="hybridMultilevel"/>
    <w:lvl w:ilvl="0">
      <w:lvlJc w:val="left"/>
      <w:lvlText w:val="%1."/>
      <w:numFmt w:val="decimal"/>
      <w:start w:val="19"/>
    </w:lvl>
  </w:abstractNum>
  <w:abstractNum w:abstractNumId="145">
    <w:nsid w:val="5D205E20"/>
    <w:multiLevelType w:val="hybridMultilevel"/>
    <w:lvl w:ilvl="0">
      <w:lvlJc w:val="left"/>
      <w:lvlText w:val="%1."/>
      <w:numFmt w:val="decimal"/>
      <w:start w:val="3"/>
    </w:lvl>
  </w:abstractNum>
  <w:abstractNum w:abstractNumId="146">
    <w:nsid w:val="11CCA8BA"/>
    <w:multiLevelType w:val="hybridMultilevel"/>
    <w:lvl w:ilvl="0">
      <w:lvlJc w:val="left"/>
      <w:lvlText w:val="%1."/>
      <w:numFmt w:val="decimal"/>
      <w:start w:val="7"/>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Roman"/>
      <w:start w:val="1"/>
    </w:lvl>
  </w:abstractNum>
  <w:abstractNum w:abstractNumId="149">
    <w:nsid w:val="6B47F63E"/>
    <w:multiLevelType w:val="hybridMultilevel"/>
    <w:lvl w:ilvl="0">
      <w:lvlJc w:val="left"/>
      <w:lvlText w:val="(%1)"/>
      <w:numFmt w:val="lowerLetter"/>
      <w:start w:val="2"/>
    </w:lvl>
    <w:lvl w:ilvl="1">
      <w:lvlJc w:val="left"/>
      <w:lvlText w:val="(%2)"/>
      <w:numFmt w:val="lowerLetter"/>
      <w:start w:val="1"/>
    </w:lvl>
  </w:abstractNum>
  <w:abstractNum w:abstractNumId="150">
    <w:nsid w:val="5CB44A05"/>
    <w:multiLevelType w:val="hybridMultilevel"/>
    <w:lvl w:ilvl="0">
      <w:lvlJc w:val="left"/>
      <w:lvlText w:val="(%1)"/>
      <w:numFmt w:val="upperLetter"/>
      <w:start w:val="3"/>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lowerRoman"/>
      <w:start w:val="1"/>
    </w:lvl>
  </w:abstractNum>
  <w:abstractNum w:abstractNumId="153">
    <w:nsid w:val="3FCFAED9"/>
    <w:multiLevelType w:val="hybridMultilevel"/>
    <w:lvl w:ilvl="0">
      <w:lvlJc w:val="left"/>
      <w:lvlText w:val="(%1)"/>
      <w:numFmt w:val="lowerLetter"/>
      <w:start w:val="2"/>
    </w:lvl>
    <w:lvl w:ilvl="1">
      <w:lvlJc w:val="left"/>
      <w:lvlText w:val="(%2)"/>
      <w:numFmt w:val="lowerLetter"/>
      <w:start w:val="1"/>
    </w:lvl>
  </w:abstractNum>
  <w:abstractNum w:abstractNumId="154">
    <w:nsid w:val="F856867"/>
    <w:multiLevelType w:val="hybridMultilevel"/>
    <w:lvl w:ilvl="0">
      <w:lvlJc w:val="left"/>
      <w:lvlText w:val="(%1)"/>
      <w:numFmt w:val="upperLetter"/>
      <w:start w:val="3"/>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Roman"/>
      <w:start w:val="1"/>
    </w:lvl>
  </w:abstractNum>
  <w:abstractNum w:abstractNumId="157">
    <w:nsid w:val="29934699"/>
    <w:multiLevelType w:val="hybridMultilevel"/>
    <w:lvl w:ilvl="0">
      <w:lvlJc w:val="left"/>
      <w:lvlText w:val="(%1)"/>
      <w:numFmt w:val="lowerLetter"/>
      <w:start w:val="2"/>
    </w:lvl>
    <w:lvl w:ilvl="1">
      <w:lvlJc w:val="left"/>
      <w:lvlText w:val="(%2)"/>
      <w:numFmt w:val="lowerLetter"/>
      <w:start w:val="1"/>
    </w:lvl>
  </w:abstractNum>
  <w:abstractNum w:abstractNumId="158">
    <w:nsid w:val="77485850"/>
    <w:multiLevelType w:val="hybridMultilevel"/>
    <w:lvl w:ilvl="0">
      <w:lvlJc w:val="left"/>
      <w:lvlText w:val="(%1)"/>
      <w:numFmt w:val="upperLetter"/>
      <w:start w:val="3"/>
    </w:lvl>
  </w:abstractNum>
  <w:abstractNum w:abstractNumId="159">
    <w:nsid w:val="744939A3"/>
    <w:multiLevelType w:val="hybridMultilevel"/>
    <w:lvl w:ilvl="0">
      <w:lvlJc w:val="left"/>
      <w:lvlText w:val="(%1)"/>
      <w:numFmt w:val="lowerLetter"/>
      <w:start w:val="1"/>
    </w:lvl>
  </w:abstractNum>
  <w:abstractNum w:abstractNumId="160">
    <w:nsid w:val="4FA0D2E3"/>
    <w:multiLevelType w:val="hybridMultilevel"/>
    <w:lvl w:ilvl="0">
      <w:lvlJc w:val="left"/>
      <w:lvlText w:val="(%1)"/>
      <w:numFmt w:val="lowerRoman"/>
      <w:start w:val="1"/>
    </w:lvl>
  </w:abstractNum>
  <w:abstractNum w:abstractNumId="161">
    <w:nsid w:val="6B1D2C14"/>
    <w:multiLevelType w:val="hybridMultilevel"/>
    <w:lvl w:ilvl="0">
      <w:lvlJc w:val="left"/>
      <w:lvlText w:val="(%1)"/>
      <w:numFmt w:val="lowerLetter"/>
      <w:start w:val="2"/>
    </w:lvl>
    <w:lvl w:ilvl="1">
      <w:lvlJc w:val="left"/>
      <w:lvlText w:val="(%2)"/>
      <w:numFmt w:val="lowerLetter"/>
      <w:start w:val="1"/>
    </w:lvl>
  </w:abstractNum>
  <w:abstractNum w:abstractNumId="162">
    <w:nsid w:val="68B867D3"/>
    <w:multiLevelType w:val="hybridMultilevel"/>
    <w:lvl w:ilvl="0">
      <w:lvlJc w:val="left"/>
      <w:lvlText w:val="(%1)"/>
      <w:numFmt w:val="upperLetter"/>
      <w:start w:val="3"/>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Roman"/>
      <w:start w:val="1"/>
    </w:lvl>
  </w:abstractNum>
  <w:abstractNum w:abstractNumId="165">
    <w:nsid w:val="32794FF7"/>
    <w:multiLevelType w:val="hybridMultilevel"/>
    <w:lvl w:ilvl="0">
      <w:lvlJc w:val="left"/>
      <w:lvlText w:val="(%1)"/>
      <w:numFmt w:val="lowerLetter"/>
      <w:start w:val="2"/>
    </w:lvl>
    <w:lvl w:ilvl="1">
      <w:lvlJc w:val="left"/>
      <w:lvlText w:val="(%2)"/>
      <w:numFmt w:val="lowerLetter"/>
      <w:start w:val="1"/>
    </w:lvl>
  </w:abstractNum>
  <w:abstractNum w:abstractNumId="166">
    <w:nsid w:val="5454945E"/>
    <w:multiLevelType w:val="hybridMultilevel"/>
    <w:lvl w:ilvl="0">
      <w:lvlJc w:val="left"/>
      <w:lvlText w:val="(%1)"/>
      <w:numFmt w:val="upperLetter"/>
      <w:start w:val="3"/>
    </w:lvl>
  </w:abstractNum>
  <w:abstractNum w:abstractNumId="167">
    <w:nsid w:val="4DEFDFA0"/>
    <w:multiLevelType w:val="hybridMultilevel"/>
    <w:lvl w:ilvl="0">
      <w:lvlJc w:val="left"/>
      <w:lvlText w:val="%1."/>
      <w:numFmt w:val="lowerRoman"/>
      <w:start w:val="1"/>
    </w:lvl>
    <w:lvl w:ilvl="1">
      <w:lvlJc w:val="left"/>
      <w:lvlText w:val="%2."/>
      <w:numFmt w:val="upperLetter"/>
      <w:start w:val="1"/>
    </w:lvl>
  </w:abstractNum>
  <w:abstractNum w:abstractNumId="168">
    <w:nsid w:val="2123D5F2"/>
    <w:multiLevelType w:val="hybridMultilevel"/>
    <w:lvl w:ilvl="0">
      <w:lvlJc w:val="left"/>
      <w:lvlText w:val="%1."/>
      <w:numFmt w:val="lowerRoman"/>
      <w:start w:val="1"/>
    </w:lvl>
    <w:lvl w:ilvl="1">
      <w:lvlJc w:val="left"/>
      <w:lvlText w:val="%2."/>
      <w:numFmt w:val="upp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55" Type="http://schemas.openxmlformats.org/officeDocument/2006/relationships/hyperlink" Target="http://www.sec.gov/Archives/edgar/data/823768/000110465919021340/a19-8354_1ex2d1.htm" TargetMode="External"/><Relationship Id="rId56" Type="http://schemas.openxmlformats.org/officeDocument/2006/relationships/hyperlink" Target="http://www.sec.gov/Archives/edgar/data/823768/000110465919021340/a19-8354_1ex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2019-12-28T10:04:09Z</dcterms:created>
  <dcterms:modified xsi:type="dcterms:W3CDTF">2019-12-28T10:04:09Z</dcterms:modified>
</cp:coreProperties>
</file>