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7"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ind w:left="188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880"/>
        <w:spacing w:after="0"/>
        <w:rPr>
          <w:sz w:val="20"/>
          <w:szCs w:val="20"/>
          <w:color w:val="auto"/>
        </w:rPr>
      </w:pPr>
      <w:r>
        <w:rPr>
          <w:rFonts w:ascii="Arial" w:cs="Arial" w:eastAsia="Arial" w:hAnsi="Arial"/>
          <w:sz w:val="13"/>
          <w:szCs w:val="13"/>
          <w:b w:val="1"/>
          <w:bCs w:val="1"/>
          <w:color w:val="auto"/>
        </w:rPr>
        <w:t>For the Quarterly Period Ended March 31, 2009</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11" w:lineRule="exact"/>
        <w:rPr>
          <w:sz w:val="20"/>
          <w:szCs w:val="20"/>
          <w:color w:val="auto"/>
        </w:rPr>
      </w:pPr>
    </w:p>
    <w:p>
      <w:pPr>
        <w:ind w:left="1880" w:hanging="681"/>
        <w:spacing w:after="0"/>
        <w:tabs>
          <w:tab w:leader="none" w:pos="18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w:t>
      </w:r>
    </w:p>
    <w:p>
      <w:pPr>
        <w:ind w:left="1880"/>
        <w:spacing w:after="0" w:line="235" w:lineRule="auto"/>
        <w:rPr>
          <w:sz w:val="20"/>
          <w:szCs w:val="20"/>
          <w:color w:val="auto"/>
        </w:rPr>
      </w:pPr>
      <w:r>
        <w:rPr>
          <w:rFonts w:ascii="Arial" w:cs="Arial" w:eastAsia="Arial" w:hAnsi="Arial"/>
          <w:sz w:val="16"/>
          <w:szCs w:val="16"/>
          <w:b w:val="1"/>
          <w:bCs w:val="1"/>
          <w:color w:val="auto"/>
        </w:rPr>
        <w:t>OF THE SECURITIES EXCHANGE ACT OF 1934</w:t>
      </w:r>
    </w:p>
    <w:tbl>
      <w:tblPr>
        <w:tblLayout w:type="fixed"/>
        <w:tblInd w:w="188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51"/>
        </w:trPr>
        <w:tc>
          <w:tcPr>
            <w:tcW w:w="1980" w:type="dxa"/>
            <w:vAlign w:val="bottom"/>
          </w:tcPr>
          <w:p>
            <w:pPr>
              <w:spacing w:after="0"/>
              <w:rPr>
                <w:sz w:val="21"/>
                <w:szCs w:val="21"/>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01"/>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980" w:type="dxa"/>
            <w:vAlign w:val="bottom"/>
          </w:tcPr>
          <w:p>
            <w:pPr>
              <w:jc w:val="center"/>
              <w:ind w:left="581"/>
              <w:spacing w:after="0"/>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183"/>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97" w:lineRule="exact"/>
        <w:rPr>
          <w:sz w:val="20"/>
          <w:szCs w:val="20"/>
          <w:color w:val="auto"/>
        </w:rPr>
      </w:pPr>
    </w:p>
    <w:p>
      <w:pPr>
        <w:ind w:left="680" w:right="48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144"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14"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4080" w:right="560" w:hanging="4373"/>
        <w:spacing w:after="0" w:line="161" w:lineRule="exact"/>
        <w:tabs>
          <w:tab w:leader="none" w:pos="40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60"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shares of Common Stock, $0.01 par value, of the registrant outstanding at April 24, 2009 was 492,002,011 (excluding treasury shares of 138,280,450).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85725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127" w:right="10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ind w:right="3979"/>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CONDENSED CONSOLIDATED STATEMENTS OF OPERATIONS</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CONDENSED CONSOLIDATED STATEMENTS OF CASH FLOWS</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CONDENSED CONSOLIDATED STATEMENTS OF CHANGES IN EQUITY</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NOTES TO CONDENSED CONSOLIDATED FINANCIAL STATEMENTS</w:t>
        </w:r>
      </w:hyperlink>
    </w:p>
    <w:p>
      <w:pPr>
        <w:spacing w:after="0" w:line="3" w:lineRule="exact"/>
        <w:rPr>
          <w:rFonts w:ascii="Arial" w:cs="Arial" w:eastAsia="Arial" w:hAnsi="Arial"/>
          <w:sz w:val="16"/>
          <w:szCs w:val="16"/>
          <w:u w:val="single" w:color="auto"/>
          <w:color w:val="0000EE"/>
        </w:rPr>
      </w:pPr>
    </w:p>
    <w:p>
      <w:pPr>
        <w:ind w:left="280"/>
        <w:spacing w:after="0"/>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Item 2. Management’s Discussion and Analysis of Financial Condition and Results of Operations.</w:t>
        </w:r>
      </w:hyperlink>
    </w:p>
    <w:p>
      <w:pPr>
        <w:spacing w:after="0" w:line="20" w:lineRule="exact"/>
        <w:rPr>
          <w:rFonts w:ascii="Arial" w:cs="Arial" w:eastAsia="Arial" w:hAnsi="Arial"/>
          <w:sz w:val="16"/>
          <w:szCs w:val="16"/>
          <w:u w:val="single" w:color="auto"/>
          <w:color w:val="0000EE"/>
        </w:rPr>
      </w:pPr>
    </w:p>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4. Controls and Procedures.</w:t>
        </w:r>
      </w:hyperlink>
    </w:p>
    <w:p>
      <w:pPr>
        <w:spacing w:after="0" w:line="230"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1. Legal Proceedings.</w:t>
        </w:r>
      </w:hyperlink>
    </w:p>
    <w:p>
      <w:pPr>
        <w:ind w:left="280"/>
        <w:spacing w:after="0" w:line="231"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6. Exhibits.</w:t>
        </w:r>
      </w:hyperlink>
    </w:p>
    <w:p>
      <w:pPr>
        <w:spacing w:after="0" w:line="230"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SIGNATURES</w:t>
        </w:r>
      </w:hyperlink>
    </w:p>
    <w:p>
      <w:pPr>
        <w:spacing w:after="0" w:line="231"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EXHIBIT INDEX</w:t>
        </w:r>
      </w:hyperlink>
    </w:p>
    <w:p>
      <w:pPr>
        <w:spacing w:after="0" w:line="231" w:lineRule="auto"/>
        <w:rPr>
          <w:sz w:val="20"/>
          <w:szCs w:val="20"/>
          <w:color w:val="auto"/>
        </w:rPr>
      </w:pPr>
      <w:r>
        <w:rPr>
          <w:rFonts w:ascii="Arial" w:cs="Arial" w:eastAsia="Arial" w:hAnsi="Arial"/>
          <w:sz w:val="16"/>
          <w:szCs w:val="16"/>
          <w:u w:val="single" w:color="auto"/>
          <w:color w:val="0000EE"/>
        </w:rPr>
        <w:t>EX-12</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1" w:lineRule="auto"/>
        <w:rPr>
          <w:sz w:val="20"/>
          <w:szCs w:val="20"/>
          <w:color w:val="auto"/>
        </w:rPr>
      </w:pPr>
      <w:r>
        <w:rPr>
          <w:rFonts w:ascii="Arial" w:cs="Arial" w:eastAsia="Arial" w:hAnsi="Arial"/>
          <w:sz w:val="16"/>
          <w:szCs w:val="16"/>
          <w:u w:val="single" w:color="auto"/>
          <w:color w:val="0000EE"/>
        </w:rPr>
        <w:t>EX-31.2</w:t>
      </w:r>
    </w:p>
    <w:p>
      <w:pPr>
        <w:spacing w:after="0" w:line="230" w:lineRule="auto"/>
        <w:rPr>
          <w:sz w:val="20"/>
          <w:szCs w:val="20"/>
          <w:color w:val="auto"/>
        </w:rPr>
      </w:pPr>
      <w:r>
        <w:rPr>
          <w:rFonts w:ascii="Arial" w:cs="Arial" w:eastAsia="Arial" w:hAnsi="Arial"/>
          <w:sz w:val="16"/>
          <w:szCs w:val="16"/>
          <w:u w:val="single" w:color="auto"/>
          <w:color w:val="0000EE"/>
        </w:rPr>
        <w:t>EX-32.1</w:t>
      </w:r>
    </w:p>
    <w:p>
      <w:pPr>
        <w:spacing w:after="0" w:line="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u w:val="single" w:color="auto"/>
          <w:color w:val="0000EE"/>
        </w:rPr>
        <w:t>EX-32.2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20" w:type="dxa"/>
            <w:vAlign w:val="bottom"/>
          </w:tcPr>
          <w:p>
            <w:pPr>
              <w:jc w:val="center"/>
              <w:ind w:left="1137"/>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1157"/>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jc w:val="center"/>
              <w:ind w:left="1157"/>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tcPr>
          <w:p>
            <w:pPr>
              <w:jc w:val="center"/>
              <w:ind w:left="1157"/>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7"/>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w w:val="95"/>
              </w:rPr>
              <w:t>Current assets:</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Accounts receivable, net of allowance for doubtful accounts of $42 and $39,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1,357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1,463</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800" w:type="dxa"/>
            <w:vAlign w:val="bottom"/>
          </w:tcPr>
          <w:p>
            <w:pPr>
              <w:ind w:left="120"/>
              <w:spacing w:after="0"/>
              <w:rPr>
                <w:sz w:val="20"/>
                <w:szCs w:val="20"/>
                <w:color w:val="auto"/>
              </w:rPr>
            </w:pPr>
            <w:r>
              <w:rPr>
                <w:rFonts w:ascii="Arial" w:cs="Arial" w:eastAsia="Arial" w:hAnsi="Arial"/>
                <w:sz w:val="12"/>
                <w:szCs w:val="12"/>
                <w:color w:val="auto"/>
                <w:w w:val="96"/>
              </w:rPr>
              <w:t>Other assets</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2,335</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Property and equipment, net of accumulated depreciation and amortization of $13,440 and $13,273,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11,206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11,402</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5,462</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40"/>
              <w:spacing w:after="0"/>
              <w:rPr>
                <w:sz w:val="20"/>
                <w:szCs w:val="20"/>
                <w:color w:val="auto"/>
              </w:rPr>
            </w:pPr>
            <w:r>
              <w:rPr>
                <w:rFonts w:ascii="Arial" w:cs="Arial" w:eastAsia="Arial" w:hAnsi="Arial"/>
                <w:sz w:val="12"/>
                <w:szCs w:val="12"/>
                <w:color w:val="auto"/>
                <w:w w:val="83"/>
              </w:rPr>
              <w:t>Total assets</w:t>
            </w: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20,400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jc w:val="center"/>
              <w:ind w:left="1157"/>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3,036</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8,096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7,491</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1,484</w:t>
            </w:r>
          </w:p>
        </w:tc>
        <w:tc>
          <w:tcPr>
            <w:tcW w:w="0" w:type="dxa"/>
            <w:vAlign w:val="bottom"/>
          </w:tcPr>
          <w:p>
            <w:pPr>
              <w:spacing w:after="0"/>
              <w:rPr>
                <w:sz w:val="1"/>
                <w:szCs w:val="1"/>
                <w:color w:val="auto"/>
              </w:rPr>
            </w:pPr>
          </w:p>
        </w:tc>
      </w:tr>
      <w:tr>
        <w:trPr>
          <w:trHeight w:val="147"/>
        </w:trPr>
        <w:tc>
          <w:tcPr>
            <w:tcW w:w="7800" w:type="dxa"/>
            <w:vAlign w:val="bottom"/>
            <w:gridSpan w:val="3"/>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w w:val="99"/>
              </w:rPr>
              <w:t>Other liabilities</w:t>
            </w:r>
          </w:p>
        </w:tc>
        <w:tc>
          <w:tcPr>
            <w:tcW w:w="180" w:type="dxa"/>
            <w:vAlign w:val="bottom"/>
            <w:shd w:val="clear" w:color="auto" w:fill="CCEEFF"/>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14,042</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rPr>
              <w:t>Equity:</w:t>
            </w:r>
          </w:p>
        </w:tc>
        <w:tc>
          <w:tcPr>
            <w:tcW w:w="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4,532</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4,558</w:t>
            </w: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5,642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5,631</w:t>
            </w:r>
          </w:p>
        </w:tc>
        <w:tc>
          <w:tcPr>
            <w:tcW w:w="0" w:type="dxa"/>
            <w:vAlign w:val="bottom"/>
          </w:tcPr>
          <w:p>
            <w:pPr>
              <w:spacing w:after="0"/>
              <w:rPr>
                <w:sz w:val="1"/>
                <w:szCs w:val="1"/>
                <w:color w:val="auto"/>
              </w:rPr>
            </w:pPr>
          </w:p>
        </w:tc>
      </w:tr>
      <w:tr>
        <w:trPr>
          <w:trHeight w:val="147"/>
        </w:trPr>
        <w:tc>
          <w:tcPr>
            <w:tcW w:w="78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7800" w:type="dxa"/>
            <w:vAlign w:val="bottom"/>
            <w:gridSpan w:val="3"/>
          </w:tcPr>
          <w:p>
            <w:pPr>
              <w:ind w:left="240"/>
              <w:spacing w:after="0"/>
              <w:rPr>
                <w:sz w:val="20"/>
                <w:szCs w:val="20"/>
                <w:color w:val="auto"/>
              </w:rPr>
            </w:pPr>
            <w:r>
              <w:rPr>
                <w:rFonts w:ascii="Arial" w:cs="Arial" w:eastAsia="Arial" w:hAnsi="Arial"/>
                <w:sz w:val="12"/>
                <w:szCs w:val="12"/>
                <w:color w:val="auto"/>
              </w:rPr>
              <w:t>Treasury stock at cost, 138,355,917 and 139,546,915 shares, respectively</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(4,344)</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(4,381)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5,902</w:t>
            </w:r>
          </w:p>
        </w:tc>
        <w:tc>
          <w:tcPr>
            <w:tcW w:w="0" w:type="dxa"/>
            <w:vAlign w:val="bottom"/>
          </w:tcPr>
          <w:p>
            <w:pPr>
              <w:spacing w:after="0"/>
              <w:rPr>
                <w:sz w:val="1"/>
                <w:szCs w:val="1"/>
                <w:color w:val="auto"/>
              </w:rPr>
            </w:pPr>
          </w:p>
        </w:tc>
      </w:tr>
      <w:tr>
        <w:trPr>
          <w:trHeight w:val="147"/>
        </w:trPr>
        <w:tc>
          <w:tcPr>
            <w:tcW w:w="7800" w:type="dxa"/>
            <w:vAlign w:val="bottom"/>
            <w:gridSpan w:val="3"/>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6,185</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3"/>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20,400</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2,810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1,725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337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2,438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87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0.27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87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660"/>
        <w:spacing w:after="0"/>
        <w:rPr>
          <w:sz w:val="20"/>
          <w:szCs w:val="20"/>
          <w:color w:val="auto"/>
        </w:rPr>
      </w:pPr>
      <w:r>
        <w:rPr>
          <w:rFonts w:ascii="Arial" w:cs="Arial" w:eastAsia="Arial" w:hAnsi="Arial"/>
          <w:sz w:val="10"/>
          <w:szCs w:val="10"/>
          <w:b w:val="1"/>
          <w:bCs w:val="1"/>
          <w:color w:val="auto"/>
        </w:rPr>
        <w:t>Three Months</w:t>
      </w:r>
    </w:p>
    <w:p>
      <w:pPr>
        <w:jc w:val="center"/>
        <w:ind w:left="8660"/>
        <w:spacing w:after="0" w:line="236" w:lineRule="auto"/>
        <w:rPr>
          <w:sz w:val="20"/>
          <w:szCs w:val="20"/>
          <w:color w:val="auto"/>
        </w:rPr>
      </w:pPr>
      <w:r>
        <w:rPr>
          <w:rFonts w:ascii="Arial" w:cs="Arial" w:eastAsia="Arial" w:hAnsi="Arial"/>
          <w:sz w:val="10"/>
          <w:szCs w:val="10"/>
          <w:b w:val="1"/>
          <w:bCs w:val="1"/>
          <w:color w:val="auto"/>
        </w:rPr>
        <w:t>Ended</w:t>
      </w:r>
    </w:p>
    <w:p>
      <w:pPr>
        <w:jc w:val="center"/>
        <w:ind w:left="866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860" w:type="dxa"/>
            <w:vAlign w:val="bottom"/>
          </w:tcPr>
          <w:p>
            <w:pPr>
              <w:spacing w:after="0"/>
              <w:rPr>
                <w:sz w:val="8"/>
                <w:szCs w:val="8"/>
                <w:color w:val="auto"/>
              </w:rPr>
            </w:pPr>
          </w:p>
        </w:tc>
        <w:tc>
          <w:tcPr>
            <w:tcW w:w="320" w:type="dxa"/>
            <w:vAlign w:val="bottom"/>
            <w:tcBorders>
              <w:top w:val="single" w:sz="8" w:color="auto"/>
              <w:bottom w:val="single" w:sz="8" w:color="auto"/>
            </w:tcBorders>
            <w:gridSpan w:val="2"/>
          </w:tcPr>
          <w:p>
            <w:pPr>
              <w:jc w:val="right"/>
              <w:ind w:right="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6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170</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248</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289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297</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provision</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60" w:type="dxa"/>
            <w:vAlign w:val="bottom"/>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87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886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7"/>
        </w:trPr>
        <w:tc>
          <w:tcPr>
            <w:tcW w:w="8860" w:type="dxa"/>
            <w:vAlign w:val="bottom"/>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561</w:t>
            </w:r>
          </w:p>
        </w:tc>
        <w:tc>
          <w:tcPr>
            <w:tcW w:w="0" w:type="dxa"/>
            <w:vAlign w:val="bottom"/>
          </w:tcPr>
          <w:p>
            <w:pPr>
              <w:spacing w:after="0"/>
              <w:rPr>
                <w:sz w:val="1"/>
                <w:szCs w:val="1"/>
                <w:color w:val="auto"/>
              </w:rPr>
            </w:pPr>
          </w:p>
        </w:tc>
      </w:tr>
      <w:tr>
        <w:trPr>
          <w:trHeight w:val="144"/>
        </w:trPr>
        <w:tc>
          <w:tcPr>
            <w:tcW w:w="886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w w:val="92"/>
              </w:rPr>
              <w:t>(325)</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(213)</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46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w w:val="92"/>
              </w:rPr>
              <w:t>(296)</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(200)</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895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803</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2"/>
              </w:rPr>
              <w:t>(452)</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5"/>
              </w:rPr>
              <w:t>(544)</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(281)</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2"/>
              </w:rPr>
              <w:t>(143)</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5"/>
              </w:rPr>
              <w:t>(133)</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860" w:type="dxa"/>
            <w:vAlign w:val="bottom"/>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7"/>
        </w:trPr>
        <w:tc>
          <w:tcPr>
            <w:tcW w:w="8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245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85"/>
              </w:rPr>
              <w:t>(243)</w:t>
            </w:r>
          </w:p>
        </w:tc>
        <w:tc>
          <w:tcPr>
            <w:tcW w:w="0" w:type="dxa"/>
            <w:vAlign w:val="bottom"/>
          </w:tcPr>
          <w:p>
            <w:pPr>
              <w:spacing w:after="0"/>
              <w:rPr>
                <w:sz w:val="1"/>
                <w:szCs w:val="1"/>
                <w:color w:val="auto"/>
              </w:rPr>
            </w:pPr>
          </w:p>
        </w:tc>
      </w:tr>
      <w:tr>
        <w:trPr>
          <w:trHeight w:val="22"/>
        </w:trPr>
        <w:tc>
          <w:tcPr>
            <w:tcW w:w="8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2"/>
                <w:szCs w:val="12"/>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467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118</w:t>
            </w:r>
          </w:p>
        </w:tc>
        <w:tc>
          <w:tcPr>
            <w:tcW w:w="0" w:type="dxa"/>
            <w:vAlign w:val="bottom"/>
          </w:tcPr>
          <w:p>
            <w:pPr>
              <w:spacing w:after="0"/>
              <w:rPr>
                <w:sz w:val="1"/>
                <w:szCs w:val="1"/>
                <w:color w:val="auto"/>
              </w:rPr>
            </w:pPr>
          </w:p>
        </w:tc>
      </w:tr>
      <w:tr>
        <w:trPr>
          <w:trHeight w:val="150"/>
        </w:trPr>
        <w:tc>
          <w:tcPr>
            <w:tcW w:w="88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348</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947</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466</w:t>
            </w:r>
          </w:p>
        </w:tc>
        <w:tc>
          <w:tcPr>
            <w:tcW w:w="0" w:type="dxa"/>
            <w:vAlign w:val="bottom"/>
          </w:tcPr>
          <w:p>
            <w:pPr>
              <w:spacing w:after="0"/>
              <w:rPr>
                <w:sz w:val="1"/>
                <w:szCs w:val="1"/>
                <w:color w:val="auto"/>
              </w:rPr>
            </w:pPr>
          </w:p>
        </w:tc>
      </w:tr>
      <w:tr>
        <w:trPr>
          <w:trHeight w:val="32"/>
        </w:trPr>
        <w:tc>
          <w:tcPr>
            <w:tcW w:w="8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6,102</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4,542</w:t>
            </w:r>
          </w:p>
        </w:tc>
        <w:tc>
          <w:tcPr>
            <w:tcW w:w="140" w:type="dxa"/>
            <w:vAlign w:val="bottom"/>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5,080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(130,164)</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310</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1,128</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1,087</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41</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3"/>
              </w:rPr>
              <w:t>Unrealized gains resulting from changes in fair values of derivative instruments,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net of taxes of $25</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8"/>
                <w:szCs w:val="8"/>
                <w:color w:val="auto"/>
              </w:rPr>
              <w:t>40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4"/>
              </w:rPr>
              <w:t>Realized gains on derivative instruments reclassified into earnings,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of $24</w:t>
            </w:r>
          </w:p>
        </w:tc>
        <w:tc>
          <w:tcPr>
            <w:tcW w:w="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Unrealized losses on marketable securities, net of taxes of $4</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Translation adjustment of foreign currency statements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w w:val="99"/>
              </w:rPr>
              <w:t>Change in funded status of defined benefit plan liabilities, net of taxes of $5</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976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976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2,995</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94</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(12,390)</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Cumulative effect of change in accounting principle</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(56)</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December 31, 2008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6,185</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4,558</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5,631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88</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(139,547)</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(4,381)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170</w:t>
            </w:r>
          </w:p>
        </w:tc>
        <w:tc>
          <w:tcPr>
            <w:tcW w:w="180" w:type="dxa"/>
            <w:vAlign w:val="bottom"/>
          </w:tcPr>
          <w:p>
            <w:pPr>
              <w:spacing w:after="0"/>
              <w:rPr>
                <w:sz w:val="7"/>
                <w:szCs w:val="7"/>
                <w:color w:val="auto"/>
              </w:rPr>
            </w:pP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170</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155</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3"/>
              </w:rPr>
              <w:t>Unrealized gains resulting from changes in fair values of derivative instruments,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net of taxes of $5</w:t>
            </w:r>
          </w:p>
        </w:tc>
        <w:tc>
          <w:tcPr>
            <w:tcW w:w="40" w:type="dxa"/>
            <w:vAlign w:val="bottom"/>
          </w:tcPr>
          <w:p>
            <w:pPr>
              <w:spacing w:after="0"/>
              <w:rPr>
                <w:sz w:val="8"/>
                <w:szCs w:val="8"/>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8</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8</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4"/>
              </w:rPr>
              <w:t>Realized gains on derivative instruments reclassified into earnings,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of $4</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(7)</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Unrealized losses on marketable securities, net of taxes of $1</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Translation adjustment of foreign currency statements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(23)</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(23)</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147</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147</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(143)</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(143)</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(26)</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1,189</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37</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March 31, 2009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6,193</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4,532</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5,642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67</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(138,356)</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(4,344)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290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manage and evaluate our principal operations through five operating Groups, of which four are organized by geographic area and one is organized by function. Our geographic operating Groups, which include our Eastern, Midwest, Southern and Western Groups, provide collection, transfer, recycling and disposal services. Our functional operating group is the Wheelabrator Group, which provides waste-to-energy services. We also provide additional waste management services that are not managed through our five Groups, which are presented in this report as “Other.” Additional information related to our segments, including changes in our basis of segmentation from December 31, 2008, can be found under “Reclassifications,” below, and in Note 9.</w:t>
      </w:r>
    </w:p>
    <w:p>
      <w:pPr>
        <w:spacing w:after="0" w:line="71"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months ended March 31, 2009 and 2008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2008.</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SFAS No. 157 </w:t>
      </w:r>
      <w:r>
        <w:rPr>
          <w:rFonts w:ascii="Arial" w:cs="Arial" w:eastAsia="Arial" w:hAnsi="Arial"/>
          <w:sz w:val="12"/>
          <w:szCs w:val="12"/>
          <w:color w:val="auto"/>
        </w:rPr>
        <w:t>— In September 2006, the Financial Accounting Standards Board issued SFAS No. 157,</w:t>
      </w:r>
      <w:r>
        <w:rPr>
          <w:rFonts w:ascii="Arial" w:cs="Arial" w:eastAsia="Arial" w:hAnsi="Arial"/>
          <w:sz w:val="12"/>
          <w:szCs w:val="12"/>
          <w:i w:val="1"/>
          <w:iCs w:val="1"/>
          <w:color w:val="auto"/>
        </w:rPr>
        <w:t xml:space="preserve"> Fair Value Measurements, </w:t>
      </w:r>
      <w:r>
        <w:rPr>
          <w:rFonts w:ascii="Arial" w:cs="Arial" w:eastAsia="Arial" w:hAnsi="Arial"/>
          <w:sz w:val="12"/>
          <w:szCs w:val="12"/>
          <w:color w:val="auto"/>
        </w:rPr>
        <w:t>which defines fair value, establishes a framework</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for measuring fair value, and expands disclosures about fair value measurements. In February 2008, the FASB issued Staff Position FAS 157-2, </w:t>
      </w:r>
      <w:r>
        <w:rPr>
          <w:rFonts w:ascii="Arial" w:cs="Arial" w:eastAsia="Arial" w:hAnsi="Arial"/>
          <w:sz w:val="12"/>
          <w:szCs w:val="12"/>
          <w:i w:val="1"/>
          <w:iCs w:val="1"/>
          <w:color w:val="auto"/>
        </w:rPr>
        <w:t>Effective Date of FASB Statement No. 157</w:t>
      </w:r>
      <w:r>
        <w:rPr>
          <w:rFonts w:ascii="Arial" w:cs="Arial" w:eastAsia="Arial" w:hAnsi="Arial"/>
          <w:sz w:val="12"/>
          <w:szCs w:val="12"/>
          <w:color w:val="auto"/>
        </w:rPr>
        <w:t>, which delayed the effective date of SFAS No. 157 for all non-financial assets and non-financial liabilities, except those that are measured at fair value on a recurring basis. Effective January 1, 2009, we adopted SFAS No. 157 with respect to non-financial assets and liabilities measured on a non-recurring basis. The application of the fair value framework established by SFAS No. 157 to these fair value measurements did not have a material impact on our consolidated financial position, results of operations or cash flows.</w:t>
      </w:r>
    </w:p>
    <w:p>
      <w:pPr>
        <w:spacing w:after="0" w:line="55"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i w:val="1"/>
          <w:iCs w:val="1"/>
          <w:color w:val="auto"/>
        </w:rPr>
        <w:t xml:space="preserve">SFAS No. 141(R) </w:t>
      </w:r>
      <w:r>
        <w:rPr>
          <w:rFonts w:ascii="Arial" w:cs="Arial" w:eastAsia="Arial" w:hAnsi="Arial"/>
          <w:sz w:val="13"/>
          <w:szCs w:val="13"/>
          <w:color w:val="auto"/>
        </w:rPr>
        <w:t>— In December 2007, the FASB issued SFAS No. 141 (revised 2007),</w:t>
      </w:r>
      <w:r>
        <w:rPr>
          <w:rFonts w:ascii="Arial" w:cs="Arial" w:eastAsia="Arial" w:hAnsi="Arial"/>
          <w:sz w:val="13"/>
          <w:szCs w:val="13"/>
          <w:i w:val="1"/>
          <w:iCs w:val="1"/>
          <w:color w:val="auto"/>
        </w:rPr>
        <w:t xml:space="preserve"> Business Combinations</w:t>
      </w:r>
      <w:r>
        <w:rPr>
          <w:rFonts w:ascii="Arial" w:cs="Arial" w:eastAsia="Arial" w:hAnsi="Arial"/>
          <w:sz w:val="13"/>
          <w:szCs w:val="13"/>
          <w:color w:val="auto"/>
        </w:rPr>
        <w:t>, which establishes principles for how the acquirer recognizes and</w:t>
      </w:r>
      <w:r>
        <w:rPr>
          <w:rFonts w:ascii="Arial" w:cs="Arial" w:eastAsia="Arial" w:hAnsi="Arial"/>
          <w:sz w:val="13"/>
          <w:szCs w:val="13"/>
          <w:i w:val="1"/>
          <w:iCs w:val="1"/>
          <w:color w:val="auto"/>
        </w:rPr>
        <w:t xml:space="preserve"> </w:t>
      </w:r>
      <w:r>
        <w:rPr>
          <w:rFonts w:ascii="Arial" w:cs="Arial" w:eastAsia="Arial" w:hAnsi="Arial"/>
          <w:sz w:val="13"/>
          <w:szCs w:val="13"/>
          <w:color w:val="auto"/>
        </w:rPr>
        <w:t>measures in the financial statements the identifiable assets acquired, the liabilities assumed, and any non-controlling interest in the acquiree. This statement also provides guidance for recognizing and measuring the goodwill acquired in the business combination and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00"/>
        <w:spacing w:after="0" w:line="282" w:lineRule="auto"/>
        <w:rPr>
          <w:sz w:val="20"/>
          <w:szCs w:val="20"/>
          <w:color w:val="auto"/>
        </w:rPr>
      </w:pPr>
      <w:r>
        <w:rPr>
          <w:rFonts w:ascii="Arial" w:cs="Arial" w:eastAsia="Arial" w:hAnsi="Arial"/>
          <w:sz w:val="12"/>
          <w:szCs w:val="12"/>
          <w:color w:val="auto"/>
        </w:rPr>
        <w:t>determines what information to disclose to enable users of the financial statements to evaluate the nature and financial effects of the business combination. Effective January 1, 2009, we adopted SFAS No. 141(R). The portions of the statement that relate to business combinations completed on or before January 1, 2009 did not have a material impact on our consolidated financial statements. Further, business combinations completed in the first quarter of 2009 were not material to our financial position, results of operations or cash flows. However, to the extent that future business combinations are material, our adoption of SFAS No. 141(R) will significantly impact our accounting and reporting for future acquisitions, principally as a result of (i) expanded requirements to value acquired assets, liabilities and contingencies at their fair values; and (ii) the requirement that acquisition-related transaction and restructuring costs be expensed as incurred rather than capitalized as a part of the cost of the acquisition.</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SFAS No. 160 </w:t>
      </w:r>
      <w:r>
        <w:rPr>
          <w:rFonts w:ascii="Arial" w:cs="Arial" w:eastAsia="Arial" w:hAnsi="Arial"/>
          <w:sz w:val="13"/>
          <w:szCs w:val="13"/>
          <w:color w:val="auto"/>
        </w:rPr>
        <w:t>— In December 2007, the FASB issued SFAS No. 160,</w:t>
      </w:r>
      <w:r>
        <w:rPr>
          <w:rFonts w:ascii="Arial" w:cs="Arial" w:eastAsia="Arial" w:hAnsi="Arial"/>
          <w:sz w:val="13"/>
          <w:szCs w:val="13"/>
          <w:i w:val="1"/>
          <w:iCs w:val="1"/>
          <w:color w:val="auto"/>
        </w:rPr>
        <w:t xml:space="preserve"> Noncontrolling Interests in Consolidated Financial Statements — an amendment of ARB No. 51</w:t>
      </w:r>
      <w:r>
        <w:rPr>
          <w:rFonts w:ascii="Arial" w:cs="Arial" w:eastAsia="Arial" w:hAnsi="Arial"/>
          <w:sz w:val="13"/>
          <w:szCs w:val="13"/>
          <w:color w:val="auto"/>
        </w:rPr>
        <w:t>, which</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establishes accounting and reporting standards for the noncontrolling interest in a subsidiary and for the deconsolidation of a subsidiary. The standard also establishes that a noncontrolling interest in a subsidiary is an ownership interest in the consolidated entity that should be reported as equity in the consolidated financial statements. We adopted SFAS No. 160 on January 1, 2009. The presentation and disclosure requirements of SFAS No. 160, which must be applied retrospectively for all periods presented, have resulted in reclassifications to our prior period consolidated financial information and the remeasurement of our 2008 effective tax rate.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Statement of Cash Flows </w:t>
      </w:r>
      <w:r>
        <w:rPr>
          <w:rFonts w:ascii="Arial" w:cs="Arial" w:eastAsia="Arial" w:hAnsi="Arial"/>
          <w:sz w:val="13"/>
          <w:szCs w:val="13"/>
          <w:color w:val="auto"/>
        </w:rPr>
        <w:t>— As a result of an increase in the significance of certain non-cash expenses, we have elected to separately identify the effects of “Interest accretion on</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liabilities,” “Interest accretion on and discount rate adjustments to environmental remediation liabilities and recovery assets” and “Equity-based compensation expense” within the “Cash flows from operating activities” section of our Condensed Consolidated Statements of Cash Flows. We have made reclassifications in our 2008 Condensed Consolidated Statements of Cash Flows to conform prior year information with our current period presentation.</w:t>
      </w:r>
    </w:p>
    <w:p>
      <w:pPr>
        <w:spacing w:after="0" w:line="7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Segments </w:t>
      </w:r>
      <w:r>
        <w:rPr>
          <w:rFonts w:ascii="Arial" w:cs="Arial" w:eastAsia="Arial" w:hAnsi="Arial"/>
          <w:sz w:val="13"/>
          <w:szCs w:val="13"/>
          <w:color w:val="auto"/>
        </w:rPr>
        <w:t>— During the first quarter of 2009, we transferred responsibility for the oversight of day-to-day recycling operations at our material recovery facilities and secondary</w:t>
      </w:r>
      <w:r>
        <w:rPr>
          <w:rFonts w:ascii="Arial" w:cs="Arial" w:eastAsia="Arial" w:hAnsi="Arial"/>
          <w:sz w:val="13"/>
          <w:szCs w:val="13"/>
          <w:i w:val="1"/>
          <w:iCs w:val="1"/>
          <w:color w:val="auto"/>
        </w:rPr>
        <w:t xml:space="preserve"> </w:t>
      </w:r>
      <w:r>
        <w:rPr>
          <w:rFonts w:ascii="Arial" w:cs="Arial" w:eastAsia="Arial" w:hAnsi="Arial"/>
          <w:sz w:val="13"/>
          <w:szCs w:val="13"/>
          <w:color w:val="auto"/>
        </w:rPr>
        <w:t>processing facilities to the management teams of our geographic Groups. We believe that by integrating the management of these aspects of our recycling operations with the remainder of our solid waste business we can ensure that we are focusing on maximizing the profitability and return on invested capital of all aspects of our business as well as more efficiently providing comprehensive environmental solutions to our customers.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 Refer to Note 9 for further discussion about our reportable segments.</w:t>
      </w:r>
    </w:p>
    <w:p>
      <w:pPr>
        <w:spacing w:after="0" w:line="76"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Certain other minor reclassifications have been made to our prior period consolidated financial information in order to conform to the current year presentation.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2009</w:t>
            </w: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3"/>
              </w:rPr>
              <w:t>December 31,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w w:val="95"/>
              </w:rPr>
              <w:t>Landfill</w:t>
            </w:r>
          </w:p>
        </w:tc>
        <w:tc>
          <w:tcPr>
            <w:tcW w:w="9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Environmental</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5"/>
              </w:rPr>
              <w:t>Landfill</w:t>
            </w:r>
          </w:p>
        </w:tc>
        <w:tc>
          <w:tcPr>
            <w:tcW w:w="100" w:type="dxa"/>
            <w:vAlign w:val="bottom"/>
          </w:tcPr>
          <w:p>
            <w:pPr>
              <w:spacing w:after="0"/>
              <w:rPr>
                <w:sz w:val="7"/>
                <w:szCs w:val="7"/>
                <w:color w:val="auto"/>
              </w:rPr>
            </w:pPr>
          </w:p>
        </w:tc>
        <w:tc>
          <w:tcPr>
            <w:tcW w:w="12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00" w:type="dxa"/>
            <w:vAlign w:val="bottom"/>
          </w:tcPr>
          <w:p>
            <w:pPr>
              <w:jc w:val="right"/>
              <w:ind w:right="10"/>
              <w:spacing w:after="0"/>
              <w:rPr>
                <w:sz w:val="20"/>
                <w:szCs w:val="20"/>
                <w:color w:val="auto"/>
              </w:rPr>
            </w:pPr>
            <w:r>
              <w:rPr>
                <w:rFonts w:ascii="Arial" w:cs="Arial" w:eastAsia="Arial" w:hAnsi="Arial"/>
                <w:sz w:val="10"/>
                <w:szCs w:val="10"/>
                <w:b w:val="1"/>
                <w:bCs w:val="1"/>
                <w:color w:val="auto"/>
              </w:rPr>
              <w:t>Remediation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1,128</w:t>
            </w:r>
          </w:p>
        </w:tc>
        <w:tc>
          <w:tcPr>
            <w:tcW w:w="9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234</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1,362</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1,236</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2008 and the three months ended March 31, 2009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March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$211 million at March 31, 2009, and is primarily included as long-term “Other assets” in our Condensed Consolidated Balance Sheet.</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debt at each balance sheet date (in millions) and provides the maturities and interest rates of each major category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31, 2009:</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2.4%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2.2% at March 31, 2009 and 3.3% at December 31, 2008)</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7"/>
              </w:rPr>
              <w:t>Senior notes and debentures, maturing through 2032, interest rates ranging from 5.0% to 7.75% (weighted average interest rate of 6.9% at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March 31, 2009 and 6.8% at December 31, 2008)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5,411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4,628</w:t>
            </w:r>
          </w:p>
        </w:tc>
        <w:tc>
          <w:tcPr>
            <w:tcW w:w="0" w:type="dxa"/>
            <w:vAlign w:val="bottom"/>
          </w:tcPr>
          <w:p>
            <w:pPr>
              <w:spacing w:after="0"/>
              <w:rPr>
                <w:sz w:val="1"/>
                <w:szCs w:val="1"/>
                <w:color w:val="auto"/>
              </w:rPr>
            </w:pPr>
          </w:p>
        </w:tc>
      </w:tr>
      <w:tr>
        <w:trPr>
          <w:trHeight w:val="149"/>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0.4% to 7.4% (weighted average interest rate of 3.7%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March 31, 2009 and 3.9% at December 31, 2008)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2029, fixed and variable interest rates ranging from</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0.4% to 9.3% (weighted average interest rate of 4.6% at March 31, 2009 and 4.9% at December 31, 2008)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8,789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8,096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March 31, 2009, we had $896 million of debt maturing within twelve months. We have classified $203 million of these borrowings as long-term as of March 31, 2009 based on our intent and ability to refinance these borrowings on a long-term basis.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2008 to March 31, 2009 are related to the following:</w:t>
      </w:r>
    </w:p>
    <w:p>
      <w:pPr>
        <w:spacing w:after="0" w:line="96"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We repaid $300 million of the outstanding borrowings with proceeds from the issuance of senior notes as discussed below.</w:t>
      </w:r>
    </w:p>
    <w:p>
      <w:pPr>
        <w:spacing w:after="0" w:line="86" w:lineRule="exact"/>
        <w:rPr>
          <w:rFonts w:ascii="Arial" w:cs="Arial" w:eastAsia="Arial" w:hAnsi="Arial"/>
          <w:sz w:val="13"/>
          <w:szCs w:val="13"/>
          <w:color w:val="auto"/>
        </w:rPr>
      </w:pPr>
    </w:p>
    <w:p>
      <w:pPr>
        <w:ind w:left="1280" w:right="100" w:hanging="190"/>
        <w:spacing w:after="0" w:line="260"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Approximately $102 million of advances matured and were renewed under the terms of the credit facility. The decrease in the carrying value of this</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 is due to currency translation adjustments, which were partially offset by the impact of interest accretion. As of March 31, 2009 and December 31, 2008, $203 million and $209 million, respectively, of these advances were classified as long-term based on our intent and ability to refinance the obligations on a long-term basis under the terms of the facility.</w:t>
      </w:r>
    </w:p>
    <w:p>
      <w:pPr>
        <w:spacing w:after="0" w:line="59" w:lineRule="exact"/>
        <w:rPr>
          <w:rFonts w:ascii="Arial" w:cs="Arial" w:eastAsia="Arial" w:hAnsi="Arial"/>
          <w:sz w:val="13"/>
          <w:szCs w:val="13"/>
          <w:color w:val="auto"/>
        </w:rPr>
      </w:pPr>
    </w:p>
    <w:p>
      <w:pPr>
        <w:ind w:left="1280" w:right="180" w:hanging="190"/>
        <w:spacing w:after="0" w:line="260"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February 2009, we issued $350 million of 6.375% senior notes due March 11, 2015 and $450 million of 7.375% senior notes due March 11, 2019. The net</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the debt issuance were $793 million. A portion of the proceeds from this offering was used to repay $300 million of outstanding borrowings under the revolving credit facility, with the remaining proceeds to be used to repay $500 million of 6.875% senior notes that mature in May 2009. Accordingly, the $500 million of 6.875% senior notes have been classified as current as of March 31, 2009.</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1280" w:right="940" w:hanging="190"/>
        <w:spacing w:after="0" w:line="258"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issued $30 million of tax-exempt bonds during the three months ended March 31, 2009. The proceeds from the issuance of the bonds were deposited</w:t>
      </w:r>
      <w:r>
        <w:rPr>
          <w:rFonts w:ascii="Arial" w:cs="Arial" w:eastAsia="Arial" w:hAnsi="Arial"/>
          <w:sz w:val="13"/>
          <w:szCs w:val="13"/>
          <w:i w:val="1"/>
          <w:iCs w:val="1"/>
          <w:color w:val="auto"/>
        </w:rPr>
        <w:t xml:space="preserve"> </w:t>
      </w:r>
      <w:r>
        <w:rPr>
          <w:rFonts w:ascii="Arial" w:cs="Arial" w:eastAsia="Arial" w:hAnsi="Arial"/>
          <w:sz w:val="13"/>
          <w:szCs w:val="13"/>
          <w:color w:val="auto"/>
        </w:rPr>
        <w:t>directly into a trust fund and may only be used for the specific purpose for which the money was raised, which is generally to finance expenditures for landfill construction and development, equipment, vehicles and facilities in support of our operations. Accordingly, the restricted funds provided by these financing activities have not been included in “New Borrowings” in our Condensed Consolidated Statement of Cash Flows. During the three months ended March 31, 2009, $41 million of our tax-exempt bonds were repaid with available cash.</w:t>
      </w:r>
    </w:p>
    <w:p>
      <w:pPr>
        <w:spacing w:after="0" w:line="145" w:lineRule="exact"/>
        <w:rPr>
          <w:rFonts w:ascii="Arial" w:cs="Arial" w:eastAsia="Arial" w:hAnsi="Arial"/>
          <w:sz w:val="13"/>
          <w:szCs w:val="13"/>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800" w:firstLine="399"/>
        <w:spacing w:after="0" w:line="322" w:lineRule="auto"/>
        <w:rPr>
          <w:sz w:val="20"/>
          <w:szCs w:val="20"/>
          <w:color w:val="auto"/>
        </w:rPr>
      </w:pPr>
      <w:r>
        <w:rPr>
          <w:rFonts w:ascii="Arial" w:cs="Arial" w:eastAsia="Arial" w:hAnsi="Arial"/>
          <w:sz w:val="11"/>
          <w:szCs w:val="11"/>
          <w:color w:val="auto"/>
        </w:rPr>
        <w:t>Our effective tax rate for the three months ended March 31, 2009 was 37.2% compared with 36.8% for the comparable prior year period. As a result of our adoption of SFAS No. 160, the measurement of our effective tax rate has changed from previous years. This change is a result of an increase in our “Income before income taxes” resulting from the exclusion of “Net income attributable to noncontrolling interests,” or what was previously referred to as “Minority interest” expense, from this measure. Our 2008 effective tax rate has been remeasured and reported in a manner consistent with the current measurement approach. Amounts reported as “Net income attributable to noncontrolling interests” are reported net of any applicable taxes.</w:t>
      </w:r>
    </w:p>
    <w:p>
      <w:pPr>
        <w:spacing w:after="0" w:line="39"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month periods ended March 31, 2009 and 2008 is primarily due to the unfavorable impact of state and local income taxes. For the three months ended March 31, 2008, the unfavorable impact of state and local income taxes was offset, in part, by the favorable impact of tax audit settlements, which reduced our provision for income taxes for the period by $6 million. Our provision for income taxes for the three months ended March 31, 2008 also included a $3 million tax benefit for the final true-up of our 2007 non-conventional fuel tax credits.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evaluate our effective tax rate at each interim period and adjust it accordingly as facts and circumstances warrant.</w:t>
      </w:r>
    </w:p>
    <w:p>
      <w:pPr>
        <w:spacing w:after="0" w:line="171"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was as follows (in millions):</w:t>
      </w:r>
    </w:p>
    <w:p>
      <w:pPr>
        <w:spacing w:after="0" w:line="98"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Three Months</w:t>
      </w:r>
    </w:p>
    <w:p>
      <w:pPr>
        <w:jc w:val="center"/>
        <w:ind w:left="8700"/>
        <w:spacing w:after="0" w:line="236" w:lineRule="auto"/>
        <w:rPr>
          <w:sz w:val="20"/>
          <w:szCs w:val="20"/>
          <w:color w:val="auto"/>
        </w:rPr>
      </w:pPr>
      <w:r>
        <w:rPr>
          <w:rFonts w:ascii="Arial" w:cs="Arial" w:eastAsia="Arial" w:hAnsi="Arial"/>
          <w:sz w:val="10"/>
          <w:szCs w:val="10"/>
          <w:b w:val="1"/>
          <w:bCs w:val="1"/>
          <w:color w:val="auto"/>
        </w:rPr>
        <w:t>Ended</w:t>
      </w:r>
    </w:p>
    <w:p>
      <w:pPr>
        <w:jc w:val="center"/>
        <w:ind w:left="870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4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$ 170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3"/>
                <w:szCs w:val="13"/>
                <w:color w:val="auto"/>
              </w:rPr>
              <w:t>Other comprehensive income (loss), net of taxes:</w:t>
            </w:r>
          </w:p>
        </w:tc>
        <w:tc>
          <w:tcPr>
            <w:tcW w:w="39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Unrealized gains resulting from changes in fair value of derivative instruments, net of taxes</w:t>
            </w:r>
          </w:p>
        </w:tc>
        <w:tc>
          <w:tcPr>
            <w:tcW w:w="46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40" w:type="dxa"/>
            <w:vAlign w:val="bottom"/>
          </w:tcPr>
          <w:p>
            <w:pPr>
              <w:ind w:left="140"/>
              <w:spacing w:after="0"/>
              <w:rPr>
                <w:sz w:val="20"/>
                <w:szCs w:val="20"/>
                <w:color w:val="auto"/>
              </w:rPr>
            </w:pPr>
            <w:r>
              <w:rPr>
                <w:rFonts w:ascii="Arial" w:cs="Arial" w:eastAsia="Arial" w:hAnsi="Arial"/>
                <w:sz w:val="13"/>
                <w:szCs w:val="13"/>
                <w:color w:val="auto"/>
              </w:rPr>
              <w:t>Realized gains on derivative instruments reclassified into earnings, net of taxes</w:t>
            </w:r>
          </w:p>
        </w:tc>
        <w:tc>
          <w:tcPr>
            <w:tcW w:w="4660" w:type="dxa"/>
            <w:vAlign w:val="bottom"/>
            <w:gridSpan w:val="3"/>
          </w:tcPr>
          <w:p>
            <w:pPr>
              <w:jc w:val="right"/>
              <w:ind w:right="360"/>
              <w:spacing w:after="0"/>
              <w:rPr>
                <w:sz w:val="20"/>
                <w:szCs w:val="20"/>
                <w:color w:val="auto"/>
              </w:rPr>
            </w:pPr>
            <w:r>
              <w:rPr>
                <w:rFonts w:ascii="Arial" w:cs="Arial" w:eastAsia="Arial" w:hAnsi="Arial"/>
                <w:sz w:val="13"/>
                <w:szCs w:val="13"/>
                <w:color w:val="auto"/>
              </w:rPr>
              <w:t>(7)</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on marketable securities, net of taxes</w:t>
            </w:r>
          </w:p>
        </w:tc>
        <w:tc>
          <w:tcPr>
            <w:tcW w:w="46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40" w:type="dxa"/>
            <w:vAlign w:val="bottom"/>
          </w:tcPr>
          <w:p>
            <w:pPr>
              <w:ind w:left="140"/>
              <w:spacing w:after="0"/>
              <w:rPr>
                <w:sz w:val="20"/>
                <w:szCs w:val="20"/>
                <w:color w:val="auto"/>
              </w:rPr>
            </w:pPr>
            <w:r>
              <w:rPr>
                <w:rFonts w:ascii="Arial" w:cs="Arial" w:eastAsia="Arial" w:hAnsi="Arial"/>
                <w:sz w:val="13"/>
                <w:szCs w:val="13"/>
                <w:color w:val="auto"/>
              </w:rPr>
              <w:t>Translation adjustment of foreign currency statements</w:t>
            </w:r>
          </w:p>
        </w:tc>
        <w:tc>
          <w:tcPr>
            <w:tcW w:w="396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(21)</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39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4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3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94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147</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Comprehensive income attributable to noncontrolling interests</w:t>
            </w:r>
          </w:p>
        </w:tc>
        <w:tc>
          <w:tcPr>
            <w:tcW w:w="39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40" w:type="dxa"/>
            <w:vAlign w:val="bottom"/>
            <w:vMerge w:val="restart"/>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$ 134</w:t>
            </w:r>
          </w:p>
        </w:tc>
        <w:tc>
          <w:tcPr>
            <w:tcW w:w="4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960" w:type="dxa"/>
            <w:vAlign w:val="bottom"/>
          </w:tcPr>
          <w:p>
            <w:pPr>
              <w:jc w:val="right"/>
              <w:ind w:right="3814"/>
              <w:spacing w:after="0"/>
              <w:rPr>
                <w:sz w:val="20"/>
                <w:szCs w:val="20"/>
                <w:color w:val="auto"/>
              </w:rPr>
            </w:pPr>
            <w:r>
              <w:rPr>
                <w:rFonts w:ascii="Arial" w:cs="Arial" w:eastAsia="Arial" w:hAnsi="Arial"/>
                <w:sz w:val="13"/>
                <w:szCs w:val="13"/>
                <w:color w:val="auto"/>
                <w:w w:val="82"/>
              </w:rPr>
              <w:t>9</w:t>
            </w: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94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accumulated other comprehensive income were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20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2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Accumulated unrealized loss on marketable securities, net of taxes</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r>
      <w:tr>
        <w:trPr>
          <w:trHeight w:val="20"/>
        </w:trPr>
        <w:tc>
          <w:tcPr>
            <w:tcW w:w="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00" w:type="dxa"/>
            <w:vAlign w:val="bottom"/>
            <w:shd w:val="clear" w:color="auto" w:fill="CCEEFF"/>
          </w:tcPr>
          <w:p>
            <w:pPr>
              <w:spacing w:after="0"/>
              <w:rPr>
                <w:sz w:val="14"/>
                <w:szCs w:val="14"/>
                <w:color w:val="auto"/>
              </w:rPr>
            </w:pPr>
          </w:p>
        </w:tc>
        <w:tc>
          <w:tcPr>
            <w:tcW w:w="76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r>
      <w:tr>
        <w:trPr>
          <w:trHeight w:val="333"/>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600" w:type="dxa"/>
            <w:vAlign w:val="bottom"/>
          </w:tcPr>
          <w:p>
            <w:pPr>
              <w:ind w:left="120"/>
              <w:spacing w:after="0"/>
              <w:rPr>
                <w:sz w:val="20"/>
                <w:szCs w:val="20"/>
                <w:color w:val="auto"/>
              </w:rPr>
            </w:pPr>
            <w:r>
              <w:rPr>
                <w:rFonts w:ascii="Arial" w:cs="Arial" w:eastAsia="Arial" w:hAnsi="Arial"/>
                <w:sz w:val="13"/>
                <w:szCs w:val="13"/>
                <w:b w:val="1"/>
                <w:bCs w:val="1"/>
                <w:color w:val="auto"/>
              </w:rPr>
              <w:t>Earnings Per Share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0" w:type="dxa"/>
            <w:vAlign w:val="bottom"/>
          </w:tcPr>
          <w:p>
            <w:pPr>
              <w:spacing w:after="0"/>
              <w:rPr>
                <w:sz w:val="21"/>
                <w:szCs w:val="21"/>
                <w:color w:val="auto"/>
              </w:rPr>
            </w:pPr>
          </w:p>
        </w:tc>
        <w:tc>
          <w:tcPr>
            <w:tcW w:w="7600" w:type="dxa"/>
            <w:vAlign w:val="bottom"/>
          </w:tcPr>
          <w:p>
            <w:pPr>
              <w:ind w:left="20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491.9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492.4</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Effect of using weighted average common shares outstanding</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491.8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496.0</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493.0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498.3</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and obtain insurance from a wholly-owned insurance company, the sole business of which is to issue policies for us. In those instances where our use of captive insurance is not allowed, we generally have available alternative bonding mechanisms.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Management does not expect to have any claims against or draws on these instruments that would have a material adverse effect on our consolidated financial statements and we have not experienced any unmanageable difficulty in obtaining the required financial assurance instruments for our current operations.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 known casualty, property, environmental or other contingency to have a material impact on our financial condition, results of operations or cash flows.</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March 31, 2009 include guarantees of unconsolidated entities’ financial obligations maturing through 2020 for maximum future payments of $12 million; agreements guaranteeing the market value of homeowners’ properties adjacent to landfills; and the guarantee of interest rate swap obligations of the funding entity in connection with our letter of credit facility. Our indemnification obligations generally provide that we will be responsible for liabilities associated with our operations for events that occurred prior to the sale of the operations.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costs directly associated with site investigation and clean up, such as materials and incremental internal costs directly related to the remedy.</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and its interpretations. If we used the high ends of such ranges, our aggregate potential liability would be approximately $110 million higher than the $284 million recorded in the Condensed Consolidated Financial Statements as of March 31, 2009. Our ongoing review of our remediation liabilities could result in revisions to our accruals that could cause upward or downward adjustments to income from operations. These adjustments could be material in any given period.</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As of March 31, 2009, we had been notified that we are a PRP in connection with 74 locations listed on the EPA’s National Priorities List, or NPL. Of the 74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60" w:firstLine="399"/>
        <w:spacing w:after="0" w:line="27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Waste Management Holdings, Inc., a wholly-owned subsidiary we acquired in 1998 (“WM Holdings”),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filed a lawsuit in the U.S. District Court for the District of Columbia in a case entitled </w:t>
      </w:r>
      <w:r>
        <w:rPr>
          <w:rFonts w:ascii="Arial" w:cs="Arial" w:eastAsia="Arial" w:hAnsi="Arial"/>
          <w:sz w:val="12"/>
          <w:szCs w:val="12"/>
          <w:i w:val="1"/>
          <w:iCs w:val="1"/>
          <w:color w:val="auto"/>
        </w:rPr>
        <w:t>William S. Harris, et al. v. James E. Koenig, et al</w:t>
      </w:r>
      <w:r>
        <w:rPr>
          <w:rFonts w:ascii="Arial" w:cs="Arial" w:eastAsia="Arial" w:hAnsi="Arial"/>
          <w:sz w:val="12"/>
          <w:szCs w:val="12"/>
          <w:color w:val="auto"/>
        </w:rPr>
        <w:t>. The lawsuit named as defendants WM Holdings and various members of WM Holdings’ Board of Directors prior to July 1998, and the Administrative Committee of WM Holdings’ ERISA plans and its individual members; various members of the Administrative and Investment Committees of WMI’s ERISA plans;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in April 2009, the Court granted in part and denied in part the defendants’ motions. The Court dismissed the plaintiffs’ claims that were based on alleged accounting irregularities by</w:t>
      </w:r>
    </w:p>
    <w:p>
      <w:pPr>
        <w:spacing w:after="0" w:line="2" w:lineRule="exact"/>
        <w:rPr>
          <w:sz w:val="20"/>
          <w:szCs w:val="20"/>
          <w:color w:val="auto"/>
        </w:rPr>
      </w:pPr>
    </w:p>
    <w:p>
      <w:pPr>
        <w:jc w:val="both"/>
        <w:ind w:left="680" w:right="20"/>
        <w:spacing w:after="0" w:line="298" w:lineRule="auto"/>
        <w:rPr>
          <w:sz w:val="20"/>
          <w:szCs w:val="20"/>
          <w:color w:val="auto"/>
        </w:rPr>
      </w:pPr>
      <w:r>
        <w:rPr>
          <w:rFonts w:ascii="Arial" w:cs="Arial" w:eastAsia="Arial" w:hAnsi="Arial"/>
          <w:sz w:val="11"/>
          <w:szCs w:val="11"/>
          <w:color w:val="auto"/>
        </w:rPr>
        <w:t>WM Holdings for the time period between January 1990 and February 1998. However, the Court denied defendants’ motion to dismiss plaintiffs’ claims alleging breaches of fiduciary duties against all of the defendants during the time period between July 1999 and December 1999 based on defendants allowing the WM Holdings ERISA plan to participate in the settlement of the securities class action against WM Holdings. Each of Mr. Pope, Mr. Rothmeier and Ms. San Juan Cafferty, members of our Board of Directors, was a member of the WM Holdings’ Board of Directors and therefore is a named defendant in these actions, as is Mr. Simpson, our Chief Financial Officer, by virtue of his membership on the WMI ERISA plan Investment Committee.</w:t>
      </w:r>
    </w:p>
    <w:p>
      <w:pPr>
        <w:spacing w:after="0" w:line="1" w:lineRule="exact"/>
        <w:rPr>
          <w:sz w:val="20"/>
          <w:szCs w:val="20"/>
          <w:color w:val="auto"/>
        </w:rPr>
      </w:pPr>
    </w:p>
    <w:p>
      <w:pPr>
        <w:jc w:val="both"/>
        <w:ind w:left="680" w:right="40"/>
        <w:spacing w:after="0" w:line="264" w:lineRule="auto"/>
        <w:rPr>
          <w:sz w:val="20"/>
          <w:szCs w:val="20"/>
          <w:color w:val="auto"/>
        </w:rPr>
      </w:pPr>
      <w:r>
        <w:rPr>
          <w:rFonts w:ascii="Arial" w:cs="Arial" w:eastAsia="Arial" w:hAnsi="Arial"/>
          <w:sz w:val="13"/>
          <w:szCs w:val="13"/>
          <w:color w:val="auto"/>
        </w:rPr>
        <w:t>The Court also denied the defendants’ motion for dismissal for the claims during the time period between February 2002 and July 2002 against State Street for failing to adequately represent the plaintiffs’ interests in the settlement of the securities class action against WMI. All of the defendants intend to defend themselves vigorously.</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two separate wage and hour lawsuits pending against certain of our subsidiaries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Similarly, a purported class action lawsuit was filed against WMI in August 2008 in federal court in Minnesota alleging that we violated the Fair Labor Standards Act. We deny the claims in all of the actions and intend to vigorously defend all of these matters. As these matters are in the early stages of the legal process, and given the inherent uncertainties of litigation, the ultimate outcomes cannot be predicted at this time, nor can possible damages, if any, be reasonably estimated.</w:t>
      </w:r>
    </w:p>
    <w:p>
      <w:pPr>
        <w:spacing w:after="0" w:line="72"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some are covered in part by insurance. We currently do not believe that any such actions will ultimately have a material adverse impact on our consolidated financial statements.</w:t>
      </w:r>
    </w:p>
    <w:p>
      <w:pPr>
        <w:spacing w:after="0" w:line="108"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 xml:space="preserve">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that may be brought against its former or current officers, directors and employees.</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March 20, 2008, we filed a lawsuit in state district court in Harris County, Texas against SAP AG and SAP America, Inc., alleging fraud and breach of contract. The lawsuit relates to our 2005 software license from SAP for a waste and recycling revenue management system and agreement for SAP to implement the software on a fixed-fee basis. We have alleged that SAP demonstrated and sold software that SAP represented was a mature, “out-of-the-box” software solution that met the specific business requirements of the Company, that no production, modification or customization would be necessary and that the software would be fully implemented throughout the Company in 18 months. We are pursuing all legal remedies, including recovery of all payments we have made, costs we have incurred and the benefits we have not realized. SAP filed a general denial to the suit. Discovery is ongoing and we have been assigned a trial date of March 2010. We are vigorously pursuing all claims available.</w:t>
      </w:r>
    </w:p>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and immaturity of the SAP software, we determined to abandon any alternative that includes the use of the SAP software. Our determination to abandon the SAP software resulted in a non-cash impairment charge of $49 million. Refer to Note 10 for additional information related to the impairment charge.</w:t>
      </w:r>
    </w:p>
    <w:p>
      <w:pPr>
        <w:spacing w:after="0" w:line="7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matter, pending as of March 31, 2009, is disclosed in accordance with that requirement:</w:t>
      </w:r>
    </w:p>
    <w:p>
      <w:pPr>
        <w:spacing w:after="0" w:line="12" w:lineRule="exact"/>
        <w:rPr>
          <w:sz w:val="20"/>
          <w:szCs w:val="20"/>
          <w:color w:val="auto"/>
        </w:rPr>
      </w:pPr>
    </w:p>
    <w:p>
      <w:pPr>
        <w:jc w:val="both"/>
        <w:ind w:left="680" w:right="60" w:firstLine="399"/>
        <w:spacing w:after="0" w:line="322" w:lineRule="auto"/>
        <w:rPr>
          <w:sz w:val="20"/>
          <w:szCs w:val="20"/>
          <w:color w:val="auto"/>
        </w:rPr>
      </w:pPr>
      <w:r>
        <w:rPr>
          <w:rFonts w:ascii="Arial" w:cs="Arial" w:eastAsia="Arial" w:hAnsi="Arial"/>
          <w:sz w:val="11"/>
          <w:szCs w:val="11"/>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We are currently in the examination phase of an IRS audit for the 2008 tax year. We expect this audit to be completed within the next nine months. Audits associated</w:t>
      </w:r>
      <w:r>
        <w:rPr>
          <w:rFonts w:ascii="Arial" w:cs="Arial" w:eastAsia="Arial" w:hAnsi="Arial"/>
          <w:sz w:val="12"/>
          <w:szCs w:val="12"/>
          <w:i w:val="1"/>
          <w:iCs w:val="1"/>
          <w:color w:val="auto"/>
        </w:rPr>
        <w:t xml:space="preserve"> </w:t>
      </w:r>
      <w:r>
        <w:rPr>
          <w:rFonts w:ascii="Arial" w:cs="Arial" w:eastAsia="Arial" w:hAnsi="Arial"/>
          <w:sz w:val="12"/>
          <w:szCs w:val="12"/>
          <w:color w:val="auto"/>
        </w:rPr>
        <w:t>with state and local jurisdictions date back to 1999 and examinations associated with Canada date back to 1998.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3"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have approximately $2.9 billion of tax-exempt financings as of March 31, 2009. Tax-exempt financings are structured pursuant to certain terms and conditions of the Internal Revenue Code, which exempt from taxation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interest income earned by the bondholders in the transactions. The requirements of the Code are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w:t>
      </w:r>
    </w:p>
    <w:p>
      <w:pPr>
        <w:spacing w:after="0" w:line="144"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Our principal operations are managed through our Groups, which are discussed in Note 9. Each of our geographic Groups had been further divided into several Market Areas. As a result of our restructuring, the 45 separate Market Areas that we previously operated have been consolidated into 25 Areas. We have found that our larger Market Areas generally were able to achieve efficiencies through economies of scale that were not present in our smaller Market Areas, and believe that this reorganization will allow us to lower costs and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geographic Groups. By integrating the management of these recycling services with the remainder of our solid waste business, we have significantly reduced the overhead costs associated with managing this portion of our business and have increased the geographic Groups’ focus on maximizing the profitability and return on invested capital of all aspects of our business as well as more efficiently providing comprehensive environmental solutions to our customers.</w:t>
      </w:r>
    </w:p>
    <w:p>
      <w:pPr>
        <w:spacing w:after="0" w:line="7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This reorganization has eliminated over 1,300 employee positions throughout the Company. During the first quarter of 2009, we recognized a $38 million pre-tax restructuring charge associated with this reorganization, $36 million of which was related to employee severance and benefit costs. The remaining charge was primarily related to abandoned operating lease agreements. The following table summarizes the charge recognized for this restructuring by each of our current reportable segments and our Corporate organization (in millions):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Corporate</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r>
        <w:trPr>
          <w:trHeight w:val="20"/>
        </w:trPr>
        <w:tc>
          <w:tcPr>
            <w:tcW w:w="9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38</w:t>
            </w:r>
          </w:p>
        </w:tc>
      </w:tr>
      <w:tr>
        <w:trPr>
          <w:trHeight w:val="29"/>
        </w:trPr>
        <w:tc>
          <w:tcPr>
            <w:tcW w:w="9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Through March 31, 2009, we had paid approximately $12 million of the employee severance and benefit costs incurred as a result of this restructuring. The length of time we are obligated to make severance payments varies, with the longest obligation continuing through the third quarter of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expect to incur additional restructuring charges of between $5 million and $15 million associated with this reorganization during 2009.</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five operating Groups are presented herein as “Other.”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a result of the transfer of responsibility for the oversight of day-to-day recycling operations at our material recovery facilities and secondary processing facilities to the management teams of our geographic Groups,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 As of December 31, 2008, $94 million, $88 million, $104 million and $58 million of recycling assets were transferred to our Eastern, Midwest, Southern and Western Groups, respectively. The remaining $135 million of our recycling assets as of December 31, 2008, which primarily included trade accounts receivable, have been reclassified for reporting purposes to our “Other” operations.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months ended March 31 is shown in the following tables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2009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3,264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2008</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797</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805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3,781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3,266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3,781</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-2121535</wp:posOffset>
            </wp:positionV>
            <wp:extent cx="3111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Fluctuations in our operating results between quarters may be caused by many factors, including period-to-period changes in the relative contribution of revenue by each line of business and operating segment and general economic conditions. During the periods presented, the comparability of the revenue and operating results of our geographic Groups has been significantly affected by (i) the continued economic downturn, which resulted in a decrease in our revenues from the first quarter of 2008 to the first quarter of 2009 due to reduced consumer and business spending; (ii) sharply lower recycling commodities prices when comparing the first quarter of 2009 with the first quarter of 2008; (iii) our continued focus on pricing, which continues to increase our revenues and the operating margins of our collection line of business; and (iv) a 38% decline in diesel fuel prices, which resulted in a decline in both revenues and operating expenses when comparing the first quarter of 2009 with the first quarter of 2008. As disclosed in Note 8, the income from operations of each of our geographic Groups for the three months ended March 31, 2009 has also been affected by our January 2009 reorganization.</w:t>
      </w:r>
    </w:p>
    <w:p>
      <w:pPr>
        <w:spacing w:after="0" w:line="5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20"/>
        <w:spacing w:after="0" w:line="285" w:lineRule="auto"/>
        <w:rPr>
          <w:sz w:val="20"/>
          <w:szCs w:val="20"/>
          <w:color w:val="auto"/>
        </w:rPr>
      </w:pPr>
      <w:r>
        <w:rPr>
          <w:rFonts w:ascii="Arial" w:cs="Arial" w:eastAsia="Arial" w:hAnsi="Arial"/>
          <w:sz w:val="12"/>
          <w:szCs w:val="12"/>
          <w:color w:val="auto"/>
        </w:rPr>
        <w:t>increase during the summer months. Our second and third quarter revenues and results of operations typically reflect these seasonal trends. Additionally, certain destructive weather conditions that tend to occur during the second half of the year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0"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associated with the general efforts of integrating a revenue management system with our existing applications and hardware.</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a failed pilot implementation of the software in one of our smallest market areas, the development efforts associated with this revenue management system were suspended in 2007. As disclosed in Note 7, in March 2008, we filed suit against SAP and have been assigned a trial date of March 2010.</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During the first quarter of 2009, we determined that we plan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includes the use of the SAP software. Our determination to abandon the SAP software resulted in a non-cash impairment charge of $49 million.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59"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March 31, 2009, our assets that are measured at fair value on a recurring basis include the following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00" w:type="dxa"/>
            <w:vAlign w:val="bottom"/>
            <w:gridSpan w:val="2"/>
          </w:tcPr>
          <w:p>
            <w:pPr>
              <w:ind w:left="140"/>
              <w:spacing w:after="0"/>
              <w:rPr>
                <w:sz w:val="20"/>
                <w:szCs w:val="20"/>
                <w:color w:val="auto"/>
              </w:rPr>
            </w:pPr>
            <w:r>
              <w:rPr>
                <w:rFonts w:ascii="Arial" w:cs="Arial" w:eastAsia="Arial" w:hAnsi="Arial"/>
                <w:sz w:val="13"/>
                <w:szCs w:val="13"/>
                <w:color w:val="auto"/>
              </w:rPr>
              <w:t>Cash equivalents(a)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927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927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Available-for-sale securities(b)</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gridSpan w:val="2"/>
          </w:tcPr>
          <w:p>
            <w:pPr>
              <w:ind w:left="140"/>
              <w:spacing w:after="0"/>
              <w:rPr>
                <w:sz w:val="20"/>
                <w:szCs w:val="20"/>
                <w:color w:val="auto"/>
              </w:rPr>
            </w:pPr>
            <w:r>
              <w:rPr>
                <w:rFonts w:ascii="Arial" w:cs="Arial" w:eastAsia="Arial" w:hAnsi="Arial"/>
                <w:sz w:val="13"/>
                <w:szCs w:val="13"/>
                <w:color w:val="auto"/>
              </w:rPr>
              <w:t>Interest rate derivatives(c),(d)</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 currency derivatives(e)</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gridSpan w:val="2"/>
          </w:tcPr>
          <w:p>
            <w:pPr>
              <w:ind w:left="140"/>
              <w:spacing w:after="0"/>
              <w:rPr>
                <w:sz w:val="20"/>
                <w:szCs w:val="20"/>
                <w:color w:val="auto"/>
              </w:rPr>
            </w:pPr>
            <w:r>
              <w:rPr>
                <w:rFonts w:ascii="Arial" w:cs="Arial" w:eastAsia="Arial" w:hAnsi="Arial"/>
                <w:sz w:val="13"/>
                <w:szCs w:val="13"/>
                <w:color w:val="auto"/>
              </w:rPr>
              <w:t>Environmental remediation recovery assets(f)</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1,422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cash equivalents consist primarily of money market funds that invest in United States government obligations with original maturities of three months or less.</w:t>
      </w:r>
    </w:p>
    <w:p>
      <w:pPr>
        <w:spacing w:after="0" w:line="47" w:lineRule="exact"/>
        <w:rPr>
          <w:rFonts w:ascii="Arial" w:cs="Arial" w:eastAsia="Arial" w:hAnsi="Arial"/>
          <w:sz w:val="13"/>
          <w:szCs w:val="13"/>
          <w:color w:val="auto"/>
        </w:rPr>
      </w:pPr>
    </w:p>
    <w:p>
      <w:pPr>
        <w:ind w:left="1080" w:right="840" w:hanging="393"/>
        <w:spacing w:after="0" w:line="276"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assets include (i) restricted trusts and escrow accounts invested in money market mutual funds; (ii) restricted trusts and escrow accounts invested in equity-based mutual funds; and (iii) other equity securities.</w:t>
      </w:r>
    </w:p>
    <w:p>
      <w:pPr>
        <w:spacing w:after="0" w:line="10" w:lineRule="exact"/>
        <w:rPr>
          <w:rFonts w:ascii="Arial" w:cs="Arial" w:eastAsia="Arial" w:hAnsi="Arial"/>
          <w:sz w:val="13"/>
          <w:szCs w:val="13"/>
          <w:color w:val="auto"/>
        </w:rPr>
      </w:pPr>
    </w:p>
    <w:p>
      <w:pPr>
        <w:ind w:left="1080" w:right="800" w:hanging="393"/>
        <w:spacing w:after="0" w:line="260"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use interest rate swaps to maintain a strategic portion of our debt obligations at variable, market-driven interest rates. As of March 31, 2009, we have approximately $5.3 billion in fixed-rate senior notes outstanding. The interest payments on $2.0 billion of these senior notes have been swapped to variable interest rates to protect the debt against changes in fair value due to changes in benchmark interest rates. We have designated our interest rate swaps as fair value hedges of our fixed-rate senior notes. The following table summarizes the impact of our interest rate derivatives on our balance sheet as of March 31, 2009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5"/>
        </w:trPr>
        <w:tc>
          <w:tcPr>
            <w:tcW w:w="670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2200" w:type="dxa"/>
            <w:vAlign w:val="bottom"/>
          </w:tcPr>
          <w:p>
            <w:pPr>
              <w:ind w:left="58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39"/>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8"/>
        </w:trPr>
        <w:tc>
          <w:tcPr>
            <w:tcW w:w="670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spacing w:after="0"/>
              <w:rPr>
                <w:sz w:val="20"/>
                <w:szCs w:val="20"/>
                <w:color w:val="auto"/>
              </w:rPr>
            </w:pPr>
            <w:r>
              <w:rPr>
                <w:rFonts w:ascii="Arial" w:cs="Arial" w:eastAsia="Arial" w:hAnsi="Arial"/>
                <w:sz w:val="13"/>
                <w:szCs w:val="13"/>
                <w:color w:val="auto"/>
              </w:rPr>
              <w:t>Current other assets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5"/>
        </w:trPr>
        <w:tc>
          <w:tcPr>
            <w:tcW w:w="670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spacing w:after="0"/>
              <w:rPr>
                <w:sz w:val="20"/>
                <w:szCs w:val="20"/>
                <w:color w:val="auto"/>
              </w:rPr>
            </w:pPr>
            <w:r>
              <w:rPr>
                <w:rFonts w:ascii="Arial" w:cs="Arial" w:eastAsia="Arial" w:hAnsi="Arial"/>
                <w:sz w:val="13"/>
                <w:szCs w:val="13"/>
                <w:color w:val="auto"/>
              </w:rPr>
              <w:t>Long-term other assets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82</w:t>
            </w:r>
          </w:p>
        </w:tc>
      </w:tr>
    </w:tbl>
    <w:p>
      <w:pPr>
        <w:spacing w:after="0" w:line="81" w:lineRule="exact"/>
        <w:rPr>
          <w:sz w:val="20"/>
          <w:szCs w:val="20"/>
          <w:color w:val="auto"/>
        </w:rPr>
      </w:pPr>
    </w:p>
    <w:p>
      <w:pPr>
        <w:ind w:left="1080" w:right="880"/>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 attributable to interest rate risk are recognized in current earnings. We include gains and losses on derivative instruments in the same financial statement line item as offsetting gains and losses on the related hedged items. The following table summarizes the impact of changes in the fair value of our derivatives and the underlying hedged items on our results of operations for the three months ended March 31, 2009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20" w:type="dxa"/>
            <w:vAlign w:val="bottom"/>
            <w:gridSpan w:val="2"/>
          </w:tcPr>
          <w:p>
            <w:pPr>
              <w:spacing w:after="0"/>
              <w:rPr>
                <w:sz w:val="20"/>
                <w:szCs w:val="20"/>
                <w:color w:val="auto"/>
              </w:rPr>
            </w:pPr>
            <w:r>
              <w:rPr>
                <w:rFonts w:ascii="Arial" w:cs="Arial" w:eastAsia="Arial" w:hAnsi="Arial"/>
                <w:sz w:val="10"/>
                <w:szCs w:val="10"/>
                <w:b w:val="1"/>
                <w:bCs w:val="1"/>
                <w:color w:val="auto"/>
              </w:rPr>
              <w:t>Statement of Operations</w:t>
            </w:r>
          </w:p>
        </w:tc>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Gain (Loss) on</w:t>
            </w:r>
          </w:p>
        </w:tc>
        <w:tc>
          <w:tcPr>
            <w:tcW w:w="140" w:type="dxa"/>
            <w:vAlign w:val="bottom"/>
          </w:tcPr>
          <w:p>
            <w:pPr>
              <w:spacing w:after="0"/>
              <w:rPr>
                <w:sz w:val="10"/>
                <w:szCs w:val="10"/>
                <w:color w:val="auto"/>
              </w:rPr>
            </w:pPr>
          </w:p>
        </w:tc>
        <w:tc>
          <w:tcPr>
            <w:tcW w:w="1940" w:type="dxa"/>
            <w:vAlign w:val="bottom"/>
            <w:gridSpan w:val="2"/>
          </w:tcPr>
          <w:p>
            <w:pPr>
              <w:jc w:val="center"/>
              <w:ind w:right="1040"/>
              <w:spacing w:after="0"/>
              <w:rPr>
                <w:sz w:val="20"/>
                <w:szCs w:val="20"/>
                <w:color w:val="auto"/>
              </w:rPr>
            </w:pPr>
            <w:r>
              <w:rPr>
                <w:rFonts w:ascii="Arial" w:cs="Arial" w:eastAsia="Arial" w:hAnsi="Arial"/>
                <w:sz w:val="10"/>
                <w:szCs w:val="10"/>
                <w:b w:val="1"/>
                <w:bCs w:val="1"/>
                <w:color w:val="auto"/>
                <w:w w:val="94"/>
              </w:rPr>
              <w:t>Gain (Loss) on</w:t>
            </w:r>
          </w:p>
        </w:tc>
      </w:tr>
      <w:tr>
        <w:trPr>
          <w:trHeight w:val="135"/>
        </w:trPr>
        <w:tc>
          <w:tcPr>
            <w:tcW w:w="680" w:type="dxa"/>
            <w:vAlign w:val="bottom"/>
          </w:tcPr>
          <w:p>
            <w:pPr>
              <w:spacing w:after="0"/>
              <w:rPr>
                <w:sz w:val="11"/>
                <w:szCs w:val="11"/>
                <w:color w:val="auto"/>
              </w:rPr>
            </w:pPr>
          </w:p>
        </w:tc>
        <w:tc>
          <w:tcPr>
            <w:tcW w:w="3020" w:type="dxa"/>
            <w:vAlign w:val="bottom"/>
            <w:gridSpan w:val="2"/>
          </w:tcPr>
          <w:p>
            <w:pPr>
              <w:spacing w:after="0"/>
              <w:rPr>
                <w:sz w:val="20"/>
                <w:szCs w:val="20"/>
                <w:color w:val="auto"/>
              </w:rPr>
            </w:pPr>
            <w:r>
              <w:rPr>
                <w:rFonts w:ascii="Arial" w:cs="Arial" w:eastAsia="Arial" w:hAnsi="Arial"/>
                <w:sz w:val="10"/>
                <w:szCs w:val="10"/>
                <w:b w:val="1"/>
                <w:bCs w:val="1"/>
                <w:color w:val="auto"/>
              </w:rPr>
              <w:t>Classification</w:t>
            </w:r>
          </w:p>
        </w:tc>
        <w:tc>
          <w:tcPr>
            <w:tcW w:w="4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Swap</w:t>
            </w:r>
          </w:p>
        </w:tc>
        <w:tc>
          <w:tcPr>
            <w:tcW w:w="140" w:type="dxa"/>
            <w:vAlign w:val="bottom"/>
          </w:tcPr>
          <w:p>
            <w:pPr>
              <w:spacing w:after="0"/>
              <w:rPr>
                <w:sz w:val="11"/>
                <w:szCs w:val="11"/>
                <w:color w:val="auto"/>
              </w:rPr>
            </w:pPr>
          </w:p>
        </w:tc>
        <w:tc>
          <w:tcPr>
            <w:tcW w:w="1940" w:type="dxa"/>
            <w:vAlign w:val="bottom"/>
            <w:gridSpan w:val="2"/>
          </w:tcPr>
          <w:p>
            <w:pPr>
              <w:jc w:val="center"/>
              <w:ind w:right="1040"/>
              <w:spacing w:after="0"/>
              <w:rPr>
                <w:sz w:val="20"/>
                <w:szCs w:val="20"/>
                <w:color w:val="auto"/>
              </w:rPr>
            </w:pPr>
            <w:r>
              <w:rPr>
                <w:rFonts w:ascii="Arial" w:cs="Arial" w:eastAsia="Arial" w:hAnsi="Arial"/>
                <w:sz w:val="10"/>
                <w:szCs w:val="10"/>
                <w:b w:val="1"/>
                <w:bCs w:val="1"/>
                <w:color w:val="auto"/>
                <w:w w:val="97"/>
              </w:rPr>
              <w:t>Fixed-Rate Debt</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68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4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940" w:type="dxa"/>
            <w:vAlign w:val="bottom"/>
            <w:gridSpan w:val="2"/>
          </w:tcPr>
          <w:p>
            <w:pPr>
              <w:jc w:val="right"/>
              <w:ind w:right="900"/>
              <w:spacing w:after="0"/>
              <w:rPr>
                <w:sz w:val="20"/>
                <w:szCs w:val="20"/>
                <w:color w:val="auto"/>
              </w:rPr>
            </w:pPr>
            <w:r>
              <w:rPr>
                <w:rFonts w:ascii="Arial" w:cs="Arial" w:eastAsia="Arial" w:hAnsi="Arial"/>
                <w:sz w:val="13"/>
                <w:szCs w:val="13"/>
                <w:color w:val="auto"/>
              </w:rPr>
              <w:t>9</w:t>
            </w:r>
          </w:p>
        </w:tc>
      </w:tr>
      <w:tr>
        <w:trPr>
          <w:trHeight w:val="44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180" w:type="dxa"/>
            <w:vAlign w:val="bottom"/>
          </w:tcPr>
          <w:p>
            <w:pPr>
              <w:jc w:val="right"/>
              <w:ind w:right="2074"/>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left="1080" w:right="100" w:hanging="393"/>
        <w:spacing w:after="0" w:line="264" w:lineRule="auto"/>
        <w:tabs>
          <w:tab w:leader="none" w:pos="10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derivative instruments in net liability positions. We do not have any derivative instruments with credit-risk-related contingent features that are in a net liability position at March 31, 2009.</w:t>
      </w:r>
    </w:p>
    <w:p>
      <w:pPr>
        <w:spacing w:after="0" w:line="17" w:lineRule="exact"/>
        <w:rPr>
          <w:rFonts w:ascii="Arial" w:cs="Arial" w:eastAsia="Arial" w:hAnsi="Arial"/>
          <w:sz w:val="13"/>
          <w:szCs w:val="13"/>
          <w:color w:val="auto"/>
        </w:rPr>
      </w:pPr>
    </w:p>
    <w:p>
      <w:pPr>
        <w:ind w:left="1080" w:right="40" w:hanging="393"/>
        <w:spacing w:after="0" w:line="285" w:lineRule="auto"/>
        <w:tabs>
          <w:tab w:leader="none" w:pos="10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use foreign currency exchange rate derivatives to hedge our exposure to changes in exchange rates for anticipated intercompany cash transactions between WM Holdings and its Canadian subsidiaries. As of March 31, 2009, we have foreign currency forward contracts outstanding for all of our anticipated cash flows associated with an outstanding debt arrangement with these wholly-owned subsidiaries. The hedged cash flows include $370 million of principal payments, which are scheduled for December 31, 2010, and $44 million of total interest payments scheduled for December 31, 2009 and December 31, 2010. We have designated our foreign currency derivatives as cash flow hedges. The following table summarizes the impact of our foreign currency derivatives on our balance sheet as of March 31, 2009 (in millions):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5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5"/>
        </w:trPr>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5060" w:type="dxa"/>
            <w:vAlign w:val="bottom"/>
          </w:tcPr>
          <w:p>
            <w:pPr>
              <w:ind w:left="3660"/>
              <w:spacing w:after="0"/>
              <w:rPr>
                <w:sz w:val="20"/>
                <w:szCs w:val="20"/>
                <w:color w:val="auto"/>
              </w:rPr>
            </w:pPr>
            <w:r>
              <w:rPr>
                <w:rFonts w:ascii="Arial" w:cs="Arial" w:eastAsia="Arial" w:hAnsi="Arial"/>
                <w:sz w:val="10"/>
                <w:szCs w:val="10"/>
                <w:b w:val="1"/>
                <w:bCs w:val="1"/>
                <w:color w:val="auto"/>
              </w:rPr>
              <w:t>Balance Sheet Location</w:t>
            </w:r>
          </w:p>
        </w:tc>
        <w:tc>
          <w:tcPr>
            <w:tcW w:w="80" w:type="dxa"/>
            <w:vAlign w:val="bottom"/>
          </w:tcPr>
          <w:p>
            <w:pPr>
              <w:spacing w:after="0"/>
              <w:rPr>
                <w:sz w:val="11"/>
                <w:szCs w:val="11"/>
                <w:color w:val="auto"/>
              </w:rPr>
            </w:pPr>
          </w:p>
        </w:tc>
        <w:tc>
          <w:tcPr>
            <w:tcW w:w="600" w:type="dxa"/>
            <w:vAlign w:val="bottom"/>
          </w:tcPr>
          <w:p>
            <w:pPr>
              <w:jc w:val="right"/>
              <w:ind w:right="39"/>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8"/>
        </w:trPr>
        <w:tc>
          <w:tcPr>
            <w:tcW w:w="414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5060" w:type="dxa"/>
            <w:vAlign w:val="bottom"/>
          </w:tcPr>
          <w:p>
            <w:pPr>
              <w:ind w:left="2560"/>
              <w:spacing w:after="0"/>
              <w:rPr>
                <w:sz w:val="20"/>
                <w:szCs w:val="20"/>
                <w:color w:val="auto"/>
              </w:rPr>
            </w:pPr>
            <w:r>
              <w:rPr>
                <w:rFonts w:ascii="Arial" w:cs="Arial" w:eastAsia="Arial" w:hAnsi="Arial"/>
                <w:sz w:val="13"/>
                <w:szCs w:val="13"/>
                <w:color w:val="auto"/>
              </w:rPr>
              <w:t>Current other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65"/>
        </w:trPr>
        <w:tc>
          <w:tcPr>
            <w:tcW w:w="414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5060" w:type="dxa"/>
            <w:vAlign w:val="bottom"/>
          </w:tcPr>
          <w:p>
            <w:pPr>
              <w:ind w:left="2560"/>
              <w:spacing w:after="0"/>
              <w:rPr>
                <w:sz w:val="20"/>
                <w:szCs w:val="20"/>
                <w:color w:val="auto"/>
              </w:rPr>
            </w:pPr>
            <w:r>
              <w:rPr>
                <w:rFonts w:ascii="Arial" w:cs="Arial" w:eastAsia="Arial" w:hAnsi="Arial"/>
                <w:sz w:val="13"/>
                <w:szCs w:val="13"/>
                <w:color w:val="auto"/>
              </w:rPr>
              <w:t>Long-term other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-229235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1080"/>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 attributable to foreign currency exchange risk are recognized in current earnings. We include gains and losses on derivative instruments in the same financial statement line item as offsetting gains and losses on the related hedged items. The following table summarizes the impact of our cash flow derivatives on our results of operations and comprehensive income for the three months ended March 31, 2009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in</w:t>
            </w:r>
          </w:p>
        </w:tc>
        <w:tc>
          <w:tcPr>
            <w:tcW w:w="1240" w:type="dxa"/>
            <w:vAlign w:val="bottom"/>
          </w:tcPr>
          <w:p>
            <w:pPr>
              <w:jc w:val="center"/>
              <w:ind w:left="125"/>
              <w:spacing w:after="0"/>
              <w:rPr>
                <w:sz w:val="20"/>
                <w:szCs w:val="20"/>
                <w:color w:val="auto"/>
              </w:rPr>
            </w:pPr>
            <w:r>
              <w:rPr>
                <w:rFonts w:ascii="Arial" w:cs="Arial" w:eastAsia="Arial" w:hAnsi="Arial"/>
                <w:sz w:val="10"/>
                <w:szCs w:val="10"/>
                <w:b w:val="1"/>
                <w:bCs w:val="1"/>
                <w:color w:val="auto"/>
                <w:w w:val="97"/>
              </w:rPr>
              <w:t>Amount of Gain or</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vMerge w:val="restart"/>
          </w:tcPr>
          <w:p>
            <w:pPr>
              <w:jc w:val="center"/>
              <w:ind w:right="205"/>
              <w:spacing w:after="0"/>
              <w:rPr>
                <w:sz w:val="20"/>
                <w:szCs w:val="20"/>
                <w:color w:val="auto"/>
              </w:rPr>
            </w:pPr>
            <w:r>
              <w:rPr>
                <w:rFonts w:ascii="Arial" w:cs="Arial" w:eastAsia="Arial" w:hAnsi="Arial"/>
                <w:sz w:val="10"/>
                <w:szCs w:val="10"/>
                <w:b w:val="1"/>
                <w:bCs w:val="1"/>
                <w:color w:val="auto"/>
                <w:w w:val="95"/>
              </w:rPr>
              <w:t>Amount of Gain or</w:t>
            </w: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1240" w:type="dxa"/>
            <w:vAlign w:val="bottom"/>
          </w:tcPr>
          <w:p>
            <w:pPr>
              <w:jc w:val="center"/>
              <w:ind w:left="125"/>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Statement of</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line="108" w:lineRule="exact"/>
              <w:rPr>
                <w:sz w:val="20"/>
                <w:szCs w:val="20"/>
                <w:color w:val="auto"/>
              </w:rPr>
            </w:pPr>
            <w:r>
              <w:rPr>
                <w:rFonts w:ascii="Arial" w:cs="Arial" w:eastAsia="Arial" w:hAnsi="Arial"/>
                <w:sz w:val="10"/>
                <w:szCs w:val="10"/>
                <w:b w:val="1"/>
                <w:bCs w:val="1"/>
                <w:color w:val="auto"/>
              </w:rPr>
              <w:t>SFAS No. 133 Cash</w:t>
            </w:r>
          </w:p>
        </w:tc>
        <w:tc>
          <w:tcPr>
            <w:tcW w:w="1240" w:type="dxa"/>
            <w:vAlign w:val="bottom"/>
          </w:tcPr>
          <w:p>
            <w:pPr>
              <w:jc w:val="center"/>
              <w:ind w:left="125"/>
              <w:spacing w:after="0" w:line="108" w:lineRule="exact"/>
              <w:rPr>
                <w:sz w:val="20"/>
                <w:szCs w:val="20"/>
                <w:color w:val="auto"/>
              </w:rPr>
            </w:pPr>
            <w:r>
              <w:rPr>
                <w:rFonts w:ascii="Arial" w:cs="Arial" w:eastAsia="Arial" w:hAnsi="Arial"/>
                <w:sz w:val="10"/>
                <w:szCs w:val="10"/>
                <w:b w:val="1"/>
                <w:bCs w:val="1"/>
                <w:color w:val="auto"/>
              </w:rPr>
              <w:t>in OCI on</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jc w:val="center"/>
              <w:ind w:right="205"/>
              <w:spacing w:after="0" w:line="108" w:lineRule="exact"/>
              <w:rPr>
                <w:sz w:val="20"/>
                <w:szCs w:val="20"/>
                <w:color w:val="auto"/>
              </w:rPr>
            </w:pPr>
            <w:r>
              <w:rPr>
                <w:rFonts w:ascii="Arial" w:cs="Arial" w:eastAsia="Arial" w:hAnsi="Arial"/>
                <w:sz w:val="10"/>
                <w:szCs w:val="10"/>
                <w:b w:val="1"/>
                <w:bCs w:val="1"/>
                <w:color w:val="auto"/>
                <w:w w:val="92"/>
              </w:rPr>
              <w:t>(Loss) Reclassified</w:t>
            </w:r>
          </w:p>
        </w:tc>
        <w:tc>
          <w:tcPr>
            <w:tcW w:w="0" w:type="dxa"/>
            <w:vAlign w:val="bottom"/>
          </w:tcPr>
          <w:p>
            <w:pPr>
              <w:spacing w:after="0"/>
              <w:rPr>
                <w:sz w:val="1"/>
                <w:szCs w:val="1"/>
                <w:color w:val="auto"/>
              </w:rPr>
            </w:pPr>
          </w:p>
        </w:tc>
      </w:tr>
      <w:tr>
        <w:trPr>
          <w:trHeight w:val="108"/>
        </w:trPr>
        <w:tc>
          <w:tcPr>
            <w:tcW w:w="3400" w:type="dxa"/>
            <w:vAlign w:val="bottom"/>
          </w:tcPr>
          <w:p>
            <w:pPr>
              <w:spacing w:after="0" w:line="108" w:lineRule="exact"/>
              <w:rPr>
                <w:sz w:val="20"/>
                <w:szCs w:val="20"/>
                <w:color w:val="auto"/>
              </w:rPr>
            </w:pPr>
            <w:r>
              <w:rPr>
                <w:rFonts w:ascii="Arial" w:cs="Arial" w:eastAsia="Arial" w:hAnsi="Arial"/>
                <w:sz w:val="10"/>
                <w:szCs w:val="10"/>
                <w:b w:val="1"/>
                <w:bCs w:val="1"/>
                <w:color w:val="auto"/>
              </w:rPr>
              <w:t>Flow Hedging</w:t>
            </w:r>
          </w:p>
        </w:tc>
        <w:tc>
          <w:tcPr>
            <w:tcW w:w="1240" w:type="dxa"/>
            <w:vAlign w:val="bottom"/>
          </w:tcPr>
          <w:p>
            <w:pPr>
              <w:jc w:val="center"/>
              <w:ind w:left="125"/>
              <w:spacing w:after="0" w:line="108" w:lineRule="exact"/>
              <w:rPr>
                <w:sz w:val="20"/>
                <w:szCs w:val="20"/>
                <w:color w:val="auto"/>
              </w:rPr>
            </w:pPr>
            <w:r>
              <w:rPr>
                <w:rFonts w:ascii="Arial" w:cs="Arial" w:eastAsia="Arial" w:hAnsi="Arial"/>
                <w:sz w:val="10"/>
                <w:szCs w:val="10"/>
                <w:b w:val="1"/>
                <w:bCs w:val="1"/>
                <w:color w:val="auto"/>
                <w:w w:val="93"/>
              </w:rPr>
              <w:t>Derivatives</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Operations</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jc w:val="center"/>
              <w:ind w:right="205"/>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0"/>
                <w:szCs w:val="10"/>
                <w:b w:val="1"/>
                <w:bCs w:val="1"/>
                <w:color w:val="auto"/>
              </w:rPr>
              <w:t>Relationships</w:t>
            </w:r>
          </w:p>
        </w:tc>
        <w:tc>
          <w:tcPr>
            <w:tcW w:w="1240" w:type="dxa"/>
            <w:vAlign w:val="bottom"/>
            <w:tcBorders>
              <w:bottom w:val="single" w:sz="8" w:color="auto"/>
            </w:tcBorders>
          </w:tcPr>
          <w:p>
            <w:pPr>
              <w:jc w:val="center"/>
              <w:ind w:left="125"/>
              <w:spacing w:after="0"/>
              <w:rPr>
                <w:sz w:val="20"/>
                <w:szCs w:val="20"/>
                <w:color w:val="auto"/>
              </w:rPr>
            </w:pPr>
            <w:r>
              <w:rPr>
                <w:rFonts w:ascii="Arial" w:cs="Arial" w:eastAsia="Arial" w:hAnsi="Arial"/>
                <w:sz w:val="10"/>
                <w:szCs w:val="10"/>
                <w:b w:val="1"/>
                <w:bCs w:val="1"/>
                <w:color w:val="auto"/>
                <w:w w:val="95"/>
              </w:rPr>
              <w:t>(Effective Portion)</w:t>
            </w:r>
          </w:p>
        </w:tc>
        <w:tc>
          <w:tcPr>
            <w:tcW w:w="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6"/>
              </w:rPr>
              <w:t>Income (Effective Portion)</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240" w:type="dxa"/>
            <w:vAlign w:val="bottom"/>
          </w:tcPr>
          <w:p>
            <w:pPr>
              <w:jc w:val="right"/>
              <w:ind w:right="1105"/>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380"/>
              <w:spacing w:after="0"/>
              <w:rPr>
                <w:sz w:val="20"/>
                <w:szCs w:val="20"/>
                <w:color w:val="auto"/>
              </w:rPr>
            </w:pPr>
            <w:r>
              <w:rPr>
                <w:rFonts w:ascii="Arial" w:cs="Arial" w:eastAsia="Arial" w:hAnsi="Arial"/>
                <w:sz w:val="13"/>
                <w:szCs w:val="13"/>
                <w:color w:val="auto"/>
              </w:rPr>
              <w:t>8</w:t>
            </w:r>
          </w:p>
        </w:tc>
        <w:tc>
          <w:tcPr>
            <w:tcW w:w="2300" w:type="dxa"/>
            <w:vAlign w:val="bottom"/>
          </w:tcPr>
          <w:p>
            <w:pPr>
              <w:spacing w:after="0"/>
              <w:rPr>
                <w:sz w:val="20"/>
                <w:szCs w:val="20"/>
                <w:color w:val="auto"/>
              </w:rPr>
            </w:pPr>
            <w:r>
              <w:rPr>
                <w:rFonts w:ascii="Arial" w:cs="Arial" w:eastAsia="Arial" w:hAnsi="Arial"/>
                <w:sz w:val="13"/>
                <w:szCs w:val="13"/>
                <w:color w:val="auto"/>
              </w:rPr>
              <w:t>Other income (expense)</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-129540</wp:posOffset>
            </wp:positionV>
            <wp:extent cx="18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was no significant ineffectiveness during the three months ended March 31, 2009.</w:t>
      </w:r>
    </w:p>
    <w:p>
      <w:pPr>
        <w:spacing w:after="0" w:line="57" w:lineRule="exact"/>
        <w:rPr>
          <w:sz w:val="20"/>
          <w:szCs w:val="20"/>
          <w:color w:val="auto"/>
        </w:rPr>
      </w:pPr>
    </w:p>
    <w:p>
      <w:pPr>
        <w:ind w:left="1080" w:right="240" w:hanging="393"/>
        <w:spacing w:after="0" w:line="289" w:lineRule="auto"/>
        <w:tabs>
          <w:tab w:leader="none" w:pos="10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the fair value of these assets are generally related to (i) revisions in our estimates of the cost to remediate a site because the amounts owed by third parties are directly related to the underlying environmental remediation liabilities; (ii) receipt of funds from third parties; (iii) changes in our expectations for the recovery of the balances; (iv) the accretion of interest income; and (v) changes in the applicable discount rates due to either fluctuations in market interest rates or changes in the credit-worthiness of our counterparties. There have not been any material changes in these fair value measurements during the three months ended March 31, 2009.</w:t>
      </w:r>
    </w:p>
    <w:p>
      <w:pPr>
        <w:spacing w:after="0" w:line="128"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March 31, 2009</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921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947</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1,748</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930</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1,774</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2,704</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11,206</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11,206</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9,862</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11,799</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1,511</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(23,172)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107</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6,366</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10,899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11,816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20,857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(23,172)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20,400</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80" w:type="dxa"/>
            <w:vAlign w:val="bottom"/>
          </w:tcPr>
          <w:p>
            <w:pPr>
              <w:spacing w:after="0"/>
              <w:rPr>
                <w:sz w:val="10"/>
                <w:szCs w:val="10"/>
                <w:color w:val="auto"/>
              </w:rPr>
            </w:pPr>
          </w:p>
        </w:tc>
        <w:tc>
          <w:tcPr>
            <w:tcW w:w="2740" w:type="dxa"/>
            <w:vAlign w:val="bottom"/>
            <w:gridSpan w:val="5"/>
          </w:tcPr>
          <w:p>
            <w:pPr>
              <w:ind w:left="1140"/>
              <w:spacing w:after="0"/>
              <w:rPr>
                <w:sz w:val="20"/>
                <w:szCs w:val="20"/>
                <w:color w:val="auto"/>
              </w:rPr>
            </w:pPr>
            <w:r>
              <w:rPr>
                <w:rFonts w:ascii="Arial" w:cs="Arial" w:eastAsia="Arial" w:hAnsi="Arial"/>
                <w:sz w:val="10"/>
                <w:szCs w:val="10"/>
                <w:b w:val="1"/>
                <w:bCs w:val="1"/>
                <w:color w:val="auto"/>
              </w:rPr>
              <w:t>LIABILITIES AND EQUITY</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502</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156</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693</w:t>
            </w: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75</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1,812</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1,893</w:t>
            </w:r>
          </w:p>
        </w:tc>
      </w:tr>
      <w:tr>
        <w:trPr>
          <w:trHeight w:val="108"/>
        </w:trPr>
        <w:tc>
          <w:tcPr>
            <w:tcW w:w="3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577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41</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1,968</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2,586</w:t>
            </w: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4,419</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603</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3,074</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8,096</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3,525</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3,525</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4,996</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644</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8,567</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14,207</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Equity:</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Stockholders’ equity</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5,903</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11,172</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12,000</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(23,172)</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5,903</w:t>
            </w: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Noncontrolling interests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290</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290</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5,903</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11,172</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12,290</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(23,172)</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6,193</w:t>
            </w:r>
          </w:p>
        </w:tc>
      </w:tr>
      <w:tr>
        <w:trPr>
          <w:trHeight w:val="117"/>
        </w:trPr>
        <w:tc>
          <w:tcPr>
            <w:tcW w:w="318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equity</w:t>
            </w:r>
          </w:p>
        </w:tc>
        <w:tc>
          <w:tcPr>
            <w:tcW w:w="20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10,899</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11,816</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20,857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(23,172)</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20,400</w:t>
            </w:r>
          </w:p>
        </w:tc>
        <w:tc>
          <w:tcPr>
            <w:tcW w:w="100" w:type="dxa"/>
            <w:vAlign w:val="bottom"/>
          </w:tcPr>
          <w:p>
            <w:pPr>
              <w:spacing w:after="0"/>
              <w:rPr>
                <w:sz w:val="10"/>
                <w:szCs w:val="10"/>
                <w:color w:val="auto"/>
              </w:rPr>
            </w:pPr>
          </w:p>
        </w:tc>
      </w:tr>
    </w:tbl>
    <w:p>
      <w:pPr>
        <w:spacing w:after="0" w:line="164"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December 31, 2008</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rPr>
                <w:sz w:val="9"/>
                <w:szCs w:val="9"/>
                <w:color w:val="auto"/>
              </w:rPr>
            </w:pPr>
          </w:p>
        </w:tc>
        <w:tc>
          <w:tcPr>
            <w:tcW w:w="208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1,849</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1,855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1,879</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2,335</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11,402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11,402</w:t>
            </w: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and advances to affiliates</w:t>
            </w: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9,851</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11,615</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1,334</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109</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6,363</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6,490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10,416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11,633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20,978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20,227</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80" w:type="dxa"/>
            <w:vAlign w:val="bottom"/>
          </w:tcPr>
          <w:p>
            <w:pPr>
              <w:spacing w:after="0"/>
              <w:rPr>
                <w:sz w:val="10"/>
                <w:szCs w:val="10"/>
                <w:color w:val="auto"/>
              </w:rPr>
            </w:pPr>
          </w:p>
        </w:tc>
        <w:tc>
          <w:tcPr>
            <w:tcW w:w="2740" w:type="dxa"/>
            <w:vAlign w:val="bottom"/>
            <w:gridSpan w:val="5"/>
          </w:tcPr>
          <w:p>
            <w:pPr>
              <w:ind w:left="1140"/>
              <w:spacing w:after="0"/>
              <w:rPr>
                <w:sz w:val="20"/>
                <w:szCs w:val="20"/>
                <w:color w:val="auto"/>
              </w:rPr>
            </w:pPr>
            <w:r>
              <w:rPr>
                <w:rFonts w:ascii="Arial" w:cs="Arial" w:eastAsia="Arial" w:hAnsi="Arial"/>
                <w:sz w:val="10"/>
                <w:szCs w:val="10"/>
                <w:b w:val="1"/>
                <w:bCs w:val="1"/>
                <w:color w:val="auto"/>
              </w:rPr>
              <w:t>LIABILITIES AND EQUITY</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507</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328</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835</w:t>
            </w: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76</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2,108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2,201</w:t>
            </w:r>
          </w:p>
        </w:tc>
      </w:tr>
      <w:tr>
        <w:trPr>
          <w:trHeight w:val="108"/>
        </w:trPr>
        <w:tc>
          <w:tcPr>
            <w:tcW w:w="3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583</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2,436</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3,036</w:t>
            </w: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3,931</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638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2,922</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7,491</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3,515</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3,515</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4,514</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655</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8,873</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14,042</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Equity:</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Stockholders’ equity</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5,902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10,978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11,822</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5,902</w:t>
            </w: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Noncontrolling interests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283</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283</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5,902</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10,978</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12,105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6,185</w:t>
            </w:r>
          </w:p>
        </w:tc>
      </w:tr>
      <w:tr>
        <w:trPr>
          <w:trHeight w:val="117"/>
        </w:trPr>
        <w:tc>
          <w:tcPr>
            <w:tcW w:w="318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equity</w:t>
            </w:r>
          </w:p>
        </w:tc>
        <w:tc>
          <w:tcPr>
            <w:tcW w:w="20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10,416</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11,633</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20,978</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(22,800)</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20,227</w:t>
            </w:r>
          </w:p>
        </w:tc>
        <w:tc>
          <w:tcPr>
            <w:tcW w:w="100" w:type="dxa"/>
            <w:vAlign w:val="bottom"/>
          </w:tcPr>
          <w:p>
            <w:pPr>
              <w:spacing w:after="0"/>
              <w:rPr>
                <w:sz w:val="10"/>
                <w:szCs w:val="10"/>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Other income (expense):</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194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130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130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attributable to Waste</w:t>
            </w:r>
          </w:p>
        </w:tc>
        <w:tc>
          <w:tcPr>
            <w:tcW w:w="1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Management, Inc.</w:t>
            </w: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$ 155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Three Months Ended March 31, 2008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60" w:type="dxa"/>
            <w:vAlign w:val="bottom"/>
            <w:gridSpan w:val="4"/>
          </w:tcPr>
          <w:p>
            <w:pPr>
              <w:jc w:val="center"/>
              <w:ind w:left="8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Costs and expenses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Other income (expense):</w:t>
            </w:r>
          </w:p>
        </w:tc>
        <w:tc>
          <w:tcPr>
            <w:tcW w:w="1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284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216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attributable to Waste</w:t>
            </w:r>
          </w:p>
        </w:tc>
        <w:tc>
          <w:tcPr>
            <w:tcW w:w="1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Management, Inc.</w:t>
            </w: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Three Months Ended March 31,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457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2009 and beyond include the following:</w:t>
      </w:r>
    </w:p>
    <w:p>
      <w:pPr>
        <w:spacing w:after="0" w:line="96" w:lineRule="exact"/>
        <w:rPr>
          <w:sz w:val="20"/>
          <w:szCs w:val="20"/>
          <w:color w:val="auto"/>
        </w:rPr>
      </w:pPr>
    </w:p>
    <w:p>
      <w:pPr>
        <w:ind w:left="1280" w:right="4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49" w:lineRule="exact"/>
        <w:rPr>
          <w:rFonts w:ascii="Arial" w:cs="Arial" w:eastAsia="Arial" w:hAnsi="Arial"/>
          <w:sz w:val="13"/>
          <w:szCs w:val="13"/>
          <w:color w:val="auto"/>
        </w:rPr>
      </w:pPr>
    </w:p>
    <w:p>
      <w:pPr>
        <w:ind w:left="1280" w:right="40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our collection and disposal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the failures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1280" w:right="200" w:hanging="190"/>
        <w:spacing w:after="0" w:line="264"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the first quarter of 2009, our revenues were $2.8 billion compared with $3.3 billion for the first quarter of 2008. Net income attributable to Waste Management, Inc. for the quarter was $155 million, or $0.31 per diluted share, compared with $241 million, or $0.48 per diluted share, for the first quarter of 2008. In order to meaningfully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compare the results of our first quarter of 2009 with the prior year period, it is important to highlight the following items, which significantly affected our 2009 results:</w:t>
      </w:r>
    </w:p>
    <w:p>
      <w:pPr>
        <w:spacing w:after="0" w:line="96" w:lineRule="exact"/>
        <w:rPr>
          <w:sz w:val="20"/>
          <w:szCs w:val="20"/>
          <w:color w:val="auto"/>
        </w:rPr>
      </w:pPr>
    </w:p>
    <w:p>
      <w:pPr>
        <w:ind w:left="1280" w:right="20" w:hanging="190"/>
        <w:spacing w:after="0" w:line="260"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decrease in demand for recyclable commodities both domestically and internationally and the resulting sharp decline in recyclable commodity prices that we experienced in the fourth quarter of 2008 continued into the first quarter of 2009. The decrease in recyclable commodity prices reduced our revenues by $178 million when comparing the first quarter of 2009 with the first quarter of 2008. Although these revenue declines were offset in part by a reduction in our operating expenses, we have determined that the change in the recyclable commodities markets had a negative $0.09 impact on our diluted earnings per share.</w:t>
      </w:r>
    </w:p>
    <w:p>
      <w:pPr>
        <w:spacing w:after="0" w:line="5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recognized a pre-tax, non-cash charge of $49 million related to the abandonment of SAP software as our revenue management system, which had a negative $0.06 impact on our diluted earnings per share.</w:t>
      </w:r>
    </w:p>
    <w:p>
      <w:pPr>
        <w:spacing w:after="0" w:line="49" w:lineRule="exact"/>
        <w:rPr>
          <w:rFonts w:ascii="Arial" w:cs="Arial" w:eastAsia="Arial" w:hAnsi="Arial"/>
          <w:sz w:val="13"/>
          <w:szCs w:val="13"/>
          <w:color w:val="auto"/>
        </w:rPr>
      </w:pPr>
    </w:p>
    <w:p>
      <w:pPr>
        <w:jc w:val="both"/>
        <w:ind w:left="1280" w:right="160" w:hanging="190"/>
        <w:spacing w:after="0" w:line="334" w:lineRule="auto"/>
        <w:tabs>
          <w:tab w:leader="none" w:pos="12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We recognized a pre-tax charge of $38 million for our January 2009 restructuring, which was primarily related to severance and benefit costs. The restructuring charge reduced diluted earnings per share for the quarter by $0.05, although we are beginning to see significant cost reductions, particularly in our selling, general and administrative expenses, that indicate that we will quickly realize the benefit of our streamlined structure. In 2009, we expect annualized cost savings from this restructuring to exceed $120 million.</w:t>
      </w:r>
    </w:p>
    <w:p>
      <w:pPr>
        <w:spacing w:after="0" w:line="32"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believe that our operating results demonstrate our success in pricing discipline, operating efficiently and generating strong earnings and cash flows through a challenging economic environment.</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Revenues declined by $456 million when comparing the first quarter of 2009 with the first quarter of 2008. Over 70% of this decrease was due to commodity impacts related to recycling materials, fuel and energy, and non-operational items including foreign currency translation and one fewer workday during the first quarter of 2009. The remaining decrease can be attributed to volume declines, which were partially offset by increased revenues from yield on our collection and disposal business. Volume declines during the first quarter of 2009 were generally due to the slowdown in the economy, which is significantly affecting the volumes of our more economically sensitive industrial collection operations, although our commercial collection volumes have also declined due to the significant decreases in consumer and business spending. These revenue declines were partially offset by internal revenue growth from yield on our collection and disposal operations, which increased our first quarter 2009 revenues by $84 million, or 2.6%, reflecting our commitment to pricing even in the current economic environment.</w:t>
      </w:r>
    </w:p>
    <w:p>
      <w:pPr>
        <w:spacing w:after="0" w:line="34"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operating expenses decreased from $2.1 billion, or 64.1% of revenues, in the first quarter of 2008 to $1.7 billion, or 61.4% of revenues in the current period. The significant decrease in these expenses is primarily due to lower costs of goods sold as a result of the weakened commodities markets, lower direct and indirect fuel costs as a result of a 38% reduction in diesel fuel prices and lower costs in each of our ten operating expense categories due to the decrease in volumes. Our selling, general and administrative expenses decreased by $31 million, or 8.4%, from $368 million in the first quarter of 2008 to $337 million in the first quarter of 2009. The decrease is due in large part to the cost savings that we are beginning to realize as a result of our January 2009 restructuring and our focus on identifying and reducing discretionary costs. The reductions in our operating and selling, general and administrative expenses when comparing the first quarter of 2009 with the first quarter of 2008 demonstrate our focus on operating efficiently. While we are encouraged that these efforts are allowing us to maintain our margins on our base business, we believe that it is necessary to identify and manage potential exposures over the short- and long-term. Steps taken to date include the implementation of a salary freeze, reductions in planned spending for travel and meetings and an increased focus on monitoring the financial health of suppliers and customers. We are also in the process of fully implementing our restructuring plan intended to streamline our field-based management structure and increase the efficiency of our Corporate organization.</w:t>
      </w:r>
    </w:p>
    <w:p>
      <w:pPr>
        <w:spacing w:after="0" w:line="2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is our practice, we are including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 titled measures presented by other companies: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(325)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199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30"/>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We believe that our ability to generate over $500 million in operating cash flow during the first quarter of 2009 in spite of this challenging economic environment is an indication of the strength and resilience of our solid waste business. Our continued ability to generate cash flows in line with our expectations has allowed us to continue to make capital investments intended to sustain and grow our business. For example, our capital expenditures for the first quarter of 2009 included approximately $30 million related to the purchase of a permitted landfill development project in our Southern Group. The remaining increase in capital expenditures when comparing the first quarter of 2009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 more significant portion of our fourth quarter 2008 spending was paid in cash in 2009 than in the preceding year.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Accounting Changes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SFAS No. 157 </w:t>
      </w:r>
      <w:r>
        <w:rPr>
          <w:rFonts w:ascii="Arial" w:cs="Arial" w:eastAsia="Arial" w:hAnsi="Arial"/>
          <w:sz w:val="12"/>
          <w:szCs w:val="12"/>
          <w:color w:val="auto"/>
        </w:rPr>
        <w:t>— In September 2006, the Financial Accounting Standards Board issued SFAS No. 157,</w:t>
      </w:r>
      <w:r>
        <w:rPr>
          <w:rFonts w:ascii="Arial" w:cs="Arial" w:eastAsia="Arial" w:hAnsi="Arial"/>
          <w:sz w:val="12"/>
          <w:szCs w:val="12"/>
          <w:i w:val="1"/>
          <w:iCs w:val="1"/>
          <w:color w:val="auto"/>
        </w:rPr>
        <w:t xml:space="preserve"> Fair Value Measurements, </w:t>
      </w:r>
      <w:r>
        <w:rPr>
          <w:rFonts w:ascii="Arial" w:cs="Arial" w:eastAsia="Arial" w:hAnsi="Arial"/>
          <w:sz w:val="12"/>
          <w:szCs w:val="12"/>
          <w:color w:val="auto"/>
        </w:rPr>
        <w:t>which defines fair value, establishes a framework</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for measuring fair value, and expands disclosures about fair value measurements. In February 2008, the FASB issued Staff Position FAS 157-2, </w:t>
      </w:r>
      <w:r>
        <w:rPr>
          <w:rFonts w:ascii="Arial" w:cs="Arial" w:eastAsia="Arial" w:hAnsi="Arial"/>
          <w:sz w:val="12"/>
          <w:szCs w:val="12"/>
          <w:i w:val="1"/>
          <w:iCs w:val="1"/>
          <w:color w:val="auto"/>
        </w:rPr>
        <w:t>Effective Date of FASB Statement No. 157</w:t>
      </w:r>
      <w:r>
        <w:rPr>
          <w:rFonts w:ascii="Arial" w:cs="Arial" w:eastAsia="Arial" w:hAnsi="Arial"/>
          <w:sz w:val="12"/>
          <w:szCs w:val="12"/>
          <w:color w:val="auto"/>
        </w:rPr>
        <w:t>, which delayed the effective date of SFAS No. 157 for all non-financial assets and non-financial liabilities, except those that are measured at fair value on a recurring basis. Effective January 1, 2009, we adopted SFAS No. 157 with respect to non-financial assets and liabilities measured on a non-recurring basis. The application of the fair value framework established by SFAS No. 157 to these fair value measurements did not have a material impact on our consolidated financial position, results of operations or cash flows.</w:t>
      </w:r>
    </w:p>
    <w:p>
      <w:pPr>
        <w:spacing w:after="0" w:line="5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i w:val="1"/>
          <w:iCs w:val="1"/>
          <w:color w:val="auto"/>
        </w:rPr>
        <w:t xml:space="preserve">SFAS No. 141(R) </w:t>
      </w:r>
      <w:r>
        <w:rPr>
          <w:rFonts w:ascii="Arial" w:cs="Arial" w:eastAsia="Arial" w:hAnsi="Arial"/>
          <w:sz w:val="12"/>
          <w:szCs w:val="12"/>
          <w:color w:val="auto"/>
        </w:rPr>
        <w:t>— In December 2007, the FASB issued SFAS No. 141 (revised 2007),</w:t>
      </w:r>
      <w:r>
        <w:rPr>
          <w:rFonts w:ascii="Arial" w:cs="Arial" w:eastAsia="Arial" w:hAnsi="Arial"/>
          <w:sz w:val="12"/>
          <w:szCs w:val="12"/>
          <w:i w:val="1"/>
          <w:iCs w:val="1"/>
          <w:color w:val="auto"/>
        </w:rPr>
        <w:t xml:space="preserve"> Business Combinations</w:t>
      </w:r>
      <w:r>
        <w:rPr>
          <w:rFonts w:ascii="Arial" w:cs="Arial" w:eastAsia="Arial" w:hAnsi="Arial"/>
          <w:sz w:val="12"/>
          <w:szCs w:val="12"/>
          <w:color w:val="auto"/>
        </w:rPr>
        <w:t>, which establishes principles for how the acquirer recognizes and</w:t>
      </w:r>
      <w:r>
        <w:rPr>
          <w:rFonts w:ascii="Arial" w:cs="Arial" w:eastAsia="Arial" w:hAnsi="Arial"/>
          <w:sz w:val="12"/>
          <w:szCs w:val="12"/>
          <w:i w:val="1"/>
          <w:iCs w:val="1"/>
          <w:color w:val="auto"/>
        </w:rPr>
        <w:t xml:space="preserve"> </w:t>
      </w:r>
      <w:r>
        <w:rPr>
          <w:rFonts w:ascii="Arial" w:cs="Arial" w:eastAsia="Arial" w:hAnsi="Arial"/>
          <w:sz w:val="12"/>
          <w:szCs w:val="12"/>
          <w:color w:val="auto"/>
        </w:rPr>
        <w:t>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Effective January 1, 2009, we adopted SFAS No. 141(R). The portions of the statement that relate to business combinations completed on or before January 1, 2009 did not have a material impact on our consolidated financial statements. Further, business combinations completed in the first quarter of 2009 were not material to our financial position, results of operations or cash flows. However, to the extent that future business combinations are material, our adoption of SFAS No. 141(R) will significantly impact our accounting and reporting for future acquisitions, principally as a result of (i) expanded requirements to value acquired assets, liabilities and contingencies at their fair values; and (ii) the requirement that acquisition-related transaction and restructuring costs be expensed as incurred rather than capitalized as a part of the cost of the acquisition.</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SFAS No. 160 </w:t>
      </w:r>
      <w:r>
        <w:rPr>
          <w:rFonts w:ascii="Arial" w:cs="Arial" w:eastAsia="Arial" w:hAnsi="Arial"/>
          <w:sz w:val="13"/>
          <w:szCs w:val="13"/>
          <w:color w:val="auto"/>
        </w:rPr>
        <w:t>— In December 2007, the FASB issued SFAS No. 160,</w:t>
      </w:r>
      <w:r>
        <w:rPr>
          <w:rFonts w:ascii="Arial" w:cs="Arial" w:eastAsia="Arial" w:hAnsi="Arial"/>
          <w:sz w:val="13"/>
          <w:szCs w:val="13"/>
          <w:i w:val="1"/>
          <w:iCs w:val="1"/>
          <w:color w:val="auto"/>
        </w:rPr>
        <w:t xml:space="preserve"> Noncontrolling Interests in Consolidated Financial Statements — an amendment of ARB No. 51</w:t>
      </w:r>
      <w:r>
        <w:rPr>
          <w:rFonts w:ascii="Arial" w:cs="Arial" w:eastAsia="Arial" w:hAnsi="Arial"/>
          <w:sz w:val="13"/>
          <w:szCs w:val="13"/>
          <w:color w:val="auto"/>
        </w:rPr>
        <w:t>, which</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establishes accounting and reporting standards for the noncontrolling interest in a subsidiary and for the deconsolidation of a subsidiary. The standard also establishes that a noncontrolling interest in a subsidiary is an ownership interest in the consolidated entity that should be reported as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20"/>
        <w:spacing w:after="0" w:line="371" w:lineRule="auto"/>
        <w:rPr>
          <w:sz w:val="20"/>
          <w:szCs w:val="20"/>
          <w:color w:val="auto"/>
        </w:rPr>
      </w:pPr>
      <w:r>
        <w:rPr>
          <w:rFonts w:ascii="Arial" w:cs="Arial" w:eastAsia="Arial" w:hAnsi="Arial"/>
          <w:sz w:val="11"/>
          <w:szCs w:val="11"/>
          <w:color w:val="auto"/>
        </w:rPr>
        <w:t>equity in the consolidated financial statements. We adopted SFAS No. 160 on January 1, 2009. The presentation and disclosure requirements of SFAS No. 160, which must be applied retrospectively for all periods presented, have resulted in reclassifications to our prior period consolidated financial information and the remeasurement of our 2008 effective tax rate.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Reclassifications</w:t>
      </w:r>
    </w:p>
    <w:p>
      <w:pPr>
        <w:spacing w:after="0" w:line="96" w:lineRule="exact"/>
        <w:rPr>
          <w:sz w:val="20"/>
          <w:szCs w:val="20"/>
          <w:color w:val="auto"/>
        </w:rPr>
      </w:pPr>
    </w:p>
    <w:p>
      <w:pPr>
        <w:ind w:left="680" w:right="860" w:firstLine="399"/>
        <w:spacing w:after="0" w:line="281" w:lineRule="auto"/>
        <w:rPr>
          <w:sz w:val="20"/>
          <w:szCs w:val="20"/>
          <w:color w:val="auto"/>
        </w:rPr>
      </w:pPr>
      <w:r>
        <w:rPr>
          <w:rFonts w:ascii="Arial" w:cs="Arial" w:eastAsia="Arial" w:hAnsi="Arial"/>
          <w:sz w:val="12"/>
          <w:szCs w:val="12"/>
          <w:i w:val="1"/>
          <w:iCs w:val="1"/>
          <w:color w:val="auto"/>
        </w:rPr>
        <w:t xml:space="preserve">Segments </w:t>
      </w:r>
      <w:r>
        <w:rPr>
          <w:rFonts w:ascii="Arial" w:cs="Arial" w:eastAsia="Arial" w:hAnsi="Arial"/>
          <w:sz w:val="12"/>
          <w:szCs w:val="12"/>
          <w:color w:val="auto"/>
        </w:rPr>
        <w:t>— During the first quarter of 2009, we transferred responsibility for the oversight of day-to-day recycling operations at our material recovery facilities and secondary</w:t>
      </w:r>
      <w:r>
        <w:rPr>
          <w:rFonts w:ascii="Arial" w:cs="Arial" w:eastAsia="Arial" w:hAnsi="Arial"/>
          <w:sz w:val="12"/>
          <w:szCs w:val="12"/>
          <w:i w:val="1"/>
          <w:iCs w:val="1"/>
          <w:color w:val="auto"/>
        </w:rPr>
        <w:t xml:space="preserve"> </w:t>
      </w:r>
      <w:r>
        <w:rPr>
          <w:rFonts w:ascii="Arial" w:cs="Arial" w:eastAsia="Arial" w:hAnsi="Arial"/>
          <w:sz w:val="12"/>
          <w:szCs w:val="12"/>
          <w:color w:val="auto"/>
        </w:rPr>
        <w:t>processing facilities to the management teams of our geographic Groups. We believe that by integrating the management of these aspects of our recycling operations with the remainder of our solid waste business we can ensure that we are focusing on maximizing the profitability and return on invested capital of all aspects of our business as well as more efficiently providing comprehensive environmental solutions to our customers.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800"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2008. Actual results could differ materially from the estimates and assumptions that we use in the preparation of our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We manage and evaluate our operations primarily through our Eastern, Midwest, Southern, Western, and Wheelabrator (which includes our waste-to-energy facilities and independent power production plants, or IPPs) Groups. These five operating Groups are our reportable segments. Shown below (in millions) is the contribution to revenues during each period provided by our five operating Groups and our Other waste services:</w:t>
      </w:r>
    </w:p>
    <w:p>
      <w:pPr>
        <w:spacing w:after="0" w:line="69"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757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5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60" w:type="dxa"/>
            <w:vAlign w:val="bottom"/>
          </w:tcPr>
          <w:p>
            <w:pPr>
              <w:jc w:val="right"/>
              <w:ind w:right="3374"/>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2,138</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Landfill</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2,810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3,266</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current period changes: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98"/>
              </w:rPr>
              <w:t>Period-to-Period Change</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2009 vs. 2008</w:t>
            </w:r>
          </w:p>
        </w:tc>
        <w:tc>
          <w:tcPr>
            <w:tcW w:w="8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As a% of</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As a% of</w:t>
            </w: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88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Amount</w:t>
            </w:r>
          </w:p>
        </w:tc>
        <w:tc>
          <w:tcPr>
            <w:tcW w:w="12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Related</w:t>
            </w: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Business(a)</w:t>
            </w:r>
          </w:p>
        </w:tc>
        <w:tc>
          <w:tcPr>
            <w:tcW w:w="10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Company(b)</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Collection, landfill and transfer</w:t>
            </w:r>
          </w:p>
        </w:tc>
        <w:tc>
          <w:tcPr>
            <w:tcW w:w="35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84</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3.3%</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Waste-to-energy disposal(c)</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ind w:left="140"/>
              <w:spacing w:after="0"/>
              <w:rPr>
                <w:sz w:val="20"/>
                <w:szCs w:val="20"/>
                <w:color w:val="auto"/>
              </w:rPr>
            </w:pPr>
            <w:r>
              <w:rPr>
                <w:rFonts w:ascii="Arial" w:cs="Arial" w:eastAsia="Arial" w:hAnsi="Arial"/>
                <w:sz w:val="13"/>
                <w:szCs w:val="13"/>
                <w:color w:val="auto"/>
              </w:rPr>
              <w:t>Collection and disposal(c)</w:t>
            </w:r>
          </w:p>
        </w:tc>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3.1</w:t>
            </w: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84</w:t>
            </w:r>
          </w:p>
        </w:tc>
        <w:tc>
          <w:tcPr>
            <w:tcW w:w="1220" w:type="dxa"/>
            <w:vAlign w:val="bottom"/>
            <w:gridSpan w:val="2"/>
            <w:vMerge w:val="continue"/>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Recycling commodity</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Electricity(c)</w:t>
            </w: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(9)</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(10.8)</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(5.2)</w:t>
            </w: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(167)</w:t>
            </w:r>
          </w:p>
        </w:tc>
        <w:tc>
          <w:tcPr>
            <w:tcW w:w="1220" w:type="dxa"/>
            <w:vAlign w:val="bottom"/>
            <w:gridSpan w:val="2"/>
            <w:vMerge w:val="continue"/>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(265)</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(432)</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Acquisition</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Divestitures</w:t>
            </w: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80" w:type="dxa"/>
            <w:vAlign w:val="bottom"/>
          </w:tcPr>
          <w:p>
            <w:pPr>
              <w:jc w:val="right"/>
              <w:ind w:right="1714"/>
              <w:spacing w:after="0"/>
              <w:rPr>
                <w:sz w:val="20"/>
                <w:szCs w:val="20"/>
                <w:color w:val="auto"/>
              </w:rPr>
            </w:pPr>
            <w:r>
              <w:rPr>
                <w:rFonts w:ascii="Arial" w:cs="Arial" w:eastAsia="Arial" w:hAnsi="Arial"/>
                <w:sz w:val="13"/>
                <w:szCs w:val="13"/>
                <w:color w:val="auto"/>
              </w:rPr>
              <w:t>29</w:t>
            </w: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100" w:hanging="252"/>
        <w:spacing w:after="0" w:line="260"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These percentages are calculated by dividing the increase or decrease for the three months ended March 31, 2009 by related business revenue for the three months ended March 31, 2008, adjusted to exclude the impacts of divestitures of operations that contributed to revenues for the three months ended March 31, 2008 ($12 million). The table below summarizes the related business revenues for the three months ended March 31, 2008, adjusted to exclude the impacts of divestitures, which represents the denominator used to calculate the percentages of related business:</w:t>
      </w:r>
    </w:p>
    <w:p>
      <w:pPr>
        <w:sectPr>
          <w:pgSz w:w="11900" w:h="16838" w:orient="portrait"/>
          <w:cols w:equalWidth="0" w:num="1">
            <w:col w:w="10660"/>
          </w:cols>
          <w:pgMar w:left="220" w:top="343" w:right="1019" w:bottom="1440" w:gutter="0" w:footer="0" w:header="0"/>
        </w:sectPr>
      </w:pP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2"/>
          <w:szCs w:val="12"/>
          <w:color w:val="auto"/>
        </w:rPr>
        <w:t>Collection, landfill and transfer</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Collection and disposal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Recycling commodity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Electricity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Company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05" w:hanging="205"/>
        <w:spacing w:after="0"/>
        <w:tabs>
          <w:tab w:leader="none" w:pos="205" w:val="left"/>
        </w:tabs>
        <w:numPr>
          <w:ilvl w:val="0"/>
          <w:numId w:val="23"/>
        </w:numPr>
        <w:rPr>
          <w:rFonts w:ascii="Arial" w:cs="Arial" w:eastAsia="Arial" w:hAnsi="Arial"/>
          <w:sz w:val="11"/>
          <w:szCs w:val="11"/>
          <w:color w:val="auto"/>
        </w:rPr>
      </w:pPr>
      <w:r>
        <w:rPr>
          <w:rFonts w:ascii="Arial" w:cs="Arial" w:eastAsia="Arial" w:hAnsi="Arial"/>
          <w:sz w:val="11"/>
          <w:szCs w:val="11"/>
          <w:color w:val="auto"/>
        </w:rPr>
        <w:t>2,582</w:t>
      </w:r>
    </w:p>
    <w:p>
      <w:pPr>
        <w:spacing w:after="0" w:line="38" w:lineRule="exact"/>
        <w:rPr>
          <w:rFonts w:ascii="Arial" w:cs="Arial" w:eastAsia="Arial" w:hAnsi="Arial"/>
          <w:sz w:val="11"/>
          <w:szCs w:val="11"/>
          <w:color w:val="auto"/>
        </w:rPr>
      </w:pPr>
    </w:p>
    <w:p>
      <w:pPr>
        <w:ind w:left="305"/>
        <w:spacing w:after="0"/>
        <w:rPr>
          <w:rFonts w:ascii="Arial" w:cs="Arial" w:eastAsia="Arial" w:hAnsi="Arial"/>
          <w:sz w:val="11"/>
          <w:szCs w:val="11"/>
          <w:color w:val="auto"/>
        </w:rPr>
      </w:pPr>
      <w:r>
        <w:rPr>
          <w:rFonts w:ascii="Arial" w:cs="Arial" w:eastAsia="Arial" w:hAnsi="Arial"/>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31178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34"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2,683</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336</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83</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1178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ind w:left="205" w:hanging="205"/>
        <w:spacing w:after="0"/>
        <w:tabs>
          <w:tab w:leader="none" w:pos="205" w:val="left"/>
        </w:tabs>
        <w:numPr>
          <w:ilvl w:val="0"/>
          <w:numId w:val="24"/>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3,254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1178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9355" w:space="720"/>
            <w:col w:w="585"/>
          </w:cols>
          <w:pgMar w:left="220" w:top="343" w:right="1019" w:bottom="1440" w:gutter="0" w:footer="0" w:header="0"/>
          <w:type w:val="continuous"/>
        </w:sectPr>
      </w:pPr>
    </w:p>
    <w:p>
      <w:pPr>
        <w:ind w:left="1000" w:right="140" w:hanging="259"/>
        <w:spacing w:after="0" w:line="276"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These percentages are calculated by dividing the amount of the increase or decrease for the three months ended March 31, 2009 by total company revenue for the three months ended March 31, 2008 ($3,266 million) adjusted to exclude the impacts of divestitures ($12 million).</w:t>
      </w:r>
    </w:p>
    <w:p>
      <w:pPr>
        <w:spacing w:after="0" w:line="49" w:lineRule="exact"/>
        <w:rPr>
          <w:rFonts w:ascii="Arial" w:cs="Arial" w:eastAsia="Arial" w:hAnsi="Arial"/>
          <w:sz w:val="13"/>
          <w:szCs w:val="13"/>
          <w:color w:val="auto"/>
        </w:rPr>
      </w:pPr>
    </w:p>
    <w:p>
      <w:pPr>
        <w:ind w:left="1000" w:right="100" w:hanging="252"/>
        <w:spacing w:after="0" w:line="260"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Average yield from “Collection and disposal” excludes all electricity-related revenues generated by our Wheelabrator Group, which are reported as “Electricity” revenues. In prior periods, amounts reported as “Electricity” revenues were attributable to Wheelabrator’s IPPs only. Beginning with our current period reporting, “Electricity” also includes electricity-related revenues at our waste-to-energy facilities. Accordingly, beginning in 2009, the “Waste-to-energy disposal” component of “Collection and disposal” average yield is principally related to disposal revenues.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revenues decreased $456 million, or 14.0%, for the three months ended March 31, 2009 as compared with the prior year period. Over 70% of this decline can be attributed to</w:t>
      </w:r>
    </w:p>
    <w:p>
      <w:pPr>
        <w:spacing w:after="0" w:line="27" w:lineRule="exact"/>
        <w:rPr>
          <w:sz w:val="20"/>
          <w:szCs w:val="20"/>
          <w:color w:val="auto"/>
        </w:rPr>
      </w:pPr>
    </w:p>
    <w:p>
      <w:pPr>
        <w:ind w:left="680" w:firstLine="7"/>
        <w:spacing w:after="0" w:line="254" w:lineRule="auto"/>
        <w:tabs>
          <w:tab w:leader="none" w:pos="8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recyclable commodity prices; (ii) lower fuel prices, which reduced revenue provided by our fuel surcharge program; (iii) foreign currency translation on revenues from our Canadian operations; (iv) fewer work days in the current quarter than in the same quarter of the prior year; and (v) the effect of lower electricity prices on our waste-to-energy business. In addition, revenues continue to decline due to lower volumes, which has been driven by the slowdown in the economy. During the first quarter of 2009, economic pressures continued to significantly reduce consumer and business spending, which means less waste is being produced. A portion of the volume decline can also be attributed to our continued focus on improving our margins through increased pricing. Our revenue growth from average yield on our collection and disposal operations was $84 million in the first quarter of 2009, which demonstrates our commitment to pricing even in the current economic environment.</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increases in yield were driven by our collection operations, which experienced substantial yield growth in all lines of business and in every geographic operating group primarily as a result of our continued focus on pricing. As discussed below, increased collection revenues due to pricing have been more than offset by revenue declines from lower collection volumes. However, increased yield on base business and a focus on controlling variable costs continue to provide margin improvements in our collection line of business. In addition to the improvements in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collection line of business, we experienced increases in revenues from yield at our landfills and our transfer stations due to our continued focus on pricing activities.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Revenues from our environmental fee, which are included in average yield on collection and disposal, increased from $42 million for the three months ended March 31, 2008 to $52 million for the three months ended March 31, 2009.</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Recycling commodity </w:t>
      </w:r>
      <w:r>
        <w:rPr>
          <w:rFonts w:ascii="Arial" w:cs="Arial" w:eastAsia="Arial" w:hAnsi="Arial"/>
          <w:sz w:val="13"/>
          <w:szCs w:val="13"/>
          <w:color w:val="auto"/>
        </w:rPr>
        <w:t>— Decreases in the prices of the recycling commodities we process resulted in a decline in revenues of $178 million for the three months ended March 31, 2009</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with the prior year period. During the fourth quarter of 2008, we saw a rapid decline in commodity prices due to a significant decrease in the demand for commodities both domestically and internationally. Commodity demand and prices continued to be weak in the first quarter of 2009, particularly as compared with the same period of the prior year when commodity prices were increasing. For the first three months of 2009, average prices for old corrugated cardboard decreased by almost 75% and average prices for old newsprint decreased by almost 65% as compared with the comparable prior year period.</w:t>
      </w:r>
    </w:p>
    <w:p>
      <w:pPr>
        <w:spacing w:after="0" w:line="71" w:lineRule="exact"/>
        <w:rPr>
          <w:sz w:val="20"/>
          <w:szCs w:val="20"/>
          <w:color w:val="auto"/>
        </w:rPr>
      </w:pPr>
    </w:p>
    <w:p>
      <w:pPr>
        <w:jc w:val="both"/>
        <w:ind w:left="680" w:right="160" w:firstLine="399"/>
        <w:spacing w:after="0" w:line="260" w:lineRule="auto"/>
        <w:rPr>
          <w:sz w:val="20"/>
          <w:szCs w:val="20"/>
          <w:color w:val="auto"/>
        </w:rPr>
      </w:pPr>
      <w:r>
        <w:rPr>
          <w:rFonts w:ascii="Arial" w:cs="Arial" w:eastAsia="Arial" w:hAnsi="Arial"/>
          <w:sz w:val="13"/>
          <w:szCs w:val="13"/>
          <w:i w:val="1"/>
          <w:iCs w:val="1"/>
          <w:color w:val="auto"/>
        </w:rPr>
        <w:t xml:space="preserve">Electricity </w:t>
      </w:r>
      <w:r>
        <w:rPr>
          <w:rFonts w:ascii="Arial" w:cs="Arial" w:eastAsia="Arial" w:hAnsi="Arial"/>
          <w:sz w:val="13"/>
          <w:szCs w:val="13"/>
          <w:color w:val="auto"/>
        </w:rPr>
        <w:t>— For the three months ended March 31, 2009, we experienced declines in revenue from yield at our waste-to-energy facilities due to the falling natural gas prices. The</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revenue from yield provided by our waste-to-energy business are largely due to fluctuations in rates charged for electricity under our power purchase contracts, which generally are indexed to natural gas prices. Our waste-to-energy facilities’ exposure to market price volatility is increasing as more long-term contracts expire and we shift our focus to a varied-term portfolio strategy to minimize energy risk.</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Revenue generated by our fuel surcharge program decreased by $64 million when comparing the first quarter of 2009 with the first quarter of</w:t>
      </w:r>
      <w:r>
        <w:rPr>
          <w:rFonts w:ascii="Arial" w:cs="Arial" w:eastAsia="Arial" w:hAnsi="Arial"/>
          <w:sz w:val="13"/>
          <w:szCs w:val="13"/>
          <w:i w:val="1"/>
          <w:iCs w:val="1"/>
          <w:color w:val="auto"/>
        </w:rPr>
        <w:t xml:space="preserve"> </w:t>
      </w:r>
      <w:r>
        <w:rPr>
          <w:rFonts w:ascii="Arial" w:cs="Arial" w:eastAsia="Arial" w:hAnsi="Arial"/>
          <w:sz w:val="13"/>
          <w:szCs w:val="13"/>
          <w:color w:val="auto"/>
        </w:rPr>
        <w:t>2008. This decline is directly attributable to the decrease in the cost of fuel.</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The $265 million decline in revenues due to lower volumes when comparing the three months ended March 31, 2009 with the corresponding prior year period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driven by a $150 million decline in our collection volumes. Our industrial collection operations experienced the most significant revenue declines due to lower volumes as a result of the continued slowdown in both residential and commercial construction activities across the United States. While our commercial collection line of business tends to be relatively recession resistant, we have experienced some volume declines in this business that we attribute to the recessionary environment. In addition, our revenues from collection volumes continue to decrease as we improve margins through increased pricing.</w:t>
      </w:r>
    </w:p>
    <w:p>
      <w:pPr>
        <w:spacing w:after="0" w:line="71"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During the three-month period, we also experienced declines in third-party revenue at our landfills due to reduced municipal solid waste and special waste volumes. The most significant decline was in the municipal solid waste stream particularly in the Eastern and Western Groups due primarily to the slowdown in the economy.</w:t>
      </w:r>
    </w:p>
    <w:p>
      <w:pPr>
        <w:spacing w:after="0" w:line="35"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Declines in revenues due to lower third party volumes in our transfer station operations have been the most notable in our Eastern Group and can generally be attributed to the effects of pricing and sluggish economic conditions. Revenues decreased $24 million when comparing the first quarter of 2009 with the first quarter of 2008 due to lower volumes in our recycling operations. The decrease was attributable to the drastic decline in the domestic and international demand for recyclables in late 2008 that has continued in 2009.</w:t>
      </w:r>
    </w:p>
    <w:p>
      <w:pPr>
        <w:spacing w:after="0" w:line="5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Acquisition and Divestitures </w:t>
      </w:r>
      <w:r>
        <w:rPr>
          <w:rFonts w:ascii="Arial" w:cs="Arial" w:eastAsia="Arial" w:hAnsi="Arial"/>
          <w:sz w:val="13"/>
          <w:szCs w:val="13"/>
          <w:color w:val="auto"/>
        </w:rPr>
        <w:t>— Revenues increased $23 million due to acquisitions, while divestitures accounted for decreased revenues of $12 million for the three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March 31, 2009. Revenue growth from acquisitions exceeded revenue declines from divestitures, reflecting (i) that there are less under-performing operations that are being considered for divestiture and (ii) the resulting shift of focus to accretive acquisitions.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three-month periods ended March 31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177"/>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ind w:left="197"/>
              <w:spacing w:after="0"/>
              <w:rPr>
                <w:sz w:val="20"/>
                <w:szCs w:val="20"/>
                <w:color w:val="auto"/>
              </w:rPr>
            </w:pPr>
            <w:r>
              <w:rPr>
                <w:rFonts w:ascii="Arial" w:cs="Arial" w:eastAsia="Arial" w:hAnsi="Arial"/>
                <w:sz w:val="10"/>
                <w:szCs w:val="10"/>
                <w:b w:val="1"/>
                <w:bCs w:val="1"/>
                <w:color w:val="auto"/>
                <w:w w:val="99"/>
              </w:rPr>
              <w:t>March 31,</w:t>
            </w:r>
          </w:p>
        </w:tc>
        <w:tc>
          <w:tcPr>
            <w:tcW w:w="3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(41)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(16.0)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170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(47)</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(21.7)</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8"/>
              </w:rPr>
              <w:t>(120)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(55.6)</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89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(79)</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(47.0)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43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(21)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(32.8)</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(12.3)</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101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3"/>
                <w:szCs w:val="13"/>
                <w:color w:val="auto"/>
              </w:rPr>
            </w:pPr>
          </w:p>
        </w:tc>
        <w:tc>
          <w:tcPr>
            <w:tcW w:w="740" w:type="dxa"/>
            <w:vAlign w:val="bottom"/>
            <w:gridSpan w:val="2"/>
          </w:tcPr>
          <w:p>
            <w:pPr>
              <w:jc w:val="right"/>
              <w:ind w:right="408"/>
              <w:spacing w:after="0"/>
              <w:rPr>
                <w:sz w:val="20"/>
                <w:szCs w:val="20"/>
                <w:color w:val="auto"/>
              </w:rPr>
            </w:pPr>
            <w:r>
              <w:rPr>
                <w:rFonts w:ascii="Arial" w:cs="Arial" w:eastAsia="Arial" w:hAnsi="Arial"/>
                <w:sz w:val="13"/>
                <w:szCs w:val="13"/>
                <w:color w:val="auto"/>
              </w:rPr>
              <w:t>2</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8"/>
              </w:rPr>
              <w:t>(367)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(17.5)%</w:t>
            </w: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summarized in the table above, our operating expenses decreased by $367 million, or 17.5%, when comparing the three months ended March 31, 2009 with the comparable prior year period. Our operating expenses as a percentage of revenues decreased from 64.1% in the first quarter of 2008 to 61.4% in the current period. The decreases in our operating expenses during the first quarter of 2009 can largely be attributed to the following economic and market conditions:</w:t>
      </w:r>
    </w:p>
    <w:p>
      <w:pPr>
        <w:spacing w:after="0" w:line="67" w:lineRule="exact"/>
        <w:rPr>
          <w:sz w:val="20"/>
          <w:szCs w:val="20"/>
          <w:color w:val="auto"/>
        </w:rPr>
      </w:pPr>
    </w:p>
    <w:p>
      <w:pPr>
        <w:ind w:left="1280" w:right="20" w:hanging="190"/>
        <w:spacing w:after="0" w:line="26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Volume declines — </w:t>
      </w:r>
      <w:r>
        <w:rPr>
          <w:rFonts w:ascii="Arial" w:cs="Arial" w:eastAsia="Arial" w:hAnsi="Arial"/>
          <w:sz w:val="13"/>
          <w:szCs w:val="13"/>
          <w:color w:val="auto"/>
        </w:rPr>
        <w:t>In the first quarter of 2009, we experienced volume declines as a result of the weaker economy and our focus on our pricing program. We continue to manage</w:t>
      </w:r>
      <w:r>
        <w:rPr>
          <w:rFonts w:ascii="Arial" w:cs="Arial" w:eastAsia="Arial" w:hAnsi="Arial"/>
          <w:sz w:val="13"/>
          <w:szCs w:val="13"/>
          <w:i w:val="1"/>
          <w:iCs w:val="1"/>
          <w:color w:val="auto"/>
        </w:rPr>
        <w:t xml:space="preserve"> </w:t>
      </w:r>
      <w:r>
        <w:rPr>
          <w:rFonts w:ascii="Arial" w:cs="Arial" w:eastAsia="Arial" w:hAnsi="Arial"/>
          <w:sz w:val="13"/>
          <w:szCs w:val="13"/>
          <w:color w:val="auto"/>
        </w:rPr>
        <w:t>our fixed costs and reduce our variable costs as we experience volume declines, and have achieved significant cost savings as a result. These cost decreases have benefited each of the operating cost categories identified in the table above.</w:t>
      </w:r>
    </w:p>
    <w:p>
      <w:pPr>
        <w:spacing w:after="0" w:line="57" w:lineRule="exact"/>
        <w:rPr>
          <w:rFonts w:ascii="Arial" w:cs="Arial" w:eastAsia="Arial" w:hAnsi="Arial"/>
          <w:sz w:val="13"/>
          <w:szCs w:val="13"/>
          <w:color w:val="auto"/>
        </w:rPr>
      </w:pPr>
    </w:p>
    <w:p>
      <w:pPr>
        <w:jc w:val="both"/>
        <w:ind w:left="1280" w:right="20" w:hanging="190"/>
        <w:spacing w:after="0" w:line="322" w:lineRule="auto"/>
        <w:tabs>
          <w:tab w:leader="none" w:pos="1280" w:val="left"/>
        </w:tabs>
        <w:numPr>
          <w:ilvl w:val="0"/>
          <w:numId w:val="27"/>
        </w:numPr>
        <w:rPr>
          <w:rFonts w:ascii="Arial" w:cs="Arial" w:eastAsia="Arial" w:hAnsi="Arial"/>
          <w:sz w:val="11"/>
          <w:szCs w:val="11"/>
          <w:color w:val="auto"/>
        </w:rPr>
      </w:pPr>
      <w:r>
        <w:rPr>
          <w:rFonts w:ascii="Arial" w:cs="Arial" w:eastAsia="Arial" w:hAnsi="Arial"/>
          <w:sz w:val="11"/>
          <w:szCs w:val="11"/>
          <w:i w:val="1"/>
          <w:iCs w:val="1"/>
          <w:color w:val="auto"/>
        </w:rPr>
        <w:t xml:space="preserve">Lower market prices for commodities — </w:t>
      </w:r>
      <w:r>
        <w:rPr>
          <w:rFonts w:ascii="Arial" w:cs="Arial" w:eastAsia="Arial" w:hAnsi="Arial"/>
          <w:sz w:val="11"/>
          <w:szCs w:val="11"/>
          <w:color w:val="auto"/>
        </w:rPr>
        <w:t>Market prices for commodities declined sharply when comparing the first quarter of 2009 with the corresponding prior year period. This</w:t>
      </w:r>
      <w:r>
        <w:rPr>
          <w:rFonts w:ascii="Arial" w:cs="Arial" w:eastAsia="Arial" w:hAnsi="Arial"/>
          <w:sz w:val="11"/>
          <w:szCs w:val="11"/>
          <w:i w:val="1"/>
          <w:iCs w:val="1"/>
          <w:color w:val="auto"/>
        </w:rPr>
        <w:t xml:space="preserve"> </w:t>
      </w:r>
      <w:r>
        <w:rPr>
          <w:rFonts w:ascii="Arial" w:cs="Arial" w:eastAsia="Arial" w:hAnsi="Arial"/>
          <w:sz w:val="11"/>
          <w:szCs w:val="11"/>
          <w:color w:val="auto"/>
        </w:rPr>
        <w:t>significant decrease in market prices was the driver of the current quarter decrease in cost of goods sold. Market prices for recyclable commodities climbed robustly through most of 2008, achieving multi-year record levels during the first quarter of 2008. However, during the fourth quarter of 2008, the market prices and demand for recyclable commodities declined sharply. These multi-year low prices and demand carried into the first quarter of 2009 and had a significant negative impact on the recycling portion of our business.</w:t>
      </w:r>
    </w:p>
    <w:p>
      <w:pPr>
        <w:spacing w:after="0" w:line="28" w:lineRule="exact"/>
        <w:rPr>
          <w:rFonts w:ascii="Arial" w:cs="Arial" w:eastAsia="Arial" w:hAnsi="Arial"/>
          <w:sz w:val="11"/>
          <w:szCs w:val="11"/>
          <w:color w:val="auto"/>
        </w:rPr>
      </w:pPr>
    </w:p>
    <w:p>
      <w:pPr>
        <w:ind w:left="1280" w:right="12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Fuel cost decreases — </w:t>
      </w:r>
      <w:r>
        <w:rPr>
          <w:rFonts w:ascii="Arial" w:cs="Arial" w:eastAsia="Arial" w:hAnsi="Arial"/>
          <w:sz w:val="13"/>
          <w:szCs w:val="13"/>
          <w:color w:val="auto"/>
        </w:rPr>
        <w:t>On average, diesel fuel prices decreased 38% from $3.55 per gallon in the first quarter of 2008 to $2.19 per gallon in the first quarter of 2009. Lower fuel</w:t>
      </w:r>
      <w:r>
        <w:rPr>
          <w:rFonts w:ascii="Arial" w:cs="Arial" w:eastAsia="Arial" w:hAnsi="Arial"/>
          <w:sz w:val="13"/>
          <w:szCs w:val="13"/>
          <w:i w:val="1"/>
          <w:iCs w:val="1"/>
          <w:color w:val="auto"/>
        </w:rPr>
        <w:t xml:space="preserve"> </w:t>
      </w:r>
      <w:r>
        <w:rPr>
          <w:rFonts w:ascii="Arial" w:cs="Arial" w:eastAsia="Arial" w:hAnsi="Arial"/>
          <w:sz w:val="13"/>
          <w:szCs w:val="13"/>
          <w:color w:val="auto"/>
        </w:rPr>
        <w:t>costs caused decreases in both our direct fuel costs and our subcontractor costs for the first quarter of 2009.</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Weakening of the Canadian dollar </w:t>
      </w:r>
      <w:r>
        <w:rPr>
          <w:rFonts w:ascii="Arial" w:cs="Arial" w:eastAsia="Arial" w:hAnsi="Arial"/>
          <w:sz w:val="13"/>
          <w:szCs w:val="13"/>
          <w:color w:val="auto"/>
        </w:rPr>
        <w:t>— When comparing the average exchange rate for the first quarter of 2009 with the first quarter of 2008, the Canadian rate weakened by 19%,</w:t>
      </w:r>
      <w:r>
        <w:rPr>
          <w:rFonts w:ascii="Arial" w:cs="Arial" w:eastAsia="Arial" w:hAnsi="Arial"/>
          <w:sz w:val="13"/>
          <w:szCs w:val="13"/>
          <w:i w:val="1"/>
          <w:iCs w:val="1"/>
          <w:color w:val="auto"/>
        </w:rPr>
        <w:t xml:space="preserve"> </w:t>
      </w:r>
      <w:r>
        <w:rPr>
          <w:rFonts w:ascii="Arial" w:cs="Arial" w:eastAsia="Arial" w:hAnsi="Arial"/>
          <w:sz w:val="13"/>
          <w:szCs w:val="13"/>
          <w:color w:val="auto"/>
        </w:rPr>
        <w:t>which decreased our expenses in all operating cost categories.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After considering the significant impacts that these general economic and market conditions had on our operating expenses for the first quarter of 2009, we are encouraged that our results continue to reflect our focus on identifying operational efficiencies that translate into cost savings and on managing our fixed costs and reducing our variable costs as volumes decline due to our pricing program and the current economic downturn.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items affecting the comparability of our operating expenses by category for the three months ended March 31, 2009 and 2008 include the following:</w:t>
      </w:r>
    </w:p>
    <w:p>
      <w:pPr>
        <w:spacing w:after="0" w:line="96" w:lineRule="exact"/>
        <w:rPr>
          <w:sz w:val="20"/>
          <w:szCs w:val="20"/>
          <w:color w:val="auto"/>
        </w:rPr>
      </w:pPr>
    </w:p>
    <w:p>
      <w:pPr>
        <w:ind w:left="1280" w:right="4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Decreases are a result of (i) cost savings provided by our operational improvement initiatives; and (ii) a benefit from the impact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reorganization the Company initiated in January of 2009, although most of these savings are reflected in our selling, general and administrative expenses. These cost savings have been offset by higher salaries and hourly wages due to annual merit increases that were effective on April 1, 2008.</w:t>
      </w:r>
    </w:p>
    <w:p>
      <w:pPr>
        <w:spacing w:after="0" w:line="57" w:lineRule="exact"/>
        <w:rPr>
          <w:rFonts w:ascii="Arial" w:cs="Arial" w:eastAsia="Arial" w:hAnsi="Arial"/>
          <w:sz w:val="13"/>
          <w:szCs w:val="13"/>
          <w:color w:val="auto"/>
        </w:rPr>
      </w:pPr>
    </w:p>
    <w:p>
      <w:pPr>
        <w:ind w:left="1280" w:right="200" w:hanging="190"/>
        <w:spacing w:after="0" w:line="320"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Maintenance and repairs </w:t>
      </w:r>
      <w:r>
        <w:rPr>
          <w:rFonts w:ascii="Arial" w:cs="Arial" w:eastAsia="Arial" w:hAnsi="Arial"/>
          <w:sz w:val="12"/>
          <w:szCs w:val="12"/>
          <w:color w:val="auto"/>
        </w:rPr>
        <w:t>— These costs have declined as a result of various fleet initiatives that have favorably affected our maintenance, parts and supplies costs, which have</w:t>
      </w:r>
      <w:r>
        <w:rPr>
          <w:rFonts w:ascii="Arial" w:cs="Arial" w:eastAsia="Arial" w:hAnsi="Arial"/>
          <w:sz w:val="12"/>
          <w:szCs w:val="12"/>
          <w:i w:val="1"/>
          <w:iCs w:val="1"/>
          <w:color w:val="auto"/>
        </w:rPr>
        <w:t xml:space="preserve"> </w:t>
      </w:r>
      <w:r>
        <w:rPr>
          <w:rFonts w:ascii="Arial" w:cs="Arial" w:eastAsia="Arial" w:hAnsi="Arial"/>
          <w:sz w:val="12"/>
          <w:szCs w:val="12"/>
          <w:color w:val="auto"/>
        </w:rPr>
        <w:t>been offset by cost increases due to changes in the timing and scope of planned maintenance projects at our waste-to-energy and landfill gas-to-energy facilities.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These cost decreases can be attributed to:</w:t>
      </w:r>
    </w:p>
    <w:p>
      <w:pPr>
        <w:spacing w:after="0" w:line="96" w:lineRule="exact"/>
        <w:rPr>
          <w:rFonts w:ascii="Arial" w:cs="Arial" w:eastAsia="Arial" w:hAnsi="Arial"/>
          <w:sz w:val="13"/>
          <w:szCs w:val="13"/>
          <w:color w:val="auto"/>
        </w:rPr>
      </w:pPr>
    </w:p>
    <w:p>
      <w:pPr>
        <w:ind w:left="1280" w:right="100" w:firstLine="381"/>
        <w:spacing w:after="0" w:line="320" w:lineRule="auto"/>
        <w:tabs>
          <w:tab w:leader="none" w:pos="1812" w:val="left"/>
        </w:tabs>
        <w:numPr>
          <w:ilvl w:val="1"/>
          <w:numId w:val="28"/>
        </w:numPr>
        <w:rPr>
          <w:rFonts w:ascii="Arial" w:cs="Arial" w:eastAsia="Arial" w:hAnsi="Arial"/>
          <w:sz w:val="12"/>
          <w:szCs w:val="12"/>
          <w:color w:val="auto"/>
        </w:rPr>
      </w:pPr>
      <w:r>
        <w:rPr>
          <w:rFonts w:ascii="Arial" w:cs="Arial" w:eastAsia="Arial" w:hAnsi="Arial"/>
          <w:sz w:val="12"/>
          <w:szCs w:val="12"/>
          <w:color w:val="auto"/>
        </w:rPr>
        <w:t>the recognition of a $10 million favorable adjustment during the first quarter of 2009 due to higher United States Treasury rates, which are used to estimate the present value of our environmental remediation obligations. During the first quarter of 2009, the discount rate used was increased from 2.25% to 2.75%; and</w:t>
      </w:r>
    </w:p>
    <w:p>
      <w:pPr>
        <w:spacing w:after="0" w:line="35" w:lineRule="exact"/>
        <w:rPr>
          <w:rFonts w:ascii="Arial" w:cs="Arial" w:eastAsia="Arial" w:hAnsi="Arial"/>
          <w:sz w:val="12"/>
          <w:szCs w:val="12"/>
          <w:color w:val="auto"/>
        </w:rPr>
      </w:pPr>
    </w:p>
    <w:p>
      <w:pPr>
        <w:ind w:left="1860" w:hanging="199"/>
        <w:spacing w:after="0"/>
        <w:tabs>
          <w:tab w:leader="none" w:pos="1860" w:val="left"/>
        </w:tabs>
        <w:numPr>
          <w:ilvl w:val="1"/>
          <w:numId w:val="28"/>
        </w:numPr>
        <w:rPr>
          <w:rFonts w:ascii="Arial" w:cs="Arial" w:eastAsia="Arial" w:hAnsi="Arial"/>
          <w:sz w:val="12"/>
          <w:szCs w:val="12"/>
          <w:color w:val="auto"/>
        </w:rPr>
      </w:pPr>
      <w:r>
        <w:rPr>
          <w:rFonts w:ascii="Arial" w:cs="Arial" w:eastAsia="Arial" w:hAnsi="Arial"/>
          <w:sz w:val="12"/>
          <w:szCs w:val="12"/>
          <w:color w:val="auto"/>
        </w:rPr>
        <w:t>the impact of the January 1, 2008 adoption of SFAS No. 157 with respect to assets and liabilities recognized at fair value on a recurring basis, which resulted in a</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$6 million charge to landfill operating costs during the first quarter of 2008.</w:t>
      </w:r>
    </w:p>
    <w:p>
      <w:pPr>
        <w:spacing w:after="0" w:line="8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Risk management </w:t>
      </w:r>
      <w:r>
        <w:rPr>
          <w:rFonts w:ascii="Arial" w:cs="Arial" w:eastAsia="Arial" w:hAnsi="Arial"/>
          <w:sz w:val="12"/>
          <w:szCs w:val="12"/>
          <w:color w:val="auto"/>
        </w:rPr>
        <w:t>— cost decreases due primarily to reduced costs related to auto and general liability, partially offset by higher costs associated with workers’ compensation.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selling, general and administrative costs for the three-month periods ended March 31 (dollars in millions):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8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3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380" w:type="dxa"/>
            <w:vAlign w:val="bottom"/>
          </w:tcPr>
          <w:p>
            <w:pPr>
              <w:spacing w:after="0"/>
              <w:rPr>
                <w:sz w:val="10"/>
                <w:szCs w:val="10"/>
                <w:color w:val="auto"/>
              </w:rPr>
            </w:pPr>
          </w:p>
        </w:tc>
        <w:tc>
          <w:tcPr>
            <w:tcW w:w="138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9"/>
              </w:rPr>
              <w:t>March 31,</w:t>
            </w:r>
          </w:p>
        </w:tc>
        <w:tc>
          <w:tcPr>
            <w:tcW w:w="3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$ 196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$ 217</w:t>
            </w:r>
          </w:p>
        </w:tc>
        <w:tc>
          <w:tcPr>
            <w:tcW w:w="7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 (21)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Professional fees</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388"/>
              <w:spacing w:after="0"/>
              <w:rPr>
                <w:sz w:val="20"/>
                <w:szCs w:val="20"/>
                <w:color w:val="auto"/>
              </w:rPr>
            </w:pPr>
            <w:r>
              <w:rPr>
                <w:rFonts w:ascii="Arial" w:cs="Arial" w:eastAsia="Arial" w:hAnsi="Arial"/>
                <w:sz w:val="13"/>
                <w:szCs w:val="13"/>
                <w:color w:val="auto"/>
              </w:rPr>
              <w:t>(3)</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86</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99</w:t>
            </w:r>
          </w:p>
        </w:tc>
        <w:tc>
          <w:tcPr>
            <w:tcW w:w="780" w:type="dxa"/>
            <w:vAlign w:val="bottom"/>
            <w:gridSpan w:val="2"/>
          </w:tcPr>
          <w:p>
            <w:pPr>
              <w:jc w:val="right"/>
              <w:ind w:right="388"/>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(13.1)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$ 337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$ 368</w:t>
            </w:r>
          </w:p>
        </w:tc>
        <w:tc>
          <w:tcPr>
            <w:tcW w:w="7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 (31)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During the current quarter we began realizing benefits associated with our January 2009 reorganization (which is discussed in the</w:t>
      </w:r>
      <w:r>
        <w:rPr>
          <w:rFonts w:ascii="Arial" w:cs="Arial" w:eastAsia="Arial" w:hAnsi="Arial"/>
          <w:sz w:val="13"/>
          <w:szCs w:val="13"/>
          <w:i w:val="1"/>
          <w:iCs w:val="1"/>
          <w:color w:val="auto"/>
        </w:rPr>
        <w:t xml:space="preserve"> Restructuring </w:t>
      </w:r>
      <w:r>
        <w:rPr>
          <w:rFonts w:ascii="Arial" w:cs="Arial" w:eastAsia="Arial" w:hAnsi="Arial"/>
          <w:sz w:val="13"/>
          <w:szCs w:val="13"/>
          <w:color w:val="auto"/>
        </w:rPr>
        <w:t>section</w:t>
      </w:r>
      <w:r>
        <w:rPr>
          <w:rFonts w:ascii="Arial" w:cs="Arial" w:eastAsia="Arial" w:hAnsi="Arial"/>
          <w:sz w:val="13"/>
          <w:szCs w:val="13"/>
          <w:i w:val="1"/>
          <w:iCs w:val="1"/>
          <w:color w:val="auto"/>
        </w:rPr>
        <w:t xml:space="preserve"> </w:t>
      </w:r>
      <w:r>
        <w:rPr>
          <w:rFonts w:ascii="Arial" w:cs="Arial" w:eastAsia="Arial" w:hAnsi="Arial"/>
          <w:sz w:val="13"/>
          <w:szCs w:val="13"/>
          <w:color w:val="auto"/>
        </w:rPr>
        <w:t>below). Other items affecting the comparability of our labor and related benefits expenses include (i) lower non-cash compensation costs associated with the equity-based compensation provided for by our long-term incentive plans as a result of both a decline in our stock price and relatively lower performance against established targets than in the prior year; and (ii) a decline in contract labor costs that were primarily incurred for Corporate support functions.</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increase in our provision for bad debts is due to the effects of the weakened economy, which has increased collection risks associated with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the current year we experienced lower travel and entertainment costs resulting from the Company’s increased efforts to reduce controllable spending. These lower</w:t>
      </w:r>
      <w:r>
        <w:rPr>
          <w:rFonts w:ascii="Arial" w:cs="Arial" w:eastAsia="Arial" w:hAnsi="Arial"/>
          <w:sz w:val="13"/>
          <w:szCs w:val="13"/>
          <w:i w:val="1"/>
          <w:iCs w:val="1"/>
          <w:color w:val="auto"/>
        </w:rPr>
        <w:t xml:space="preserve"> </w:t>
      </w:r>
      <w:r>
        <w:rPr>
          <w:rFonts w:ascii="Arial" w:cs="Arial" w:eastAsia="Arial" w:hAnsi="Arial"/>
          <w:sz w:val="13"/>
          <w:szCs w:val="13"/>
          <w:color w:val="auto"/>
        </w:rPr>
        <w:t>costs were attributable, in part, to the recent reorganization.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three-month periods ended March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$ 195</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88</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3"/>
                <w:szCs w:val="13"/>
                <w:color w:val="auto"/>
              </w:rPr>
            </w:pPr>
          </w:p>
        </w:tc>
        <w:tc>
          <w:tcPr>
            <w:tcW w:w="640" w:type="dxa"/>
            <w:vAlign w:val="bottom"/>
            <w:gridSpan w:val="2"/>
          </w:tcPr>
          <w:p>
            <w:pPr>
              <w:jc w:val="right"/>
              <w:ind w:right="388"/>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(6.4)</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7"/>
              </w:rPr>
              <w:t>(2.7)</w:t>
            </w:r>
          </w:p>
        </w:tc>
        <w:tc>
          <w:tcPr>
            <w:tcW w:w="0" w:type="dxa"/>
            <w:vAlign w:val="bottom"/>
          </w:tcPr>
          <w:p>
            <w:pPr>
              <w:spacing w:after="0" w:line="20" w:lineRule="exact"/>
              <w:rPr>
                <w:sz w:val="1"/>
                <w:szCs w:val="1"/>
                <w:color w:val="auto"/>
              </w:rPr>
            </w:pPr>
          </w:p>
        </w:tc>
      </w:tr>
      <w:tr>
        <w:trPr>
          <w:trHeight w:val="156"/>
        </w:trPr>
        <w:tc>
          <w:tcPr>
            <w:tcW w:w="7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$ 289</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$ 297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8"/>
              <w:spacing w:after="0"/>
              <w:rPr>
                <w:sz w:val="20"/>
                <w:szCs w:val="20"/>
                <w:color w:val="auto"/>
              </w:rPr>
            </w:pPr>
            <w:r>
              <w:rPr>
                <w:rFonts w:ascii="Arial" w:cs="Arial" w:eastAsia="Arial" w:hAnsi="Arial"/>
                <w:sz w:val="13"/>
                <w:szCs w:val="13"/>
                <w:color w:val="auto"/>
              </w:rPr>
              <w:t>(8)</w:t>
            </w:r>
          </w:p>
        </w:tc>
        <w:tc>
          <w:tcPr>
            <w:tcW w:w="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decrease in depreciation and amortization expense in 2009 can generally be attributed to landfill volume declines.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principal operations are managed through our Groups, which are discussed in Note 9. Each of our geographic Groups had been further divided into several Market Areas. As a result of our restructuring, the 45 separate Market Areas that we previously operated have been consolidated into 25 Areas. We have found that our larger Market Areas generally were able to achieve efficiencies through economies of scale that were not present in our smaller Market Areas, and believe that this reorganization will allow us to lower costs and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geographic Groups. By integrating the management of our recycling services with the remainder of our solid waste business, we have significantly reduced the overhead costs associated with managing this portion of our business and have increased the geographic Groups’ focus on maximizing the profitability and return on invested capital of all aspects of our business as well as more efficiently providing comprehensive environmental solutions to our customers.</w:t>
      </w:r>
    </w:p>
    <w:p>
      <w:pPr>
        <w:spacing w:after="0" w:line="7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This reorganization has eliminated over 1,300 employee positions throughout the Company. During the first quarter of 2009, we recognized a $38 million pre-tax restructuring charge associated with this reorganization, $36 million of which was related to employee severance and benefit costs. The remaining charge was primarily related to abandoned operating lease agreements. We currently expect to incur additional restructuring charges of between $5 million and $15 million associated with this reorganization during 2009.</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associated with the general efforts of integrating a revenue management system with our existing applications and hardware.</w:t>
      </w:r>
    </w:p>
    <w:p>
      <w:pPr>
        <w:spacing w:after="0" w:line="70"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After a failed pilot implementation of the software in one of our smallest market areas, the development efforts associated with this revenue management system were suspended in 2007. As disclosed in Note 7 to our Condensed Consolidated Financial Statements, in March 2008, we filed suit against SAP and have been assigned a trial date of March 2010.</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During the first quarter of 2009, we determined that we plan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includes the use of the SAP software. Our determination to abandon the SAP software resulted in a non-cash impairment charge of $49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three-month periods ended March 31 and provides explanations of significant factors contributing to the identified variances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7"/>
              </w:rPr>
              <w:t>Three Months</w:t>
            </w:r>
          </w:p>
        </w:tc>
        <w:tc>
          <w:tcPr>
            <w:tcW w:w="12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71"/>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r>
              <w:rPr>
                <w:rFonts w:ascii="Arial" w:cs="Arial" w:eastAsia="Arial" w:hAnsi="Arial"/>
                <w:sz w:val="13"/>
                <w:szCs w:val="13"/>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92</w:t>
            </w: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123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(31)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6"/>
              </w:rPr>
              <w:t>(25.2)%</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(16.7)</w:t>
            </w:r>
          </w:p>
        </w:tc>
        <w:tc>
          <w:tcPr>
            <w:tcW w:w="0" w:type="dxa"/>
            <w:vAlign w:val="bottom"/>
          </w:tcPr>
          <w:p>
            <w:pPr>
              <w:spacing w:after="0"/>
              <w:rPr>
                <w:sz w:val="1"/>
                <w:szCs w:val="1"/>
                <w:color w:val="auto"/>
              </w:rPr>
            </w:pPr>
          </w:p>
        </w:tc>
      </w:tr>
      <w:tr>
        <w:trPr>
          <w:trHeight w:val="157"/>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(21)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(16.3)</w:t>
            </w:r>
          </w:p>
        </w:tc>
        <w:tc>
          <w:tcPr>
            <w:tcW w:w="0" w:type="dxa"/>
            <w:vAlign w:val="bottom"/>
          </w:tcPr>
          <w:p>
            <w:pPr>
              <w:spacing w:after="0"/>
              <w:rPr>
                <w:sz w:val="1"/>
                <w:szCs w:val="1"/>
                <w:color w:val="auto"/>
              </w:rPr>
            </w:pPr>
          </w:p>
        </w:tc>
      </w:tr>
      <w:tr>
        <w:trPr>
          <w:trHeight w:val="157"/>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(19)</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(32.8)</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9"/>
              </w:rPr>
              <w:t>(20.1)</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510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638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(128)</w:t>
            </w: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(27.2)%</w:t>
            </w: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372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511</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(139)</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Reportable segments </w:t>
      </w:r>
      <w:r>
        <w:rPr>
          <w:rFonts w:ascii="Arial" w:cs="Arial" w:eastAsia="Arial" w:hAnsi="Arial"/>
          <w:sz w:val="13"/>
          <w:szCs w:val="13"/>
          <w:color w:val="auto"/>
        </w:rPr>
        <w:t>— The following general market and economic conditions and the impacts of our January 2009 reorganization were the main drivers of the decline in the</w:t>
      </w:r>
      <w:r>
        <w:rPr>
          <w:rFonts w:ascii="Arial" w:cs="Arial" w:eastAsia="Arial" w:hAnsi="Arial"/>
          <w:sz w:val="13"/>
          <w:szCs w:val="13"/>
          <w:i w:val="1"/>
          <w:iCs w:val="1"/>
          <w:color w:val="auto"/>
        </w:rPr>
        <w:t xml:space="preserve"> </w:t>
      </w:r>
      <w:r>
        <w:rPr>
          <w:rFonts w:ascii="Arial" w:cs="Arial" w:eastAsia="Arial" w:hAnsi="Arial"/>
          <w:sz w:val="13"/>
          <w:szCs w:val="13"/>
          <w:color w:val="auto"/>
        </w:rPr>
        <w:t>income from operations of each of our four geographic segments when comparing the first quarter of 2009 with the first quarter of 2008:</w:t>
      </w:r>
    </w:p>
    <w:p>
      <w:pPr>
        <w:spacing w:after="0" w:line="59" w:lineRule="exact"/>
        <w:rPr>
          <w:sz w:val="20"/>
          <w:szCs w:val="20"/>
          <w:color w:val="auto"/>
        </w:rPr>
      </w:pPr>
    </w:p>
    <w:p>
      <w:pPr>
        <w:ind w:left="1280" w:right="40" w:hanging="190"/>
        <w:spacing w:after="0" w:line="258"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Significantly lower recycling commodity prices in the first quarter of 2009 as compared with the first quarter of 2008 had an unfavorable effect on each Group’s results. During the fourth quarter of 2008, commodity prices dropped sharply as a result of a significant decrease in the demand for commodities both domestically and internationally and these market conditions continued during the first quarter of 2009. The significant decline in commodity prices resulted in reduced earnings, including operating losses at certain of our recycling businesses, during the first quarter of 2009 compared with the strong earnings they produced during the first quarter of 2008 when commodity prices were at record highs.</w:t>
      </w:r>
    </w:p>
    <w:p>
      <w:pPr>
        <w:spacing w:after="0" w:line="61"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recorded $38 million of restructuring charges during the first quarter of 2009 associated with our January 2009 reorganization. Refer to Note 8 of our Condensed Consolidated Financial Statements for information related to the impact of this charge on each of our reportable segments.</w:t>
      </w:r>
    </w:p>
    <w:p>
      <w:pPr>
        <w:spacing w:after="0" w:line="49" w:lineRule="exact"/>
        <w:rPr>
          <w:rFonts w:ascii="Arial" w:cs="Arial" w:eastAsia="Arial" w:hAnsi="Arial"/>
          <w:sz w:val="13"/>
          <w:szCs w:val="13"/>
          <w:color w:val="auto"/>
        </w:rPr>
      </w:pPr>
    </w:p>
    <w:p>
      <w:pPr>
        <w:ind w:left="1280" w:right="20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Each Group experienced declines in revenues due to lower volumes. The volume declines were generally the result of the significant downturn in the overall economic environment, particularly in our industrial collection line of business which has been affected by the sharp decline in residential and commercial construction across the United States.</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negative impact of these factors has been partially offset by the favorable effects of (i) increased yield on our collection and disposal business as a result of our pricing strategies, particularly in our collection operations; and (ii) cost savings attributed to our recent reorganization, our continued focus on controlling costs through operating efficiencies and our increased focus on reducing controllable selling, general and administrative expenses, particularly for travel and entertainment.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Other significant items included those affecting the comparability of our Midwest and Wheelabrator Groups’ results of operations for the three-month periods ended March 31, 2009 and 2008, which are summarized below:</w:t>
      </w:r>
    </w:p>
    <w:p>
      <w:pPr>
        <w:spacing w:after="0" w:line="59" w:lineRule="exact"/>
        <w:rPr>
          <w:sz w:val="20"/>
          <w:szCs w:val="20"/>
          <w:color w:val="auto"/>
        </w:rPr>
      </w:pPr>
    </w:p>
    <w:p>
      <w:pPr>
        <w:ind w:left="1080" w:right="60" w:firstLine="383"/>
        <w:spacing w:after="0" w:line="264"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When comparing the average exchange rate for the first quarter of 2009 with the first quarter of 2008, the Canadian rate weakened by 19%, which decreased the</w:t>
      </w:r>
      <w:r>
        <w:rPr>
          <w:rFonts w:ascii="Arial" w:cs="Arial" w:eastAsia="Arial" w:hAnsi="Arial"/>
          <w:sz w:val="13"/>
          <w:szCs w:val="13"/>
          <w:i w:val="1"/>
          <w:iCs w:val="1"/>
          <w:color w:val="auto"/>
        </w:rPr>
        <w:t xml:space="preserve"> </w:t>
      </w:r>
      <w:r>
        <w:rPr>
          <w:rFonts w:ascii="Arial" w:cs="Arial" w:eastAsia="Arial" w:hAnsi="Arial"/>
          <w:sz w:val="13"/>
          <w:szCs w:val="13"/>
          <w:color w:val="auto"/>
        </w:rPr>
        <w:t>Group’s income from operations. The effects of foreign currency translation were the most significant to this Group because substantially all of our Canadian operations are managed by our Midwest organization.</w:t>
      </w:r>
    </w:p>
    <w:p>
      <w:pPr>
        <w:spacing w:after="0" w:line="67" w:lineRule="exact"/>
        <w:rPr>
          <w:sz w:val="20"/>
          <w:szCs w:val="20"/>
          <w:color w:val="auto"/>
        </w:rPr>
      </w:pPr>
    </w:p>
    <w:p>
      <w:pPr>
        <w:ind w:left="1080" w:right="40" w:firstLine="383"/>
        <w:spacing w:after="0" w:line="258"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Lower natural gas market prices, increased exposure to current energy market prices and higher repairs and maintenance costs unfavorably affected the</w:t>
      </w:r>
      <w:r>
        <w:rPr>
          <w:rFonts w:ascii="Arial" w:cs="Arial" w:eastAsia="Arial" w:hAnsi="Arial"/>
          <w:sz w:val="13"/>
          <w:szCs w:val="13"/>
          <w:i w:val="1"/>
          <w:iCs w:val="1"/>
          <w:color w:val="auto"/>
        </w:rPr>
        <w:t xml:space="preserve"> </w:t>
      </w:r>
      <w:r>
        <w:rPr>
          <w:rFonts w:ascii="Arial" w:cs="Arial" w:eastAsia="Arial" w:hAnsi="Arial"/>
          <w:sz w:val="13"/>
          <w:szCs w:val="13"/>
          <w:color w:val="auto"/>
        </w:rPr>
        <w:t>Group’s income from operations for the first quarter of 2009. Exposure to current energy market prices increased from 2% of total energy production for the first quarter of 2008 to 28% during the current quarter due in large part to the expiration of several long-term energy contracts. The Group’s exposure to current energy market price volatility will continue to grow as several long-term contracts are set to expire later this year. The increase in maintenance and repairs costs is primarily due to differences in the timing and scope of planned maintenance activities at waste-to-energy facilities during each period.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items affecting the comparability of the remaining components of our results of operations for the three-month periods ended March 31, 2009 and 2008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The unfavorable change in operating results is largely due to (i) the unfavorable effect of lower recycling commodity prices on our recycling brokerage activities;</w:t>
      </w:r>
    </w:p>
    <w:p>
      <w:pPr>
        <w:spacing w:after="0" w:line="27" w:lineRule="exact"/>
        <w:rPr>
          <w:sz w:val="20"/>
          <w:szCs w:val="20"/>
          <w:color w:val="auto"/>
        </w:rPr>
      </w:pPr>
    </w:p>
    <w:p>
      <w:pPr>
        <w:ind w:left="1080" w:right="140" w:firstLine="6"/>
        <w:spacing w:after="0" w:line="258" w:lineRule="auto"/>
        <w:tabs>
          <w:tab w:leader="none" w:pos="1273"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 increase in costs being incurred to support the identification and development of new lines of business that will complement our core business; and (iii) certain quarter-end adjustments recorded in consolidation related to our reportable segments that were not included in the measure of segment income from operations used to assess their performance for the periods disclosed.</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The increase in expenses in the first quarter of 2009 as compared with the first quarter of 2008 is primarily due to:</w:t>
      </w:r>
    </w:p>
    <w:p>
      <w:pPr>
        <w:spacing w:after="0" w:line="96" w:lineRule="exact"/>
        <w:rPr>
          <w:sz w:val="20"/>
          <w:szCs w:val="20"/>
          <w:color w:val="auto"/>
        </w:rPr>
      </w:pPr>
    </w:p>
    <w:p>
      <w:pPr>
        <w:ind w:left="1680" w:hanging="187"/>
        <w:spacing w:after="0"/>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$49 million charge recognized during the first quarter of 2009 associated with the abandonment of SAP software as our revenue management system; and</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$9 million restructuring charge recognized as a result of our January 2009 reorganization.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increases in expenses noted above were largely offset by the impacts of the following:</w:t>
      </w:r>
    </w:p>
    <w:p>
      <w:pPr>
        <w:spacing w:after="0" w:line="96" w:lineRule="exact"/>
        <w:rPr>
          <w:sz w:val="20"/>
          <w:szCs w:val="20"/>
          <w:color w:val="auto"/>
        </w:rPr>
      </w:pPr>
    </w:p>
    <w:p>
      <w:pPr>
        <w:ind w:left="1680" w:right="120" w:hanging="187"/>
        <w:spacing w:after="0" w:line="27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significant decline in selling, general and administrative expenses resulting from workforce reductions associated with the restructuring, increased efforts to reduce our controllable spending and lower equity compensation costs;</w:t>
      </w:r>
    </w:p>
    <w:p>
      <w:pPr>
        <w:spacing w:after="0" w:line="49" w:lineRule="exact"/>
        <w:rPr>
          <w:rFonts w:ascii="Arial" w:cs="Arial" w:eastAsia="Arial" w:hAnsi="Arial"/>
          <w:sz w:val="13"/>
          <w:szCs w:val="13"/>
          <w:color w:val="auto"/>
        </w:rPr>
      </w:pPr>
    </w:p>
    <w:p>
      <w:pPr>
        <w:ind w:left="1680" w:right="440" w:hanging="187"/>
        <w:spacing w:after="0" w:line="27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recognition of a $10 million favorable adjustment by our closed sites management group during the first quarter of 2009 due to an increase in the United States Treasury rates used to estimate the present value of our environmental remediation obligations; and</w:t>
      </w:r>
    </w:p>
    <w:p>
      <w:pPr>
        <w:spacing w:after="0" w:line="4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recognition of a $6 million charge by our closed sites management group during the first quarter of 2008 related to the adoption of SFAS No. 157, which resulted in the re-measurement of the fair value of environmental remediation recovery assets.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 Attributable to Waste Management, Inc.</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net income for the three-month periods ended March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56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780" w:type="dxa"/>
            <w:vAlign w:val="bottom"/>
            <w:vMerge w:val="restart"/>
          </w:tcPr>
          <w:p>
            <w:pPr>
              <w:jc w:val="center"/>
              <w:ind w:left="239"/>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6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jc w:val="center"/>
              <w:ind w:left="219"/>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380" w:type="dxa"/>
            <w:vAlign w:val="bottom"/>
            <w:tcBorders>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780" w:type="dxa"/>
            <w:vAlign w:val="bottom"/>
            <w:tcBorders>
              <w:bottom w:val="single" w:sz="8" w:color="auto"/>
            </w:tcBorders>
          </w:tcPr>
          <w:p>
            <w:pPr>
              <w:jc w:val="center"/>
              <w:ind w:left="219"/>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(105)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(122)</w:t>
            </w: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w w:val="96"/>
              </w:rPr>
              <w:t>$  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(13.9)%</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780" w:type="dxa"/>
            <w:vAlign w:val="bottom"/>
          </w:tcPr>
          <w:p>
            <w:pPr>
              <w:jc w:val="right"/>
              <w:ind w:right="379"/>
              <w:spacing w:after="0"/>
              <w:rPr>
                <w:sz w:val="20"/>
                <w:szCs w:val="20"/>
                <w:color w:val="auto"/>
              </w:rPr>
            </w:pPr>
            <w:r>
              <w:rPr>
                <w:rFonts w:ascii="Arial" w:cs="Arial" w:eastAsia="Arial" w:hAnsi="Arial"/>
                <w:sz w:val="13"/>
                <w:szCs w:val="13"/>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(20.0)</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101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144</w:t>
            </w:r>
          </w:p>
        </w:tc>
        <w:tc>
          <w:tcPr>
            <w:tcW w:w="780" w:type="dxa"/>
            <w:vAlign w:val="bottom"/>
          </w:tcPr>
          <w:p>
            <w:pPr>
              <w:jc w:val="right"/>
              <w:ind w:right="379"/>
              <w:spacing w:after="0"/>
              <w:rPr>
                <w:sz w:val="20"/>
                <w:szCs w:val="20"/>
                <w:color w:val="auto"/>
              </w:rPr>
            </w:pPr>
            <w:r>
              <w:rPr>
                <w:rFonts w:ascii="Arial" w:cs="Arial" w:eastAsia="Arial" w:hAnsi="Arial"/>
                <w:sz w:val="13"/>
                <w:szCs w:val="13"/>
                <w:color w:val="auto"/>
              </w:rPr>
              <w:t>(43)</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w:t>
            </w: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 The decrease in interest expense when comparing the three months ended March 31, 2009 with the comparable prior year period is generally related to a decline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market interest rates, which has increased the reduction in interest expense provided by our interest rate swaps and reduced the interest expense associated with our variable rate tax-exempt debt. These interest expense reductions were offset slightly by the impact of higher average debt balances due to the issuance of $800 million of senior notes in February 2009. We used $300 million of the proceeds from this issuance to repay the borrowing previously outstanding under our revolving credit facility and intend to use the remaining proceeds to repay senior notes that mature in May 2009, which will reduce our debt balances to a level comparable with 2008.</w:t>
      </w:r>
    </w:p>
    <w:p>
      <w:pPr>
        <w:spacing w:after="0" w:line="55"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b w:val="1"/>
          <w:bCs w:val="1"/>
          <w:i w:val="1"/>
          <w:iCs w:val="1"/>
          <w:color w:val="auto"/>
        </w:rPr>
        <w:t xml:space="preserve">Interest income </w:t>
      </w:r>
      <w:r>
        <w:rPr>
          <w:rFonts w:ascii="Arial" w:cs="Arial" w:eastAsia="Arial" w:hAnsi="Arial"/>
          <w:sz w:val="11"/>
          <w:szCs w:val="11"/>
          <w:color w:val="auto"/>
        </w:rPr>
        <w:t>— The decrease in interest income when comparing the three months ended March 31, 2009 with the comparable prior year period is generally related to a decline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market interest rates offset, in part, by an increase in our cash and cash equivalents balances on a year-over-year basis due to our February 2009 issuance of $800 million of senior notes.</w:t>
      </w:r>
    </w:p>
    <w:p>
      <w:pPr>
        <w:spacing w:after="0" w:line="1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Provision for income taxes </w:t>
      </w:r>
      <w:r>
        <w:rPr>
          <w:rFonts w:ascii="Arial" w:cs="Arial" w:eastAsia="Arial" w:hAnsi="Arial"/>
          <w:sz w:val="13"/>
          <w:szCs w:val="13"/>
          <w:color w:val="auto"/>
        </w:rPr>
        <w:t>— We recorded a provision for income taxes of $101 million during the first quarter of 2009, representing an effective tax rate of 37.2%, compared with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provision for income taxes of $144 million during the first quarter of 2008, representing a 36.8% effective tax rate. The year-over-year decrease in our provision for income taxes is primarily due to the decline in our pre-tax income when comparing the first quarter of 2009 with the comparable prior year period.</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comparison of our provision for income taxes and our effective tax rate for the reported periods was also affected by (i) the settlement of tax audits during the first quarter of 2008, which reduced our provision for income taxes for that period by $6 million; and (ii) a $3 million reduction in our first quarter 2008 provision for income taxes due to the final true-up of our 2007 non-conventional fuel tax credits.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a result of our adoption of SFAS No. 160, the measurement of our effective tax rate has changed from previous years. This change is a result of an increase in our “Income before income taxes” resulting from the exclusion of “Net income attributable to noncontrolling interests,” or what was previously referred to as “Minority interest” expense, from this measure. Our 2008 effective tax rate has been remeasured and reported in a manner consistent with the current measurement approach. Amounts reported as “Net income attributable to noncontrolling interests” are reported net of any applicable taxes.</w:t>
      </w:r>
    </w:p>
    <w:p>
      <w:pPr>
        <w:spacing w:after="0" w:line="7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Noncontrolling interests </w:t>
      </w:r>
      <w:r>
        <w:rPr>
          <w:rFonts w:ascii="Arial" w:cs="Arial" w:eastAsia="Arial" w:hAnsi="Arial"/>
          <w:sz w:val="13"/>
          <w:szCs w:val="13"/>
          <w:color w:val="auto"/>
        </w:rPr>
        <w:t>— The increase in noncontrolling interests in consolidated net income when comparing the three months ended March 31, 2009 with the comparable prior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period is generally related to (i) a $2 million increase in noncontrolling interest during the first quarter of 2009 due to a reduction in consolidated operating expenses associated with a decrease in the present value of our environmental remediation obligations; (ii) a $3 million decrease in noncontrolling interest during the first quarter of 2008 due to an increase in consolidated operating expenses for the re-measurement of the fair value of environmental remediation recovery assets as a result of our adoption of SFAS No. 157; and (iii) an increase in the profitability of our waste-to-energy LLCs in 2009.</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restricted trust and escrow accounts and debt obligations as of March 31, 2009 and December 31, 2008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3"/>
                <w:szCs w:val="13"/>
                <w:color w:val="auto"/>
              </w:rPr>
              <w:t>Debt:</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Long-term debt, less current portion</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8,096</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8,789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29"/>
        </w:trPr>
        <w:tc>
          <w:tcPr>
            <w:tcW w:w="778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Changes in our outstanding debt balances from December 31, 2008 to March 31, 2009 can primarily be attributed to (i) $895 million of cash borrowings, including $793 million in net proceeds from the February 2009 issuance of $800 million of senior notes; (ii) the cash repayment of $452 million of outstanding borrowings at their scheduled maturities; (iii) proceeds from tax-exempt borrowings of $30 million; (iv) a $15 million decrease in the carrying value of our debt due to hedge accounting for interest rate swaps; and (v) the impacts of accounting for other non-cash changes in our debt balances due to foreign currency translation, interest and capital leases.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plan to use a significant portion of the proceeds from the February 2009 senior note offering to repay $500 million of 6.875% senior notes that mature in May 2009. Accordingly, these notes have been classified as current as of March 31, 2009.</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March 31, 2009, we had $896 million of debt maturing within twelve months. We have classified $203 million of these borrowings as long-term as of March 31, 2009 based on our intent and ability to refinance these borrowings on a long-term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2009 Capital Allocation Program</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In December 2008, our Board of Directors approved a capital allocation program that includes the authorization for up to $1.3 billion in combined cash dividends, common stock repurchases, debt reduction and acquisitions in 2009. The following is a summary of our utilization of capital pursuant to the program through March 31, 2009 (in millions):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r>
      <w:tr>
        <w:trPr>
          <w:trHeight w:val="125"/>
        </w:trPr>
        <w:tc>
          <w:tcPr>
            <w:tcW w:w="130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Common stock repurchases</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reduction(a)</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r>
      <w:tr>
        <w:trPr>
          <w:trHeight w:val="20"/>
        </w:trPr>
        <w:tc>
          <w:tcPr>
            <w:tcW w:w="13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79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w:t>
            </w:r>
          </w:p>
        </w:tc>
      </w:tr>
      <w:tr>
        <w:trPr>
          <w:trHeight w:val="108"/>
        </w:trPr>
        <w:tc>
          <w:tcPr>
            <w:tcW w:w="1300" w:type="dxa"/>
            <w:vAlign w:val="bottom"/>
            <w:tcBorders>
              <w:bottom w:val="single" w:sz="8" w:color="auto"/>
            </w:tcBorders>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20" w:hanging="252"/>
        <w:spacing w:after="0" w:line="260"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purposes of our capital allocation program, amounts measured as debt reduction are total debt repayments excluding (i) repayments of debt that are refinanced on a long-term basis, including the first quarter 2009 repayment of the $300 million borrowing previously outstanding under our revolving credit facility, which was repaid with proceeds from our February 2009 senior note issuance, and the first quarter 2009 repayment of a matured advance under our Canadian credit facility, which was renewed under the terms of the credit facility; and (ii) the repayment of tax-exempt bonds in accordance with their scheduled maturities.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three-month periods ended March 31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The most significant items affecting the comparison of our operating cash flows for the first quarter of 2009 and the first quarter of</w:t>
      </w:r>
      <w:r>
        <w:rPr>
          <w:rFonts w:ascii="Arial" w:cs="Arial" w:eastAsia="Arial" w:hAnsi="Arial"/>
          <w:sz w:val="13"/>
          <w:szCs w:val="13"/>
          <w:i w:val="1"/>
          <w:iCs w:val="1"/>
          <w:color w:val="auto"/>
        </w:rPr>
        <w:t xml:space="preserve"> </w:t>
      </w:r>
      <w:r>
        <w:rPr>
          <w:rFonts w:ascii="Arial" w:cs="Arial" w:eastAsia="Arial" w:hAnsi="Arial"/>
          <w:sz w:val="13"/>
          <w:szCs w:val="13"/>
          <w:color w:val="auto"/>
        </w:rPr>
        <w:t>2008 are summarized below:</w:t>
      </w:r>
    </w:p>
    <w:p>
      <w:pPr>
        <w:spacing w:after="0" w:line="59" w:lineRule="exact"/>
        <w:rPr>
          <w:sz w:val="20"/>
          <w:szCs w:val="20"/>
          <w:color w:val="auto"/>
        </w:rPr>
      </w:pPr>
    </w:p>
    <w:p>
      <w:pPr>
        <w:jc w:val="both"/>
        <w:ind w:left="1280" w:right="6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Decrease in earnings </w:t>
      </w:r>
      <w:r>
        <w:rPr>
          <w:rFonts w:ascii="Arial" w:cs="Arial" w:eastAsia="Arial" w:hAnsi="Arial"/>
          <w:sz w:val="13"/>
          <w:szCs w:val="13"/>
          <w:color w:val="auto"/>
        </w:rPr>
        <w:t>— Our income from operations, excluding depreciation and amortization, decreased by $147 million, on a year-over-year basis. While this earnings decline</w:t>
      </w:r>
      <w:r>
        <w:rPr>
          <w:rFonts w:ascii="Arial" w:cs="Arial" w:eastAsia="Arial" w:hAnsi="Arial"/>
          <w:sz w:val="13"/>
          <w:szCs w:val="13"/>
          <w:i w:val="1"/>
          <w:iCs w:val="1"/>
          <w:color w:val="auto"/>
        </w:rPr>
        <w:t xml:space="preserve"> </w:t>
      </w:r>
      <w:r>
        <w:rPr>
          <w:rFonts w:ascii="Arial" w:cs="Arial" w:eastAsia="Arial" w:hAnsi="Arial"/>
          <w:sz w:val="13"/>
          <w:szCs w:val="13"/>
          <w:color w:val="auto"/>
        </w:rPr>
        <w:t>had a negative affect on our cash flows from operations, as we compare the two periods, the cash flow decline is not as significant as this measure of earnings decline because of the following:</w:t>
      </w:r>
    </w:p>
    <w:p>
      <w:pPr>
        <w:spacing w:after="0" w:line="66" w:lineRule="exact"/>
        <w:rPr>
          <w:rFonts w:ascii="Arial" w:cs="Arial" w:eastAsia="Arial" w:hAnsi="Arial"/>
          <w:sz w:val="13"/>
          <w:szCs w:val="13"/>
          <w:color w:val="auto"/>
        </w:rPr>
      </w:pPr>
    </w:p>
    <w:p>
      <w:pPr>
        <w:ind w:left="1680" w:hanging="187"/>
        <w:spacing w:after="0"/>
        <w:tabs>
          <w:tab w:leader="none" w:pos="16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In the first quarter of 2009, we recorded a non-cash charge of $49 million due to the abandonment of our SAP revenue management software.</w:t>
      </w:r>
    </w:p>
    <w:p>
      <w:pPr>
        <w:spacing w:after="0" w:line="86" w:lineRule="exact"/>
        <w:rPr>
          <w:rFonts w:ascii="Arial" w:cs="Arial" w:eastAsia="Arial" w:hAnsi="Arial"/>
          <w:sz w:val="13"/>
          <w:szCs w:val="13"/>
          <w:color w:val="auto"/>
        </w:rPr>
      </w:pPr>
    </w:p>
    <w:p>
      <w:pPr>
        <w:ind w:left="1680" w:right="120" w:hanging="187"/>
        <w:spacing w:after="0" w:line="276" w:lineRule="auto"/>
        <w:tabs>
          <w:tab w:leader="none" w:pos="16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During the first quarter of 2009, we recognized a $38 million charge associated with our recently announced restructuring. Only $12 million of the severance and benefit costs associated with the restructuring had been paid through March 31, 2009.</w:t>
      </w:r>
    </w:p>
    <w:p>
      <w:pPr>
        <w:spacing w:after="0" w:line="59" w:lineRule="exact"/>
        <w:rPr>
          <w:sz w:val="20"/>
          <w:szCs w:val="20"/>
          <w:color w:val="auto"/>
        </w:rPr>
      </w:pPr>
    </w:p>
    <w:p>
      <w:pPr>
        <w:ind w:left="1280" w:right="260"/>
        <w:spacing w:after="0" w:line="320" w:lineRule="auto"/>
        <w:rPr>
          <w:sz w:val="20"/>
          <w:szCs w:val="20"/>
          <w:color w:val="auto"/>
        </w:rPr>
      </w:pPr>
      <w:r>
        <w:rPr>
          <w:rFonts w:ascii="Arial" w:cs="Arial" w:eastAsia="Arial" w:hAnsi="Arial"/>
          <w:sz w:val="12"/>
          <w:szCs w:val="12"/>
          <w:color w:val="auto"/>
        </w:rPr>
        <w:t>The above comparison of our income from operations was also affected by a $17 million decrease in non-cash charges attributable to equity-based compensation expense and interest accretion and discount rate adjustments on environmental remediation liabilities when comparing the first quarter of 2009 with the first quarter of 2008.</w:t>
      </w:r>
    </w:p>
    <w:p>
      <w:pPr>
        <w:spacing w:after="0" w:line="35" w:lineRule="exact"/>
        <w:rPr>
          <w:sz w:val="20"/>
          <w:szCs w:val="20"/>
          <w:color w:val="auto"/>
        </w:rPr>
      </w:pPr>
    </w:p>
    <w:p>
      <w:pPr>
        <w:ind w:left="1280" w:right="20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$25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80" w:hanging="190"/>
        <w:spacing w:after="0" w:line="264"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Decreased bonus payments </w:t>
      </w:r>
      <w:r>
        <w:rPr>
          <w:rFonts w:ascii="Arial" w:cs="Arial" w:eastAsia="Arial" w:hAnsi="Arial"/>
          <w:sz w:val="13"/>
          <w:szCs w:val="13"/>
          <w:color w:val="auto"/>
        </w:rPr>
        <w:t>— Employee bonus payments earned in 2008, which were paid in the first quarter of 2009, were lower than the bonus payments earned in 2007 but</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2008 due to the relative strength of our financial performance against incentive measures in 2007 as compared to 2008. The comparative change in our liabilities for bonuses favorably affected the comparison of our cash flow from operations by approximately $25 million.</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affecting the comparison of our investing cash flows for the first quarter of 2009 and the first quarter of 2008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1280" w:right="80" w:hanging="190"/>
        <w:spacing w:after="0" w:line="257"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$325 million during the first quarter of 2009 for capital expenditures compared with $213 million in the first quarter of 2008. The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expenditures when comparing the first quarter of 2009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Approximately $245 million of our fourth quarter 2008 spending was paid in cash in 2009 compared with approximately $105 million of our fourth quarter 2007 spending that was paid in the first quarter of 2008. In addition, our capital expenditures for the first quarter of 2009 included approximately $30 million related to the purchase of a permitted landfill development project in our Southern Group.</w:t>
      </w:r>
    </w:p>
    <w:p>
      <w:pPr>
        <w:spacing w:after="0" w:line="61"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contributed $46 million to our investing activities in the first quarter of 2009</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$77 million in the first quarter of 2008. The year-over-year decrease in cash received from our restricted trust and escrow accounts is generally due to the timing of requisitions from our tax-exempt bond funds, which are used to support related capital projects.</w:t>
      </w:r>
    </w:p>
    <w:p>
      <w:pPr>
        <w:spacing w:after="0" w:line="57"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decreased from $69 million in the first quarter of 2008 to $22 million in the first quarter of 2009. Although our acquisition spending</w:t>
      </w:r>
      <w:r>
        <w:rPr>
          <w:rFonts w:ascii="Arial" w:cs="Arial" w:eastAsia="Arial" w:hAnsi="Arial"/>
          <w:sz w:val="13"/>
          <w:szCs w:val="13"/>
          <w:i w:val="1"/>
          <w:iCs w:val="1"/>
          <w:color w:val="auto"/>
        </w:rPr>
        <w:t xml:space="preserve"> </w:t>
      </w:r>
      <w:r>
        <w:rPr>
          <w:rFonts w:ascii="Arial" w:cs="Arial" w:eastAsia="Arial" w:hAnsi="Arial"/>
          <w:sz w:val="13"/>
          <w:szCs w:val="13"/>
          <w:color w:val="auto"/>
        </w:rPr>
        <w:t>was relatively lower in 2009, we intend to continue to focus on accretive acquisitions and other investments that will contribute to improved future results of operations and enhance and expand our existing service offerings.</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items affecting the comparison of our financing cash flows for the first quarter of 2009 and the first quarter of 2008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1280" w:right="220" w:hanging="190"/>
        <w:spacing w:after="0" w:line="296" w:lineRule="auto"/>
        <w:tabs>
          <w:tab w:leader="none" w:pos="12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 </w:t>
      </w:r>
      <w:r>
        <w:rPr>
          <w:rFonts w:ascii="Arial" w:cs="Arial" w:eastAsia="Arial" w:hAnsi="Arial"/>
          <w:sz w:val="12"/>
          <w:szCs w:val="12"/>
          <w:color w:val="auto"/>
        </w:rPr>
        <w:t>In the latter part of 2008, we determined that, given the state of the financial markets and the economy, it would be prudent to</w:t>
      </w:r>
      <w:r>
        <w:rPr>
          <w:rFonts w:ascii="Arial" w:cs="Arial" w:eastAsia="Arial" w:hAnsi="Arial"/>
          <w:sz w:val="12"/>
          <w:szCs w:val="12"/>
          <w:i w:val="1"/>
          <w:iCs w:val="1"/>
          <w:color w:val="auto"/>
        </w:rPr>
        <w:t xml:space="preserve"> </w:t>
      </w:r>
      <w:r>
        <w:rPr>
          <w:rFonts w:ascii="Arial" w:cs="Arial" w:eastAsia="Arial" w:hAnsi="Arial"/>
          <w:sz w:val="12"/>
          <w:szCs w:val="12"/>
          <w:color w:val="auto"/>
        </w:rPr>
        <w:t>suspend our share repurchases for the foreseeable future. Accordingly, we did not repurchase any shares of our common stock during the first quarter of 2009. We repurchased 9.1 million shares of our common stock for $293 million during the first quarter of 2008, of which approximately $12 million was paid in April 2008.</w:t>
      </w:r>
    </w:p>
    <w:p>
      <w:pPr>
        <w:spacing w:after="0" w:line="50" w:lineRule="exact"/>
        <w:rPr>
          <w:sz w:val="20"/>
          <w:szCs w:val="20"/>
          <w:color w:val="auto"/>
        </w:rPr>
      </w:pPr>
    </w:p>
    <w:p>
      <w:pPr>
        <w:ind w:left="1280" w:right="180" w:firstLine="188"/>
        <w:spacing w:after="0" w:line="276" w:lineRule="auto"/>
        <w:rPr>
          <w:sz w:val="20"/>
          <w:szCs w:val="20"/>
          <w:color w:val="auto"/>
        </w:rPr>
      </w:pPr>
      <w:r>
        <w:rPr>
          <w:rFonts w:ascii="Arial" w:cs="Arial" w:eastAsia="Arial" w:hAnsi="Arial"/>
          <w:sz w:val="13"/>
          <w:szCs w:val="13"/>
          <w:color w:val="auto"/>
        </w:rPr>
        <w:t>We paid $143 million in cash dividends in the first quarter of 2009 compared with $133 million in the first quarter of 2008. The increase in dividend payments is due to our quarterly per share dividend increasing from $0.27 in 2008 to $0.29 in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60" w:firstLine="188"/>
        <w:spacing w:after="0" w:line="371" w:lineRule="auto"/>
        <w:rPr>
          <w:sz w:val="20"/>
          <w:szCs w:val="20"/>
          <w:color w:val="auto"/>
        </w:rPr>
      </w:pPr>
      <w:r>
        <w:rPr>
          <w:rFonts w:ascii="Arial" w:cs="Arial" w:eastAsia="Arial" w:hAnsi="Arial"/>
          <w:sz w:val="11"/>
          <w:szCs w:val="11"/>
          <w:color w:val="auto"/>
        </w:rPr>
        <w:t>Share repurchases during the remainder of 2009 will be made at the discretion of management and the Board of Directors will declare dividends at their discretion, with any decisions dependent on various factors, including our net earnings, financial condition, cash required for future acquisitions and other factors the Board may deem relevant.</w:t>
      </w:r>
    </w:p>
    <w:p>
      <w:pPr>
        <w:spacing w:after="0" w:line="12" w:lineRule="exact"/>
        <w:rPr>
          <w:sz w:val="20"/>
          <w:szCs w:val="20"/>
          <w:color w:val="auto"/>
        </w:rPr>
      </w:pPr>
    </w:p>
    <w:p>
      <w:pPr>
        <w:ind w:left="128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Borrowings, net of repayments — </w:t>
      </w:r>
      <w:r>
        <w:rPr>
          <w:rFonts w:ascii="Arial" w:cs="Arial" w:eastAsia="Arial" w:hAnsi="Arial"/>
          <w:sz w:val="13"/>
          <w:szCs w:val="13"/>
          <w:color w:val="auto"/>
        </w:rPr>
        <w:t>Debt borrowings, net of repayments, were $443 million for the three months ended March 31, 2009 and $259 million for the three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March 31, 2008. The following summarizes our most significant cash borrowings and debt repayments made during each period (in millions):</w:t>
      </w:r>
    </w:p>
    <w:p>
      <w:pPr>
        <w:spacing w:after="0" w:line="61" w:lineRule="exact"/>
        <w:rPr>
          <w:sz w:val="20"/>
          <w:szCs w:val="20"/>
          <w:color w:val="auto"/>
        </w:rPr>
      </w:pPr>
    </w:p>
    <w:p>
      <w:pPr>
        <w:jc w:val="center"/>
        <w:ind w:left="8140"/>
        <w:spacing w:after="0"/>
        <w:rPr>
          <w:sz w:val="20"/>
          <w:szCs w:val="20"/>
          <w:color w:val="auto"/>
        </w:rPr>
      </w:pPr>
      <w:r>
        <w:rPr>
          <w:rFonts w:ascii="Arial" w:cs="Arial" w:eastAsia="Arial" w:hAnsi="Arial"/>
          <w:sz w:val="10"/>
          <w:szCs w:val="10"/>
          <w:b w:val="1"/>
          <w:bCs w:val="1"/>
          <w:color w:val="auto"/>
        </w:rPr>
        <w:t>Three Months</w:t>
      </w:r>
    </w:p>
    <w:p>
      <w:pPr>
        <w:jc w:val="center"/>
        <w:ind w:left="8140"/>
        <w:spacing w:after="0" w:line="236" w:lineRule="auto"/>
        <w:rPr>
          <w:sz w:val="20"/>
          <w:szCs w:val="20"/>
          <w:color w:val="auto"/>
        </w:rPr>
      </w:pPr>
      <w:r>
        <w:rPr>
          <w:rFonts w:ascii="Arial" w:cs="Arial" w:eastAsia="Arial" w:hAnsi="Arial"/>
          <w:sz w:val="10"/>
          <w:szCs w:val="10"/>
          <w:b w:val="1"/>
          <w:bCs w:val="1"/>
          <w:color w:val="auto"/>
        </w:rPr>
        <w:t>Ended</w:t>
      </w:r>
    </w:p>
    <w:p>
      <w:pPr>
        <w:jc w:val="center"/>
        <w:ind w:left="814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1420" w:type="dxa"/>
        <w:tblCellMar>
          <w:top w:w="0" w:type="dxa"/>
          <w:left w:w="0" w:type="dxa"/>
          <w:bottom w:w="0" w:type="dxa"/>
          <w:right w:w="0" w:type="dxa"/>
        </w:tblCellMar>
      </w:tblPr>
      <w:tr>
        <w:trPr>
          <w:trHeight w:val="98"/>
        </w:trPr>
        <w:tc>
          <w:tcPr>
            <w:tcW w:w="78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0"/>
              </w:rPr>
              <w:t>2008</w:t>
            </w:r>
          </w:p>
        </w:tc>
        <w:tc>
          <w:tcPr>
            <w:tcW w:w="80" w:type="dxa"/>
            <w:vAlign w:val="bottom"/>
          </w:tcPr>
          <w:p>
            <w:pPr>
              <w:spacing w:after="0"/>
              <w:rPr>
                <w:sz w:val="8"/>
                <w:szCs w:val="8"/>
                <w:color w:val="auto"/>
              </w:rPr>
            </w:pPr>
          </w:p>
        </w:tc>
      </w:tr>
      <w:tr>
        <w:trPr>
          <w:trHeight w:val="29"/>
        </w:trPr>
        <w:tc>
          <w:tcPr>
            <w:tcW w:w="7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7840" w:type="dxa"/>
            <w:vAlign w:val="bottom"/>
          </w:tcPr>
          <w:p>
            <w:pPr>
              <w:ind w:left="260"/>
              <w:spacing w:after="0"/>
              <w:rPr>
                <w:sz w:val="20"/>
                <w:szCs w:val="20"/>
                <w:color w:val="auto"/>
              </w:rPr>
            </w:pPr>
            <w:r>
              <w:rPr>
                <w:rFonts w:ascii="Arial" w:cs="Arial" w:eastAsia="Arial" w:hAnsi="Arial"/>
                <w:sz w:val="13"/>
                <w:szCs w:val="13"/>
                <w:color w:val="auto"/>
              </w:rPr>
              <w:t>Revolving credit facility</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r>
      <w:tr>
        <w:trPr>
          <w:trHeight w:val="157"/>
        </w:trPr>
        <w:tc>
          <w:tcPr>
            <w:tcW w:w="7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159</w:t>
            </w:r>
          </w:p>
        </w:tc>
      </w:tr>
      <w:tr>
        <w:trPr>
          <w:trHeight w:val="157"/>
        </w:trPr>
        <w:tc>
          <w:tcPr>
            <w:tcW w:w="7840" w:type="dxa"/>
            <w:vAlign w:val="bottom"/>
          </w:tcPr>
          <w:p>
            <w:pPr>
              <w:ind w:left="260"/>
              <w:spacing w:after="0"/>
              <w:rPr>
                <w:sz w:val="20"/>
                <w:szCs w:val="20"/>
                <w:color w:val="auto"/>
              </w:rPr>
            </w:pPr>
            <w:r>
              <w:rPr>
                <w:rFonts w:ascii="Arial" w:cs="Arial" w:eastAsia="Arial" w:hAnsi="Arial"/>
                <w:sz w:val="13"/>
                <w:szCs w:val="13"/>
                <w:color w:val="auto"/>
              </w:rPr>
              <w:t>Senior Notes</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3"/>
                <w:szCs w:val="13"/>
                <w:color w:val="auto"/>
              </w:rPr>
            </w:pPr>
          </w:p>
        </w:tc>
      </w:tr>
      <w:tr>
        <w:trPr>
          <w:trHeight w:val="157"/>
        </w:trPr>
        <w:tc>
          <w:tcPr>
            <w:tcW w:w="78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803</w:t>
            </w:r>
          </w:p>
        </w:tc>
      </w:tr>
      <w:tr>
        <w:trPr>
          <w:trHeight w:val="156"/>
        </w:trPr>
        <w:tc>
          <w:tcPr>
            <w:tcW w:w="7840" w:type="dxa"/>
            <w:vAlign w:val="bottom"/>
          </w:tcPr>
          <w:p>
            <w:pPr>
              <w:ind w:left="140"/>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Revolving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(350)</w:t>
            </w:r>
          </w:p>
        </w:tc>
      </w:tr>
      <w:tr>
        <w:trPr>
          <w:trHeight w:val="157"/>
        </w:trPr>
        <w:tc>
          <w:tcPr>
            <w:tcW w:w="7840" w:type="dxa"/>
            <w:vAlign w:val="bottom"/>
          </w:tcPr>
          <w:p>
            <w:pPr>
              <w:ind w:left="26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(168)</w:t>
            </w:r>
          </w:p>
        </w:tc>
      </w:tr>
      <w:tr>
        <w:trPr>
          <w:trHeight w:val="157"/>
        </w:trPr>
        <w:tc>
          <w:tcPr>
            <w:tcW w:w="7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Tax exempt bonds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r>
      <w:tr>
        <w:trPr>
          <w:trHeight w:val="157"/>
        </w:trPr>
        <w:tc>
          <w:tcPr>
            <w:tcW w:w="7840" w:type="dxa"/>
            <w:vAlign w:val="bottom"/>
          </w:tcPr>
          <w:p>
            <w:pPr>
              <w:ind w:left="260"/>
              <w:spacing w:after="0"/>
              <w:rPr>
                <w:sz w:val="20"/>
                <w:szCs w:val="20"/>
                <w:color w:val="auto"/>
              </w:rPr>
            </w:pPr>
            <w:r>
              <w:rPr>
                <w:rFonts w:ascii="Arial" w:cs="Arial" w:eastAsia="Arial" w:hAnsi="Arial"/>
                <w:sz w:val="13"/>
                <w:szCs w:val="13"/>
                <w:color w:val="auto"/>
              </w:rPr>
              <w:t>Capital leases and other debt</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r>
      <w:tr>
        <w:trPr>
          <w:trHeight w:val="20"/>
        </w:trPr>
        <w:tc>
          <w:tcPr>
            <w:tcW w:w="7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(544)</w:t>
            </w:r>
          </w:p>
        </w:tc>
      </w:tr>
      <w:tr>
        <w:trPr>
          <w:trHeight w:val="166"/>
        </w:trPr>
        <w:tc>
          <w:tcPr>
            <w:tcW w:w="7840" w:type="dxa"/>
            <w:vAlign w:val="bottom"/>
          </w:tcPr>
          <w:p>
            <w:pPr>
              <w:ind w:left="140"/>
              <w:spacing w:after="0"/>
              <w:rPr>
                <w:sz w:val="20"/>
                <w:szCs w:val="20"/>
                <w:color w:val="auto"/>
              </w:rPr>
            </w:pPr>
            <w:r>
              <w:rPr>
                <w:rFonts w:ascii="Arial" w:cs="Arial" w:eastAsia="Arial" w:hAnsi="Arial"/>
                <w:sz w:val="13"/>
                <w:szCs w:val="13"/>
                <w:i w:val="1"/>
                <w:iCs w:val="1"/>
                <w:color w:val="auto"/>
              </w:rPr>
              <w:t>Net borrowings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1280" w:right="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Consolidated Statement of Cash Flows. There are significant changes in these accrued liability balances at period ends, which are generally attributable to the timing of cash deposits.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months ended March 31, 2009 nor are they expected to have a material impact on our future financial position, results of operations or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by our Southern Group,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4. </w:t>
      </w:r>
      <w:r>
        <w:rPr>
          <w:rFonts w:ascii="Arial" w:cs="Arial" w:eastAsia="Arial" w:hAnsi="Arial"/>
          <w:sz w:val="13"/>
          <w:szCs w:val="13"/>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March 31, 2009. We determined that there were no changes in our internal control over financial reporting during the quarter ended March 31, 2009,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7,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material changes from risk factors previously disclosed in our Form 10-K for the year ended December 31, 2008 in response to Item 1A to Part I of Form 10-K.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60" w:type="dxa"/>
            <w:vAlign w:val="bottom"/>
          </w:tcPr>
          <w:p>
            <w:pPr>
              <w:ind w:left="680"/>
              <w:spacing w:after="0"/>
              <w:rPr>
                <w:sz w:val="20"/>
                <w:szCs w:val="20"/>
                <w:color w:val="auto"/>
              </w:rPr>
            </w:pPr>
            <w:r>
              <w:rPr>
                <w:rFonts w:ascii="Arial" w:cs="Arial" w:eastAsia="Arial" w:hAnsi="Arial"/>
                <w:sz w:val="13"/>
                <w:szCs w:val="13"/>
                <w:b w:val="1"/>
                <w:bCs w:val="1"/>
                <w:color w:val="auto"/>
              </w:rPr>
              <w:t>Item 6.</w:t>
            </w:r>
          </w:p>
        </w:tc>
        <w:tc>
          <w:tcPr>
            <w:tcW w:w="10200" w:type="dxa"/>
            <w:vAlign w:val="bottom"/>
            <w:gridSpan w:val="3"/>
          </w:tcPr>
          <w:p>
            <w:pPr>
              <w:ind w:left="24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1260" w:type="dxa"/>
            <w:vAlign w:val="bottom"/>
          </w:tcPr>
          <w:p>
            <w:pPr>
              <w:ind w:left="780"/>
              <w:spacing w:after="0"/>
              <w:rPr>
                <w:sz w:val="20"/>
                <w:szCs w:val="20"/>
                <w:color w:val="auto"/>
              </w:rPr>
            </w:pPr>
            <w:r>
              <w:rPr>
                <w:rFonts w:ascii="Arial" w:cs="Arial" w:eastAsia="Arial" w:hAnsi="Arial"/>
                <w:sz w:val="10"/>
                <w:szCs w:val="10"/>
                <w:b w:val="1"/>
                <w:bCs w:val="1"/>
                <w:color w:val="auto"/>
              </w:rPr>
              <w:t>Exhibit</w:t>
            </w:r>
          </w:p>
        </w:tc>
        <w:tc>
          <w:tcPr>
            <w:tcW w:w="4840" w:type="dxa"/>
            <w:vAlign w:val="bottom"/>
          </w:tcPr>
          <w:p>
            <w:pPr>
              <w:spacing w:after="0"/>
              <w:rPr>
                <w:sz w:val="16"/>
                <w:szCs w:val="16"/>
                <w:color w:val="auto"/>
              </w:rPr>
            </w:pPr>
          </w:p>
        </w:tc>
        <w:tc>
          <w:tcPr>
            <w:tcW w:w="5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260" w:type="dxa"/>
            <w:vAlign w:val="bottom"/>
          </w:tcPr>
          <w:p>
            <w:pPr>
              <w:ind w:left="960"/>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60" w:type="dxa"/>
            <w:vAlign w:val="bottom"/>
          </w:tcPr>
          <w:p>
            <w:pPr>
              <w:ind w:left="900"/>
              <w:spacing w:after="0"/>
              <w:rPr>
                <w:sz w:val="20"/>
                <w:szCs w:val="20"/>
                <w:color w:val="auto"/>
              </w:rPr>
            </w:pPr>
            <w:r>
              <w:rPr>
                <w:rFonts w:ascii="Arial" w:cs="Arial" w:eastAsia="Arial" w:hAnsi="Arial"/>
                <w:sz w:val="13"/>
                <w:szCs w:val="13"/>
                <w:color w:val="auto"/>
              </w:rPr>
              <w:t>12</w:t>
            </w:r>
          </w:p>
        </w:tc>
        <w:tc>
          <w:tcPr>
            <w:tcW w:w="4840" w:type="dxa"/>
            <w:vAlign w:val="bottom"/>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31.1</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31.2</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020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Arial" w:cs="Arial" w:eastAsia="Arial" w:hAnsi="Arial"/>
                <w:sz w:val="13"/>
                <w:szCs w:val="13"/>
                <w:color w:val="auto"/>
              </w:rPr>
              <w:t>32.1</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1260" w:type="dxa"/>
            <w:vAlign w:val="bottom"/>
          </w:tcPr>
          <w:p>
            <w:pPr>
              <w:ind w:left="900"/>
              <w:spacing w:after="0"/>
              <w:rPr>
                <w:sz w:val="20"/>
                <w:szCs w:val="20"/>
                <w:color w:val="auto"/>
              </w:rPr>
            </w:pPr>
            <w:r>
              <w:rPr>
                <w:rFonts w:ascii="Arial" w:cs="Arial" w:eastAsia="Arial" w:hAnsi="Arial"/>
                <w:sz w:val="13"/>
                <w:szCs w:val="13"/>
                <w:color w:val="auto"/>
              </w:rPr>
              <w:t>32.2</w:t>
            </w:r>
          </w:p>
        </w:tc>
        <w:tc>
          <w:tcPr>
            <w:tcW w:w="1020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126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6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Financial Officer)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Greg A. Robertson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Accounting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April 29,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9060" w:type="dxa"/>
            <w:vAlign w:val="bottom"/>
            <w:gridSpan w:val="3"/>
          </w:tcPr>
          <w:p>
            <w:pPr>
              <w:ind w:left="39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840" w:type="dxa"/>
            <w:vAlign w:val="bottom"/>
          </w:tcPr>
          <w:p>
            <w:pPr>
              <w:spacing w:after="0"/>
              <w:rPr>
                <w:sz w:val="16"/>
                <w:szCs w:val="16"/>
                <w:color w:val="auto"/>
              </w:rPr>
            </w:pPr>
          </w:p>
        </w:tc>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480" w:type="dxa"/>
            <w:vAlign w:val="bottom"/>
          </w:tcPr>
          <w:p>
            <w:pPr>
              <w:ind w:left="180"/>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80" w:type="dxa"/>
            <w:vAlign w:val="bottom"/>
          </w:tcPr>
          <w:p>
            <w:pPr>
              <w:ind w:left="120"/>
              <w:spacing w:after="0"/>
              <w:rPr>
                <w:sz w:val="20"/>
                <w:szCs w:val="20"/>
                <w:color w:val="auto"/>
              </w:rPr>
            </w:pPr>
            <w:r>
              <w:rPr>
                <w:rFonts w:ascii="Arial" w:cs="Arial" w:eastAsia="Arial" w:hAnsi="Arial"/>
                <w:sz w:val="13"/>
                <w:szCs w:val="13"/>
                <w:color w:val="auto"/>
              </w:rPr>
              <w:t>12</w:t>
            </w:r>
          </w:p>
        </w:tc>
        <w:tc>
          <w:tcPr>
            <w:tcW w:w="4840" w:type="dxa"/>
            <w:vAlign w:val="bottom"/>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31.1</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31.2</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w w:val="91"/>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906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32.1</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480" w:type="dxa"/>
            <w:vAlign w:val="bottom"/>
          </w:tcPr>
          <w:p>
            <w:pPr>
              <w:ind w:left="120"/>
              <w:spacing w:after="0"/>
              <w:rPr>
                <w:sz w:val="20"/>
                <w:szCs w:val="20"/>
                <w:color w:val="auto"/>
              </w:rPr>
            </w:pPr>
            <w:r>
              <w:rPr>
                <w:rFonts w:ascii="Arial" w:cs="Arial" w:eastAsia="Arial" w:hAnsi="Arial"/>
                <w:sz w:val="13"/>
                <w:szCs w:val="13"/>
                <w:color w:val="auto"/>
              </w:rPr>
              <w:t>32.2</w:t>
            </w:r>
          </w:p>
        </w:tc>
        <w:tc>
          <w:tcPr>
            <w:tcW w:w="9060" w:type="dxa"/>
            <w:vAlign w:val="bottom"/>
            <w:gridSpan w:val="3"/>
          </w:tcPr>
          <w:p>
            <w:pPr>
              <w:ind w:left="12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20" w:top="343" w:right="135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EXHIBIT 12</w:t>
      </w:r>
    </w:p>
    <w:p>
      <w:pPr>
        <w:spacing w:after="0" w:line="136" w:lineRule="exact"/>
        <w:rPr>
          <w:sz w:val="20"/>
          <w:szCs w:val="20"/>
          <w:color w:val="auto"/>
        </w:rPr>
      </w:pPr>
    </w:p>
    <w:p>
      <w:pPr>
        <w:ind w:left="4821"/>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tcPr>
          <w:p>
            <w:pPr>
              <w:jc w:val="center"/>
              <w:ind w:right="131"/>
              <w:spacing w:after="0"/>
              <w:rPr>
                <w:sz w:val="20"/>
                <w:szCs w:val="20"/>
                <w:color w:val="auto"/>
              </w:rPr>
            </w:pPr>
            <w:r>
              <w:rPr>
                <w:rFonts w:ascii="Arial" w:cs="Arial" w:eastAsia="Arial" w:hAnsi="Arial"/>
                <w:sz w:val="10"/>
                <w:szCs w:val="10"/>
                <w:b w:val="1"/>
                <w:bCs w:val="1"/>
                <w:color w:val="auto"/>
                <w:w w:val="94"/>
              </w:rPr>
              <w:t>Three Months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gridSpan w:val="2"/>
          </w:tcPr>
          <w:p>
            <w:pPr>
              <w:jc w:val="center"/>
              <w:ind w:right="131"/>
              <w:spacing w:after="0" w:line="108" w:lineRule="exact"/>
              <w:rPr>
                <w:sz w:val="20"/>
                <w:szCs w:val="20"/>
                <w:color w:val="auto"/>
              </w:rPr>
            </w:pPr>
            <w:r>
              <w:rPr>
                <w:rFonts w:ascii="Arial" w:cs="Arial" w:eastAsia="Arial" w:hAnsi="Arial"/>
                <w:sz w:val="10"/>
                <w:szCs w:val="10"/>
                <w:b w:val="1"/>
                <w:bCs w:val="1"/>
                <w:color w:val="auto"/>
                <w:w w:val="98"/>
              </w:rPr>
              <w:t>Ended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131"/>
              <w:spacing w:after="0"/>
              <w:rPr>
                <w:sz w:val="20"/>
                <w:szCs w:val="20"/>
                <w:color w:val="auto"/>
              </w:rPr>
            </w:pPr>
            <w:r>
              <w:rPr>
                <w:rFonts w:ascii="Arial" w:cs="Arial" w:eastAsia="Arial" w:hAnsi="Arial"/>
                <w:sz w:val="10"/>
                <w:szCs w:val="10"/>
                <w:b w:val="1"/>
                <w:bCs w:val="1"/>
                <w:color w:val="auto"/>
                <w:w w:val="99"/>
              </w:rPr>
              <w:t>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and losses in equity investments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w:t>
            </w:r>
          </w:p>
        </w:tc>
        <w:tc>
          <w:tcPr>
            <w:tcW w:w="840" w:type="dxa"/>
            <w:vAlign w:val="bottom"/>
            <w:gridSpan w:val="2"/>
            <w:shd w:val="clear" w:color="auto" w:fill="CCEEFF"/>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313"/>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120"/>
              <w:spacing w:after="0"/>
              <w:rPr>
                <w:sz w:val="20"/>
                <w:szCs w:val="20"/>
                <w:color w:val="auto"/>
              </w:rPr>
            </w:pPr>
            <w:r>
              <w:rPr>
                <w:rFonts w:ascii="Arial" w:cs="Arial" w:eastAsia="Arial" w:hAnsi="Arial"/>
                <w:sz w:val="13"/>
                <w:szCs w:val="13"/>
                <w:color w:val="auto"/>
              </w:rPr>
              <w:t>Earnings available for fixed charges(a)</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385</w:t>
            </w:r>
          </w:p>
        </w:tc>
        <w:tc>
          <w:tcPr>
            <w:tcW w:w="6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4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120"/>
              <w:spacing w:after="0"/>
              <w:rPr>
                <w:sz w:val="20"/>
                <w:szCs w:val="20"/>
                <w:color w:val="auto"/>
              </w:rPr>
            </w:pPr>
            <w:r>
              <w:rPr>
                <w:rFonts w:ascii="Arial" w:cs="Arial" w:eastAsia="Arial" w:hAnsi="Arial"/>
                <w:sz w:val="13"/>
                <w:szCs w:val="13"/>
                <w:color w:val="auto"/>
              </w:rPr>
              <w:t>Total fixed charges(a)</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117</w:t>
            </w:r>
          </w:p>
        </w:tc>
        <w:tc>
          <w:tcPr>
            <w:tcW w:w="6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3.3x</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right="120" w:hanging="461"/>
        <w:spacing w:after="0" w:line="264" w:lineRule="auto"/>
        <w:tabs>
          <w:tab w:leader="none" w:pos="46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61"/>
          </w:cols>
          <w:pgMar w:left="219" w:top="127"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300" w:hanging="138"/>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500" w:firstLine="172"/>
        <w:spacing w:after="0" w:line="276" w:lineRule="auto"/>
        <w:tabs>
          <w:tab w:leader="none" w:pos="507"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40" w:firstLine="172"/>
        <w:spacing w:after="0" w:line="276" w:lineRule="auto"/>
        <w:tabs>
          <w:tab w:leader="none" w:pos="515" w:val="left"/>
        </w:tabs>
        <w:numPr>
          <w:ilvl w:val="1"/>
          <w:numId w:val="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40" w:firstLine="172"/>
        <w:spacing w:after="0" w:line="276" w:lineRule="auto"/>
        <w:tabs>
          <w:tab w:leader="none" w:pos="507" w:val="left"/>
        </w:tabs>
        <w:numPr>
          <w:ilvl w:val="1"/>
          <w:numId w:val="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320" w:firstLine="172"/>
        <w:spacing w:after="0" w:line="276" w:lineRule="auto"/>
        <w:tabs>
          <w:tab w:leader="none" w:pos="515"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80" w:firstLine="172"/>
        <w:spacing w:after="0" w:line="276" w:lineRule="auto"/>
        <w:tabs>
          <w:tab w:leader="none" w:pos="507"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40"/>
        <w:spacing w:after="0"/>
        <w:tabs>
          <w:tab w:leader="none" w:pos="7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April 29, 2009</w:t>
      </w:r>
    </w:p>
    <w:p>
      <w:pPr>
        <w:sectPr>
          <w:pgSz w:w="11900" w:h="16838" w:orient="portrait"/>
          <w:cols w:equalWidth="0" w:num="1">
            <w:col w:w="11460"/>
          </w:cols>
          <w:pgMar w:left="220" w:top="127" w:right="21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300" w:hanging="138"/>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500" w:firstLine="172"/>
        <w:spacing w:after="0" w:line="276" w:lineRule="auto"/>
        <w:tabs>
          <w:tab w:leader="none" w:pos="507"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right="40" w:firstLine="172"/>
        <w:spacing w:after="0" w:line="276" w:lineRule="auto"/>
        <w:tabs>
          <w:tab w:leader="none" w:pos="515"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40" w:firstLine="172"/>
        <w:spacing w:after="0" w:line="276" w:lineRule="auto"/>
        <w:tabs>
          <w:tab w:leader="none" w:pos="507" w:val="left"/>
        </w:tabs>
        <w:numPr>
          <w:ilvl w:val="1"/>
          <w:numId w:val="4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320" w:firstLine="172"/>
        <w:spacing w:after="0" w:line="276" w:lineRule="auto"/>
        <w:tabs>
          <w:tab w:leader="none" w:pos="515"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80" w:firstLine="172"/>
        <w:spacing w:after="0" w:line="276" w:lineRule="auto"/>
        <w:tabs>
          <w:tab w:leader="none" w:pos="507" w:val="left"/>
        </w:tabs>
        <w:numPr>
          <w:ilvl w:val="1"/>
          <w:numId w:val="4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20"/>
        <w:spacing w:after="0"/>
        <w:tabs>
          <w:tab w:leader="none" w:pos="70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April 29, 2009</w:t>
      </w:r>
    </w:p>
    <w:p>
      <w:pPr>
        <w:sectPr>
          <w:pgSz w:w="11900" w:h="16838" w:orient="portrait"/>
          <w:cols w:equalWidth="0" w:num="1">
            <w:col w:w="11460"/>
          </w:cols>
          <w:pgMar w:left="220" w:top="127"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2009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40"/>
        <w:spacing w:after="0"/>
        <w:tabs>
          <w:tab w:leader="none" w:pos="7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April 29, 2009</w:t>
      </w:r>
    </w:p>
    <w:p>
      <w:pPr>
        <w:sectPr>
          <w:pgSz w:w="11900" w:h="16838" w:orient="portrait"/>
          <w:cols w:equalWidth="0" w:num="1">
            <w:col w:w="11460"/>
          </w:cols>
          <w:pgMar w:left="220" w:top="127"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2009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20"/>
        <w:spacing w:after="0"/>
        <w:tabs>
          <w:tab w:leader="none" w:pos="70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April 29, 2009</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3"/>
    </w:lvl>
    <w:lvl w:ilvl="1">
      <w:lvlJc w:val="left"/>
      <w:lvlText w:val="•"/>
      <w:numFmt w:val="bullet"/>
      <w:start w:val="1"/>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4"/>
    </w:lvl>
  </w:abstractNum>
  <w:abstractNum w:abstractNumId="15">
    <w:nsid w:val="6CEAF087"/>
    <w:multiLevelType w:val="hybridMultilevel"/>
    <w:lvl w:ilvl="0">
      <w:lvlJc w:val="left"/>
      <w:lvlText w:val="(%1)"/>
      <w:numFmt w:val="lowerLetter"/>
      <w:start w:val="6"/>
    </w:lvl>
  </w:abstractNum>
  <w:abstractNum w:abstractNumId="16">
    <w:nsid w:val="22221A70"/>
    <w:multiLevelType w:val="hybridMultilevel"/>
    <w:lvl w:ilvl="0">
      <w:lvlJc w:val="left"/>
      <w:lvlText w:val="%1."/>
      <w:numFmt w:val="decimal"/>
      <w:start w:val="12"/>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lvl w:ilvl="1">
      <w:lvlJc w:val="left"/>
      <w:lvlText w:val="(%2)"/>
      <w:numFmt w:val="lowerRoman"/>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Roman"/>
      <w:start w:val="2"/>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
      <w:numFmt w:val="bullet"/>
      <w:start w:val="1"/>
    </w:lvl>
    <w:lvl w:ilvl="1">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2019-12-10T08:04:03Z</dcterms:created>
  <dcterms:modified xsi:type="dcterms:W3CDTF">2019-12-10T08:04:03Z</dcterms:modified>
</cp:coreProperties>
</file>