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339"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460"/>
        <w:spacing w:after="0"/>
        <w:tabs>
          <w:tab w:leader="none" w:pos="402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200" w:lineRule="exact"/>
        <w:rPr>
          <w:sz w:val="24"/>
          <w:szCs w:val="24"/>
          <w:color w:val="auto"/>
        </w:rPr>
      </w:pPr>
    </w:p>
    <w:p>
      <w:pPr>
        <w:spacing w:after="0" w:line="30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SCHEDULE 13D</w:t>
      </w:r>
    </w:p>
    <w:p>
      <w:pPr>
        <w:jc w:val="center"/>
        <w:ind w:right="3259"/>
        <w:spacing w:after="0"/>
        <w:rPr>
          <w:sz w:val="20"/>
          <w:szCs w:val="20"/>
          <w:color w:val="auto"/>
        </w:rPr>
      </w:pPr>
      <w:r>
        <w:rPr>
          <w:rFonts w:ascii="Courier New" w:cs="Courier New" w:eastAsia="Courier New" w:hAnsi="Courier New"/>
          <w:sz w:val="15"/>
          <w:szCs w:val="15"/>
          <w:color w:val="auto"/>
        </w:rPr>
        <w:t>Under the Securities Exchange Act of 1934</w:t>
      </w:r>
    </w:p>
    <w:p>
      <w:pPr>
        <w:spacing w:after="0" w:line="200" w:lineRule="exact"/>
        <w:rPr>
          <w:sz w:val="24"/>
          <w:szCs w:val="24"/>
          <w:color w:val="auto"/>
        </w:rPr>
      </w:pPr>
    </w:p>
    <w:p>
      <w:pPr>
        <w:spacing w:after="0" w:line="30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WESTERN WASTE INDUSTRIES</w:t>
      </w:r>
    </w:p>
    <w:p>
      <w:pPr>
        <w:ind w:left="1320"/>
        <w:spacing w:after="0"/>
        <w:rPr>
          <w:sz w:val="20"/>
          <w:szCs w:val="20"/>
          <w:color w:val="auto"/>
        </w:rPr>
      </w:pPr>
      <w:r>
        <w:rPr>
          <w:rFonts w:ascii="Courier New" w:cs="Courier New" w:eastAsia="Courier New" w:hAnsi="Courier New"/>
          <w:sz w:val="15"/>
          <w:szCs w:val="15"/>
          <w:color w:val="auto"/>
        </w:rPr>
        <w:t>-------------------------------------------------</w:t>
      </w:r>
    </w:p>
    <w:p>
      <w:pPr>
        <w:ind w:left="2820"/>
        <w:spacing w:after="0"/>
        <w:rPr>
          <w:sz w:val="20"/>
          <w:szCs w:val="20"/>
          <w:color w:val="auto"/>
        </w:rPr>
      </w:pPr>
      <w:r>
        <w:rPr>
          <w:rFonts w:ascii="Courier New" w:cs="Courier New" w:eastAsia="Courier New" w:hAnsi="Courier New"/>
          <w:sz w:val="15"/>
          <w:szCs w:val="15"/>
          <w:color w:val="auto"/>
        </w:rPr>
        <w:t>(Name of Issuer)</w:t>
      </w:r>
    </w:p>
    <w:p>
      <w:pPr>
        <w:spacing w:after="0" w:line="33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Common Stock, no par value</w:t>
      </w:r>
    </w:p>
    <w:p>
      <w:pPr>
        <w:ind w:left="2200"/>
        <w:spacing w:after="0"/>
        <w:rPr>
          <w:sz w:val="20"/>
          <w:szCs w:val="20"/>
          <w:color w:val="auto"/>
        </w:rPr>
      </w:pPr>
      <w:r>
        <w:rPr>
          <w:rFonts w:ascii="Courier New" w:cs="Courier New" w:eastAsia="Courier New" w:hAnsi="Courier New"/>
          <w:sz w:val="15"/>
          <w:szCs w:val="15"/>
          <w:color w:val="auto"/>
        </w:rPr>
        <w:t>------------------------------</w:t>
      </w:r>
    </w:p>
    <w:p>
      <w:pPr>
        <w:ind w:left="2200"/>
        <w:spacing w:after="0"/>
        <w:rPr>
          <w:sz w:val="20"/>
          <w:szCs w:val="20"/>
          <w:color w:val="auto"/>
        </w:rPr>
      </w:pPr>
      <w:r>
        <w:rPr>
          <w:rFonts w:ascii="Courier New" w:cs="Courier New" w:eastAsia="Courier New" w:hAnsi="Courier New"/>
          <w:sz w:val="15"/>
          <w:szCs w:val="15"/>
          <w:color w:val="auto"/>
        </w:rPr>
        <w:t>(Title of Class of Securities)</w:t>
      </w:r>
    </w:p>
    <w:p>
      <w:pPr>
        <w:spacing w:after="0" w:line="168"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959880 10 5</w:t>
      </w:r>
    </w:p>
    <w:p>
      <w:pPr>
        <w:ind w:left="2900"/>
        <w:spacing w:after="0"/>
        <w:rPr>
          <w:sz w:val="20"/>
          <w:szCs w:val="20"/>
          <w:color w:val="auto"/>
        </w:rPr>
      </w:pPr>
      <w:r>
        <w:rPr>
          <w:rFonts w:ascii="Courier New" w:cs="Courier New" w:eastAsia="Courier New" w:hAnsi="Courier New"/>
          <w:sz w:val="15"/>
          <w:szCs w:val="15"/>
          <w:color w:val="auto"/>
        </w:rPr>
        <w:t>--------------</w:t>
      </w:r>
    </w:p>
    <w:p>
      <w:pPr>
        <w:ind w:left="2900"/>
        <w:spacing w:after="0"/>
        <w:rPr>
          <w:sz w:val="20"/>
          <w:szCs w:val="20"/>
          <w:color w:val="auto"/>
        </w:rPr>
      </w:pPr>
      <w:r>
        <w:rPr>
          <w:rFonts w:ascii="Courier New" w:cs="Courier New" w:eastAsia="Courier New" w:hAnsi="Courier New"/>
          <w:sz w:val="15"/>
          <w:szCs w:val="15"/>
          <w:color w:val="auto"/>
        </w:rPr>
        <w:t>(CUSIP Number)</w:t>
      </w:r>
    </w:p>
    <w:p>
      <w:pPr>
        <w:spacing w:after="0" w:line="338"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Gregory T. Sangalis</w:t>
      </w:r>
    </w:p>
    <w:p>
      <w:pPr>
        <w:ind w:left="2460"/>
        <w:spacing w:after="0"/>
        <w:rPr>
          <w:sz w:val="20"/>
          <w:szCs w:val="20"/>
          <w:color w:val="auto"/>
        </w:rPr>
      </w:pPr>
      <w:r>
        <w:rPr>
          <w:rFonts w:ascii="Courier New" w:cs="Courier New" w:eastAsia="Courier New" w:hAnsi="Courier New"/>
          <w:sz w:val="15"/>
          <w:szCs w:val="15"/>
          <w:color w:val="auto"/>
        </w:rPr>
        <w:t>USA Waste Services, Inc.</w:t>
      </w:r>
    </w:p>
    <w:p>
      <w:pPr>
        <w:ind w:left="2820"/>
        <w:spacing w:after="0"/>
        <w:rPr>
          <w:sz w:val="20"/>
          <w:szCs w:val="20"/>
          <w:color w:val="auto"/>
        </w:rPr>
      </w:pPr>
      <w:r>
        <w:rPr>
          <w:rFonts w:ascii="Courier New" w:cs="Courier New" w:eastAsia="Courier New" w:hAnsi="Courier New"/>
          <w:sz w:val="15"/>
          <w:szCs w:val="15"/>
          <w:color w:val="auto"/>
        </w:rPr>
        <w:t>5400 LBJ Freeway</w:t>
      </w:r>
    </w:p>
    <w:p>
      <w:pPr>
        <w:ind w:left="2540"/>
        <w:spacing w:after="0" w:line="238" w:lineRule="auto"/>
        <w:rPr>
          <w:sz w:val="20"/>
          <w:szCs w:val="20"/>
          <w:color w:val="auto"/>
        </w:rPr>
      </w:pPr>
      <w:r>
        <w:rPr>
          <w:rFonts w:ascii="Courier New" w:cs="Courier New" w:eastAsia="Courier New" w:hAnsi="Courier New"/>
          <w:sz w:val="15"/>
          <w:szCs w:val="15"/>
          <w:color w:val="auto"/>
        </w:rPr>
        <w:t>Suite 300 - Tower One</w:t>
      </w:r>
    </w:p>
    <w:p>
      <w:pPr>
        <w:ind w:left="2640"/>
        <w:spacing w:after="0"/>
        <w:rPr>
          <w:sz w:val="20"/>
          <w:szCs w:val="20"/>
          <w:color w:val="auto"/>
        </w:rPr>
      </w:pPr>
      <w:r>
        <w:rPr>
          <w:rFonts w:ascii="Courier New" w:cs="Courier New" w:eastAsia="Courier New" w:hAnsi="Courier New"/>
          <w:sz w:val="15"/>
          <w:szCs w:val="15"/>
          <w:color w:val="auto"/>
        </w:rPr>
        <w:t>Dallas, Texas 75240</w:t>
      </w:r>
    </w:p>
    <w:p>
      <w:pPr>
        <w:ind w:left="2900"/>
        <w:spacing w:after="0"/>
        <w:rPr>
          <w:sz w:val="20"/>
          <w:szCs w:val="20"/>
          <w:color w:val="auto"/>
        </w:rPr>
      </w:pPr>
      <w:r>
        <w:rPr>
          <w:rFonts w:ascii="Courier New" w:cs="Courier New" w:eastAsia="Courier New" w:hAnsi="Courier New"/>
          <w:sz w:val="15"/>
          <w:szCs w:val="15"/>
          <w:color w:val="auto"/>
        </w:rPr>
        <w:t>(214) 383-7900</w:t>
      </w:r>
    </w:p>
    <w:p>
      <w:pPr>
        <w:spacing w:after="0" w:line="168"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w:t>
      </w:r>
    </w:p>
    <w:p>
      <w:pPr>
        <w:jc w:val="center"/>
        <w:ind w:right="3259"/>
        <w:spacing w:after="0"/>
        <w:rPr>
          <w:sz w:val="20"/>
          <w:szCs w:val="20"/>
          <w:color w:val="auto"/>
        </w:rPr>
      </w:pPr>
      <w:r>
        <w:rPr>
          <w:rFonts w:ascii="Courier New" w:cs="Courier New" w:eastAsia="Courier New" w:hAnsi="Courier New"/>
          <w:sz w:val="15"/>
          <w:szCs w:val="15"/>
          <w:color w:val="auto"/>
        </w:rPr>
        <w:t>(Name, Address and Telephone Number of Person</w:t>
      </w:r>
    </w:p>
    <w:p>
      <w:pPr>
        <w:jc w:val="center"/>
        <w:ind w:right="3259"/>
        <w:spacing w:after="0"/>
        <w:rPr>
          <w:sz w:val="20"/>
          <w:szCs w:val="20"/>
          <w:color w:val="auto"/>
        </w:rPr>
      </w:pPr>
      <w:r>
        <w:rPr>
          <w:rFonts w:ascii="Courier New" w:cs="Courier New" w:eastAsia="Courier New" w:hAnsi="Courier New"/>
          <w:sz w:val="15"/>
          <w:szCs w:val="15"/>
          <w:color w:val="auto"/>
        </w:rPr>
        <w:t>Authorized to Receive Notices and Communications)</w:t>
      </w:r>
    </w:p>
    <w:p>
      <w:pPr>
        <w:spacing w:after="0" w:line="338"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December 18, 1995</w:t>
      </w:r>
    </w:p>
    <w:p>
      <w:pPr>
        <w:ind w:left="2720"/>
        <w:spacing w:after="0"/>
        <w:rPr>
          <w:sz w:val="20"/>
          <w:szCs w:val="20"/>
          <w:color w:val="auto"/>
        </w:rPr>
      </w:pPr>
      <w:r>
        <w:rPr>
          <w:rFonts w:ascii="Courier New" w:cs="Courier New" w:eastAsia="Courier New" w:hAnsi="Courier New"/>
          <w:sz w:val="15"/>
          <w:szCs w:val="15"/>
          <w:color w:val="auto"/>
        </w:rPr>
        <w:t>-----------------</w:t>
      </w:r>
    </w:p>
    <w:p>
      <w:pPr>
        <w:ind w:left="1040"/>
        <w:spacing w:after="0"/>
        <w:rPr>
          <w:sz w:val="20"/>
          <w:szCs w:val="20"/>
          <w:color w:val="auto"/>
        </w:rPr>
      </w:pPr>
      <w:r>
        <w:rPr>
          <w:rFonts w:ascii="Courier New" w:cs="Courier New" w:eastAsia="Courier New" w:hAnsi="Courier New"/>
          <w:sz w:val="15"/>
          <w:szCs w:val="15"/>
          <w:color w:val="auto"/>
        </w:rPr>
        <w:t>(Date of Event which Requires Filing of this Statement)</w:t>
      </w:r>
    </w:p>
    <w:p>
      <w:pPr>
        <w:spacing w:after="0" w:line="343" w:lineRule="exact"/>
        <w:rPr>
          <w:sz w:val="24"/>
          <w:szCs w:val="24"/>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If the filing person has previously filed a statement on Schedule 13G to report the acquisition which is the subject of this Schedule 13G, and is filing this schedule because of Rule 13d-1(b)(3) or (4), check the following box: [ ]</w:t>
      </w:r>
    </w:p>
    <w:p>
      <w:pPr>
        <w:spacing w:after="0" w:line="327" w:lineRule="exact"/>
        <w:rPr>
          <w:sz w:val="24"/>
          <w:szCs w:val="24"/>
          <w:color w:val="auto"/>
        </w:rPr>
      </w:pPr>
    </w:p>
    <w:p>
      <w:pPr>
        <w:spacing w:after="0"/>
        <w:tabs>
          <w:tab w:leader="none" w:pos="6060" w:val="left"/>
        </w:tabs>
        <w:rPr>
          <w:sz w:val="20"/>
          <w:szCs w:val="20"/>
          <w:color w:val="auto"/>
        </w:rPr>
      </w:pPr>
      <w:r>
        <w:rPr>
          <w:rFonts w:ascii="Courier New" w:cs="Courier New" w:eastAsia="Courier New" w:hAnsi="Courier New"/>
          <w:sz w:val="15"/>
          <w:szCs w:val="15"/>
          <w:color w:val="auto"/>
        </w:rPr>
        <w:t>Check the following box if a fee is being paid with the statement:</w:t>
      </w:r>
      <w:r>
        <w:rPr>
          <w:sz w:val="20"/>
          <w:szCs w:val="20"/>
          <w:color w:val="auto"/>
        </w:rPr>
        <w:tab/>
      </w:r>
      <w:r>
        <w:rPr>
          <w:rFonts w:ascii="Courier New" w:cs="Courier New" w:eastAsia="Courier New" w:hAnsi="Courier New"/>
          <w:sz w:val="14"/>
          <w:szCs w:val="14"/>
          <w:color w:val="auto"/>
        </w:rPr>
        <w:t>[X]</w:t>
      </w:r>
    </w:p>
    <w:p>
      <w:pPr>
        <w:sectPr>
          <w:pgSz w:w="11900" w:h="16838" w:orient="portrait"/>
          <w:cols w:equalWidth="0" w:num="1">
            <w:col w:w="10219"/>
          </w:cols>
          <w:pgMar w:left="240" w:top="226" w:right="1440" w:bottom="1440" w:gutter="0" w:footer="0" w:header="0"/>
        </w:sectPr>
      </w:pPr>
    </w:p>
    <w:bookmarkStart w:id="1" w:name="page2"/>
    <w:bookmarkEnd w:id="1"/>
    <w:p>
      <w:pPr>
        <w:ind w:left="270"/>
        <w:spacing w:after="0"/>
        <w:rPr>
          <w:sz w:val="20"/>
          <w:szCs w:val="20"/>
          <w:color w:val="auto"/>
        </w:rPr>
      </w:pPr>
      <w:r>
        <w:rPr>
          <w:rFonts w:ascii="Courier New" w:cs="Courier New" w:eastAsia="Courier New" w:hAnsi="Courier New"/>
          <w:sz w:val="15"/>
          <w:szCs w:val="15"/>
          <w:color w:val="auto"/>
        </w:rPr>
        <w:t>2</w:t>
      </w:r>
    </w:p>
    <w:p>
      <w:pPr>
        <w:ind w:left="2990"/>
        <w:spacing w:after="0"/>
        <w:rPr>
          <w:sz w:val="20"/>
          <w:szCs w:val="20"/>
          <w:color w:val="auto"/>
        </w:rPr>
      </w:pPr>
      <w:r>
        <w:rPr>
          <w:rFonts w:ascii="Courier New" w:cs="Courier New" w:eastAsia="Courier New" w:hAnsi="Courier New"/>
          <w:sz w:val="15"/>
          <w:szCs w:val="15"/>
          <w:color w:val="auto"/>
        </w:rPr>
        <w:t>SCHEDULE 13D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CUSIP No. 959880 10 5</w:t>
      </w:r>
    </w:p>
    <w:p>
      <w:pPr>
        <w:ind w:left="79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790" w:right="3539" w:hanging="790"/>
        <w:spacing w:after="0" w:line="235" w:lineRule="auto"/>
        <w:tabs>
          <w:tab w:leader="none" w:pos="79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Reporting Person S.S. or I.R.S. Identification No. of Above Person USA Waste Services, Inc. 73-1309529</w:t>
      </w:r>
    </w:p>
    <w:p>
      <w:pPr>
        <w:spacing w:after="0" w:line="170"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the Appropriate Box if a Member of a Group</w:t>
      </w:r>
    </w:p>
    <w:p>
      <w:pPr>
        <w:spacing w:after="0" w:line="169" w:lineRule="exact"/>
        <w:rPr>
          <w:rFonts w:ascii="Courier New" w:cs="Courier New" w:eastAsia="Courier New" w:hAnsi="Courier New"/>
          <w:sz w:val="15"/>
          <w:szCs w:val="15"/>
          <w:color w:val="auto"/>
        </w:rPr>
      </w:pPr>
    </w:p>
    <w:p>
      <w:pPr>
        <w:ind w:left="1150" w:hanging="356"/>
        <w:spacing w:after="0"/>
        <w:tabs>
          <w:tab w:leader="none" w:pos="1150"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1150" w:hanging="356"/>
        <w:spacing w:after="0"/>
        <w:tabs>
          <w:tab w:leader="none" w:pos="1150"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[X]</w:t>
      </w:r>
    </w:p>
    <w:p>
      <w:pPr>
        <w:spacing w:after="0" w:line="168"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Use Only</w:t>
      </w:r>
    </w:p>
    <w:p>
      <w:pPr>
        <w:spacing w:after="0" w:line="338"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Source of Funds</w:t>
      </w:r>
    </w:p>
    <w:p>
      <w:pPr>
        <w:spacing w:after="0" w:line="169"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WC</w:t>
      </w:r>
    </w:p>
    <w:p>
      <w:pPr>
        <w:spacing w:after="0" w:line="174" w:lineRule="exact"/>
        <w:rPr>
          <w:rFonts w:ascii="Courier New" w:cs="Courier New" w:eastAsia="Courier New" w:hAnsi="Courier New"/>
          <w:sz w:val="15"/>
          <w:szCs w:val="15"/>
          <w:color w:val="auto"/>
        </w:rPr>
      </w:pPr>
    </w:p>
    <w:p>
      <w:pPr>
        <w:ind w:left="790" w:right="3439" w:hanging="790"/>
        <w:spacing w:after="0" w:line="235" w:lineRule="auto"/>
        <w:tabs>
          <w:tab w:leader="none" w:pos="79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Disclosure of Legal Proceedings is Required Pursuant to Items 2(d) or 2(e):</w:t>
      </w:r>
    </w:p>
    <w:p>
      <w:pPr>
        <w:spacing w:after="0" w:line="170"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[X]</w:t>
      </w:r>
    </w:p>
    <w:p>
      <w:pPr>
        <w:spacing w:after="0" w:line="169"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Citizenship or Place of Organization Delaware</w:t>
      </w:r>
    </w:p>
    <w:p>
      <w:pPr>
        <w:spacing w:after="0" w:line="169" w:lineRule="exact"/>
        <w:rPr>
          <w:rFonts w:ascii="Courier New" w:cs="Courier New" w:eastAsia="Courier New" w:hAnsi="Courier New"/>
          <w:sz w:val="15"/>
          <w:szCs w:val="15"/>
          <w:color w:val="auto"/>
        </w:rPr>
      </w:pPr>
    </w:p>
    <w:p>
      <w:pPr>
        <w:ind w:left="2990" w:hanging="698"/>
        <w:spacing w:after="0"/>
        <w:tabs>
          <w:tab w:leader="none" w:pos="2990" w:val="left"/>
        </w:tabs>
        <w:numPr>
          <w:ilvl w:val="2"/>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Voting Power</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Number of</w:t>
            </w:r>
          </w:p>
        </w:tc>
        <w:tc>
          <w:tcPr>
            <w:tcW w:w="1060" w:type="dxa"/>
            <w:vAlign w:val="bottom"/>
          </w:tcPr>
          <w:p>
            <w:pPr>
              <w:spacing w:after="0"/>
              <w:rPr>
                <w:sz w:val="14"/>
                <w:szCs w:val="14"/>
                <w:color w:val="auto"/>
              </w:rPr>
            </w:pP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634,900</w:t>
            </w:r>
          </w:p>
        </w:tc>
        <w:tc>
          <w:tcPr>
            <w:tcW w:w="3040" w:type="dxa"/>
            <w:vAlign w:val="bottom"/>
          </w:tcPr>
          <w:p>
            <w:pPr>
              <w:spacing w:after="0"/>
              <w:rPr>
                <w:sz w:val="14"/>
                <w:szCs w:val="14"/>
                <w:color w:val="auto"/>
              </w:rPr>
            </w:pP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Beneficially</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w:t>
            </w:r>
          </w:p>
        </w:tc>
        <w:tc>
          <w:tcPr>
            <w:tcW w:w="4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Shared Voting Power</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Owned by</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Each</w:t>
            </w:r>
          </w:p>
        </w:tc>
        <w:tc>
          <w:tcPr>
            <w:tcW w:w="1060" w:type="dxa"/>
            <w:vAlign w:val="bottom"/>
          </w:tcPr>
          <w:p>
            <w:pPr>
              <w:spacing w:after="0"/>
              <w:rPr>
                <w:sz w:val="14"/>
                <w:szCs w:val="14"/>
                <w:color w:val="auto"/>
              </w:rPr>
            </w:pP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5,854,411</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(includes options to acquire</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Reporting</w:t>
            </w:r>
          </w:p>
        </w:tc>
        <w:tc>
          <w:tcPr>
            <w:tcW w:w="1060" w:type="dxa"/>
            <w:vAlign w:val="bottom"/>
          </w:tcPr>
          <w:p>
            <w:pPr>
              <w:spacing w:after="0"/>
              <w:rPr>
                <w:sz w:val="14"/>
                <w:szCs w:val="14"/>
                <w:color w:val="auto"/>
              </w:rPr>
            </w:pP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1,337,998</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w w:val="97"/>
              </w:rPr>
              <w:t>shares exercisable within 60 days)</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Person</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With</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w:t>
            </w:r>
          </w:p>
        </w:tc>
        <w:tc>
          <w:tcPr>
            <w:tcW w:w="4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Sole Dispositive Power</w:t>
            </w:r>
          </w:p>
        </w:tc>
      </w:tr>
    </w:tbl>
    <w:p>
      <w:pPr>
        <w:sectPr>
          <w:pgSz w:w="11900" w:h="16838" w:orient="portrait"/>
          <w:cols w:equalWidth="0" w:num="1">
            <w:col w:w="10229"/>
          </w:cols>
          <w:pgMar w:left="230" w:top="283" w:right="1440" w:bottom="1440" w:gutter="0" w:footer="0" w:header="0"/>
        </w:sectPr>
      </w:pPr>
    </w:p>
    <w:bookmarkStart w:id="2" w:name="page3"/>
    <w:bookmarkEnd w:id="2"/>
    <w:p>
      <w:pPr>
        <w:ind w:left="270"/>
        <w:spacing w:after="0"/>
        <w:rPr>
          <w:sz w:val="20"/>
          <w:szCs w:val="20"/>
          <w:color w:val="auto"/>
        </w:rPr>
      </w:pPr>
      <w:r>
        <w:rPr>
          <w:rFonts w:ascii="Courier New" w:cs="Courier New" w:eastAsia="Courier New" w:hAnsi="Courier New"/>
          <w:sz w:val="15"/>
          <w:szCs w:val="15"/>
          <w:color w:val="auto"/>
        </w:rPr>
        <w:t>3</w:t>
      </w:r>
    </w:p>
    <w:p>
      <w:pPr>
        <w:ind w:left="2990"/>
        <w:spacing w:after="0"/>
        <w:rPr>
          <w:sz w:val="20"/>
          <w:szCs w:val="20"/>
          <w:color w:val="auto"/>
        </w:rPr>
      </w:pPr>
      <w:r>
        <w:rPr>
          <w:rFonts w:ascii="Courier New" w:cs="Courier New" w:eastAsia="Courier New" w:hAnsi="Courier New"/>
          <w:sz w:val="15"/>
          <w:szCs w:val="15"/>
          <w:color w:val="auto"/>
        </w:rPr>
        <w:t>634,900</w:t>
      </w:r>
    </w:p>
    <w:p>
      <w:pPr>
        <w:spacing w:after="0" w:line="174" w:lineRule="exact"/>
        <w:rPr>
          <w:sz w:val="20"/>
          <w:szCs w:val="20"/>
          <w:color w:val="auto"/>
        </w:rPr>
      </w:pPr>
    </w:p>
    <w:p>
      <w:pPr>
        <w:ind w:left="2990" w:right="5119" w:hanging="698"/>
        <w:spacing w:after="0" w:line="471" w:lineRule="auto"/>
        <w:tabs>
          <w:tab w:leader="none" w:pos="2990" w:val="left"/>
        </w:tabs>
        <w:numPr>
          <w:ilvl w:val="2"/>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Shared Dispositive Power -0-</w:t>
      </w:r>
    </w:p>
    <w:p>
      <w:pPr>
        <w:spacing w:after="0" w:line="11" w:lineRule="exact"/>
        <w:rPr>
          <w:rFonts w:ascii="Courier New" w:cs="Courier New" w:eastAsia="Courier New" w:hAnsi="Courier New"/>
          <w:sz w:val="15"/>
          <w:szCs w:val="15"/>
          <w:color w:val="auto"/>
        </w:rPr>
      </w:pPr>
    </w:p>
    <w:p>
      <w:pPr>
        <w:ind w:left="790" w:right="3259" w:hanging="790"/>
        <w:spacing w:after="0" w:line="237" w:lineRule="auto"/>
        <w:tabs>
          <w:tab w:leader="none" w:pos="79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Amount Beneficially Owned by Each Reporting Person 6,489,311 (includes options to acquire 1,337,998 shares exercisable within 60 days)</w:t>
      </w:r>
    </w:p>
    <w:p>
      <w:pPr>
        <w:spacing w:after="0" w:line="174" w:lineRule="exact"/>
        <w:rPr>
          <w:rFonts w:ascii="Courier New" w:cs="Courier New" w:eastAsia="Courier New" w:hAnsi="Courier New"/>
          <w:sz w:val="15"/>
          <w:szCs w:val="15"/>
          <w:color w:val="auto"/>
        </w:rPr>
      </w:pPr>
    </w:p>
    <w:p>
      <w:pPr>
        <w:ind w:left="790" w:right="3359" w:hanging="790"/>
        <w:spacing w:after="0" w:line="471" w:lineRule="auto"/>
        <w:tabs>
          <w:tab w:leader="none" w:pos="79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the Aggregate Amount in Row (11) Excludes Certain Shares [ ]</w:t>
      </w:r>
    </w:p>
    <w:p>
      <w:pPr>
        <w:spacing w:after="0" w:line="5"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 of Class Represented by Amount in Row (11)</w:t>
      </w:r>
    </w:p>
    <w:p>
      <w:pPr>
        <w:spacing w:after="0" w:line="169"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40.8%*</w:t>
      </w:r>
    </w:p>
    <w:p>
      <w:pPr>
        <w:spacing w:after="0" w:line="169"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 of Reporting Person</w:t>
      </w:r>
    </w:p>
    <w:p>
      <w:pPr>
        <w:spacing w:after="0" w:line="169"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16"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jc w:val="both"/>
        <w:ind w:left="890" w:right="3439" w:firstLine="353"/>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Assumes 14,554,356 shares of Company Common Stock outstanding as of November 11, 1995 as represented by Western Waste Industries.</w:t>
      </w:r>
    </w:p>
    <w:p>
      <w:pPr>
        <w:sectPr>
          <w:pgSz w:w="11900" w:h="16838" w:orient="portrait"/>
          <w:cols w:equalWidth="0" w:num="1">
            <w:col w:w="10229"/>
          </w:cols>
          <w:pgMar w:left="230" w:top="28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tabs>
          <w:tab w:leader="none" w:pos="14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SECURITY AND ISSUER</w:t>
      </w:r>
    </w:p>
    <w:p>
      <w:pPr>
        <w:spacing w:after="0" w:line="174" w:lineRule="exact"/>
        <w:rPr>
          <w:sz w:val="20"/>
          <w:szCs w:val="20"/>
          <w:color w:val="auto"/>
        </w:rPr>
      </w:pPr>
    </w:p>
    <w:p>
      <w:pPr>
        <w:ind w:right="3259" w:firstLine="1498"/>
        <w:spacing w:after="0" w:line="237" w:lineRule="auto"/>
        <w:rPr>
          <w:sz w:val="20"/>
          <w:szCs w:val="20"/>
          <w:color w:val="auto"/>
        </w:rPr>
      </w:pPr>
      <w:r>
        <w:rPr>
          <w:rFonts w:ascii="Courier New" w:cs="Courier New" w:eastAsia="Courier New" w:hAnsi="Courier New"/>
          <w:sz w:val="15"/>
          <w:szCs w:val="15"/>
          <w:color w:val="auto"/>
        </w:rPr>
        <w:t>This Statement on Schedule 13D relates to the beneficial ownership of shares ("Shares") of common stock, no par value ("Company Common Stock"), of Western Waste Industries, a California corporation (the "Company"). The address of the Company's principal executive offices is 21061 South Western Avenue, Torrance, California 90501.</w:t>
      </w:r>
    </w:p>
    <w:p>
      <w:pPr>
        <w:spacing w:after="0" w:line="17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IDENTITY AND BACKGROUND</w:t>
      </w:r>
    </w:p>
    <w:p>
      <w:pPr>
        <w:spacing w:after="0" w:line="175" w:lineRule="exact"/>
        <w:rPr>
          <w:sz w:val="20"/>
          <w:szCs w:val="20"/>
          <w:color w:val="auto"/>
        </w:rPr>
      </w:pPr>
    </w:p>
    <w:p>
      <w:pPr>
        <w:ind w:left="2280" w:hanging="791"/>
        <w:spacing w:after="0"/>
        <w:tabs>
          <w:tab w:leader="none" w:pos="22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Statement on Schedule 13D is being filed by USA</w:t>
      </w:r>
    </w:p>
    <w:p>
      <w:pPr>
        <w:spacing w:after="0" w:line="10" w:lineRule="exact"/>
        <w:rPr>
          <w:rFonts w:ascii="Courier New" w:cs="Courier New" w:eastAsia="Courier New" w:hAnsi="Courier New"/>
          <w:sz w:val="14"/>
          <w:szCs w:val="14"/>
          <w:color w:val="auto"/>
        </w:rPr>
      </w:pPr>
    </w:p>
    <w:p>
      <w:pPr>
        <w:ind w:right="335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Waste Services, Inc., a Delaware corporation ("USA Waste"). Attached as Appendix A is information concerning the executive officers and directors of USA Waste required to be disclosed in response to Item 2 and General Instruction C to Schedule 13D. Such executive officers and directors may be deemed, but are not conceded to be, controlling persons of USA Waste. No corporation or other person is or may be deemed to be ultimately in control of USA Waste.</w:t>
      </w:r>
    </w:p>
    <w:p>
      <w:pPr>
        <w:spacing w:after="0" w:line="170" w:lineRule="exact"/>
        <w:rPr>
          <w:rFonts w:ascii="Courier New" w:cs="Courier New" w:eastAsia="Courier New" w:hAnsi="Courier New"/>
          <w:sz w:val="14"/>
          <w:szCs w:val="14"/>
          <w:color w:val="auto"/>
        </w:rPr>
      </w:pPr>
    </w:p>
    <w:p>
      <w:pPr>
        <w:ind w:left="2280" w:hanging="791"/>
        <w:spacing w:after="0"/>
        <w:tabs>
          <w:tab w:leader="none" w:pos="22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the principal business and the</w:t>
      </w:r>
    </w:p>
    <w:p>
      <w:pPr>
        <w:spacing w:after="0" w:line="5" w:lineRule="exact"/>
        <w:rPr>
          <w:rFonts w:ascii="Courier New" w:cs="Courier New" w:eastAsia="Courier New" w:hAnsi="Courier New"/>
          <w:sz w:val="15"/>
          <w:szCs w:val="15"/>
          <w:color w:val="auto"/>
        </w:rPr>
      </w:pPr>
    </w:p>
    <w:p>
      <w:pPr>
        <w:ind w:right="37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office of USA Waste is 5400 LBJ Freeway, Suite 300 - Tower One, Dallas, Texas 75240.</w:t>
      </w:r>
    </w:p>
    <w:p>
      <w:pPr>
        <w:spacing w:after="0" w:line="170" w:lineRule="exact"/>
        <w:rPr>
          <w:rFonts w:ascii="Courier New" w:cs="Courier New" w:eastAsia="Courier New" w:hAnsi="Courier New"/>
          <w:sz w:val="15"/>
          <w:szCs w:val="15"/>
          <w:color w:val="auto"/>
        </w:rPr>
      </w:pPr>
    </w:p>
    <w:p>
      <w:pPr>
        <w:ind w:left="2280" w:hanging="791"/>
        <w:spacing w:after="0"/>
        <w:tabs>
          <w:tab w:leader="none" w:pos="22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USA Waste is an integrated solid waste management</w:t>
      </w:r>
    </w:p>
    <w:p>
      <w:pPr>
        <w:spacing w:after="0" w:line="5" w:lineRule="exact"/>
        <w:rPr>
          <w:rFonts w:ascii="Courier New" w:cs="Courier New" w:eastAsia="Courier New" w:hAnsi="Courier New"/>
          <w:sz w:val="15"/>
          <w:szCs w:val="15"/>
          <w:color w:val="auto"/>
        </w:rPr>
      </w:pPr>
    </w:p>
    <w:p>
      <w:pPr>
        <w:ind w:right="379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company operating in the non-hazardous segment of the industry, including collection, transfer, recycling, disposal and soil remediation.</w:t>
      </w:r>
    </w:p>
    <w:p>
      <w:pPr>
        <w:spacing w:after="0" w:line="158" w:lineRule="exact"/>
        <w:rPr>
          <w:rFonts w:ascii="Courier New" w:cs="Courier New" w:eastAsia="Courier New" w:hAnsi="Courier New"/>
          <w:sz w:val="15"/>
          <w:szCs w:val="15"/>
          <w:color w:val="auto"/>
        </w:rPr>
      </w:pPr>
    </w:p>
    <w:p>
      <w:pPr>
        <w:ind w:left="2280" w:hanging="791"/>
        <w:spacing w:after="0"/>
        <w:tabs>
          <w:tab w:leader="none" w:pos="22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last five years, neither USA Waste nor any</w:t>
      </w:r>
    </w:p>
    <w:p>
      <w:pPr>
        <w:spacing w:after="0" w:line="10" w:lineRule="exact"/>
        <w:rPr>
          <w:rFonts w:ascii="Courier New" w:cs="Courier New" w:eastAsia="Courier New" w:hAnsi="Courier New"/>
          <w:sz w:val="14"/>
          <w:szCs w:val="14"/>
          <w:color w:val="auto"/>
        </w:rPr>
      </w:pPr>
    </w:p>
    <w:p>
      <w:pPr>
        <w:ind w:right="3799"/>
        <w:spacing w:after="0" w:line="26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the persons referred to in Appendix A has been convicted in a criminal proceeding (excluding traffic violations and similar misdemeanors).</w:t>
      </w:r>
    </w:p>
    <w:p>
      <w:pPr>
        <w:spacing w:after="0" w:line="158" w:lineRule="exact"/>
        <w:rPr>
          <w:rFonts w:ascii="Courier New" w:cs="Courier New" w:eastAsia="Courier New" w:hAnsi="Courier New"/>
          <w:sz w:val="14"/>
          <w:szCs w:val="14"/>
          <w:color w:val="auto"/>
        </w:rPr>
      </w:pPr>
    </w:p>
    <w:p>
      <w:pPr>
        <w:ind w:right="3359" w:firstLine="1489"/>
        <w:spacing w:after="0" w:line="238" w:lineRule="auto"/>
        <w:tabs>
          <w:tab w:leader="none" w:pos="229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indicated in Appendix A, during the last five years, neither USA Waste nor any of the persons referred to in Appendix A has been a party to a civil proceeding of a judicial or administrative body of competent jurisdiction and as a result of such proceeding is or was subject to a judgment, decree or final order enjoining future violations of, or prohibiting or mandating activities subject to, federal or state securities laws or finding any violation with respect to such laws.</w:t>
      </w:r>
    </w:p>
    <w:p>
      <w:pPr>
        <w:spacing w:after="0" w:line="176" w:lineRule="exact"/>
        <w:rPr>
          <w:rFonts w:ascii="Courier New" w:cs="Courier New" w:eastAsia="Courier New" w:hAnsi="Courier New"/>
          <w:sz w:val="15"/>
          <w:szCs w:val="15"/>
          <w:color w:val="auto"/>
        </w:rPr>
      </w:pPr>
    </w:p>
    <w:p>
      <w:pPr>
        <w:ind w:right="3439" w:firstLine="1489"/>
        <w:spacing w:after="0" w:line="237" w:lineRule="auto"/>
        <w:tabs>
          <w:tab w:leader="none" w:pos="229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domicile of USA Waste is set forth in the Introduction to this Schedule 13D, and except as otherwise noted, all persons named in Appendix A are citizens of the United States.</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SOURCE AND AMOUNT OF FUNDS OR OTHER CONSIDERATION</w:t>
      </w:r>
    </w:p>
    <w:p>
      <w:pPr>
        <w:spacing w:after="0" w:line="175" w:lineRule="exact"/>
        <w:rPr>
          <w:sz w:val="20"/>
          <w:szCs w:val="20"/>
          <w:color w:val="auto"/>
        </w:rPr>
      </w:pPr>
    </w:p>
    <w:p>
      <w:pPr>
        <w:ind w:right="3259" w:firstLine="1489"/>
        <w:spacing w:after="0" w:line="237" w:lineRule="auto"/>
        <w:tabs>
          <w:tab w:leader="none" w:pos="229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Between October 13, 1995 and November 6, 1995, USA Waste purchased 634,900 shares of Company Common Stock (the "Purchased Shares") in open market transactions.</w:t>
      </w:r>
    </w:p>
    <w:p>
      <w:pPr>
        <w:sectPr>
          <w:pgSz w:w="11900" w:h="16838" w:orient="portrait"/>
          <w:cols w:equalWidth="0" w:num="1">
            <w:col w:w="10219"/>
          </w:cols>
          <w:pgMar w:left="240" w:top="28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amount of funds used to make the purchases, including the payment of applicable commissions, was $12,568,594. The source of these funds was working capital of USA Waste.</w:t>
      </w:r>
    </w:p>
    <w:p>
      <w:pPr>
        <w:spacing w:after="0" w:line="175" w:lineRule="exact"/>
        <w:rPr>
          <w:sz w:val="20"/>
          <w:szCs w:val="20"/>
          <w:color w:val="auto"/>
        </w:rPr>
      </w:pPr>
    </w:p>
    <w:p>
      <w:pPr>
        <w:ind w:right="3259" w:firstLine="1489"/>
        <w:spacing w:after="0" w:line="257" w:lineRule="auto"/>
        <w:tabs>
          <w:tab w:leader="none" w:pos="2292"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18, 1995, USA Waste, Riviera Acquisition Corporation, a California corporation which is a wholly owned subsidiary of USA Waste ("Sub"), and the Company entered into an Agreement and Plan of Merger (the "Merger Agreement") pursuant to which Sub would be merged (the "Merger") with and into the Company and each outstanding share of Company Common Stock would be converted into a right to receive 1.50 shares of common stock, par value $0.01 per share, of USA Waste (the "USA Waste Common Stock"). The consummation of the Merger is subject to a number of conditions set forth in the Merger Agreement, including approval of the respective shareholders of USA Waste and the Company and approvals of regulatory authorities.</w:t>
      </w:r>
    </w:p>
    <w:p>
      <w:pPr>
        <w:spacing w:after="0" w:line="166" w:lineRule="exact"/>
        <w:rPr>
          <w:sz w:val="20"/>
          <w:szCs w:val="20"/>
          <w:color w:val="auto"/>
        </w:rPr>
      </w:pPr>
    </w:p>
    <w:p>
      <w:pPr>
        <w:ind w:right="3259" w:firstLine="1498"/>
        <w:spacing w:after="0" w:line="256" w:lineRule="auto"/>
        <w:rPr>
          <w:sz w:val="20"/>
          <w:szCs w:val="20"/>
          <w:color w:val="auto"/>
        </w:rPr>
      </w:pPr>
      <w:r>
        <w:rPr>
          <w:rFonts w:ascii="Courier New" w:cs="Courier New" w:eastAsia="Courier New" w:hAnsi="Courier New"/>
          <w:sz w:val="14"/>
          <w:szCs w:val="14"/>
          <w:color w:val="auto"/>
        </w:rPr>
        <w:t>Pursuant to a voting agreement, dated December 18, 1995 (the "Voting Agreement"), among USA Waste, the Company and Mr. Kosti Shirvanian, Mr. Shirvanian has agreed, with respect to all shares of Company Common Stock beneficially owned by him currently and at any time prior to the termination of the Voting Agreement (the "Subject Shares"), (i) to vote the Subject Shares in favor of approval of the Merger Agreement and the Merger and any matter that could reasonably be expected to facilitate the Merger, (ii) to vote the Subject Shares against any proposal made in opposition to or in competition with consummation of the Merger, (iii) not to vote the Subject Shares in favor of any merger (including, without limitation, a superior proposal), consolidation, sale of assets, reorganization or recapitalization of the Company with any party other than USA Waste or its affiliates, (iv) to vote the Subject Shares against any liquidation or winding up of the Company or any amendment of the Company's Articles of Incorporation or By- laws or any other transaction or action which is intended to frustrate or impair the right or ability of USA Waste or Sub, on the one hand, or the Company, on the other hand, to consummate the Merger, (v) in his capacity as a stockholder, not to initiate or engage in discussions or negotiations with, or provide any information to, any corporation, partnership, person or other entity or group, other than USA Waste and its affiliates, concerning the sale of the Subject Shares, or the issuance and sale of Company Common Stock by the Company or, with respect to any merger or other business combination, any disposition or grant of an interest in a substantial asset or any similar transaction involving the Company, and (vi) not to transfer, sell, exchange, pledge or otherwise dispose of or encumber any of the Subject Shares or make any offer or agreement relating thereto at any time prior to the termination of the Voting Agreement. In connection with the Voting Agreement, Mr. Shirvanian granted certain officers and directors of USA Waste an irrevocable proxy, dated December 18, 1995 (the "Irrevocable Proxy"), to vote the Subject Shares to the extent permitted by items (i) through (iv) above. Both the Voting Agreement and the Irrevocable Proxy were entered into and granted in consideration of USA Waste entering into the Merger Agreement.</w:t>
      </w:r>
    </w:p>
    <w:p>
      <w:pPr>
        <w:spacing w:after="0" w:line="180" w:lineRule="exact"/>
        <w:rPr>
          <w:sz w:val="20"/>
          <w:szCs w:val="20"/>
          <w:color w:val="auto"/>
        </w:rPr>
      </w:pPr>
    </w:p>
    <w:p>
      <w:pPr>
        <w:jc w:val="both"/>
        <w:ind w:right="3359" w:firstLine="1498"/>
        <w:spacing w:after="0" w:line="265" w:lineRule="auto"/>
        <w:rPr>
          <w:sz w:val="20"/>
          <w:szCs w:val="20"/>
          <w:color w:val="auto"/>
        </w:rPr>
      </w:pPr>
      <w:r>
        <w:rPr>
          <w:rFonts w:ascii="Courier New" w:cs="Courier New" w:eastAsia="Courier New" w:hAnsi="Courier New"/>
          <w:sz w:val="14"/>
          <w:szCs w:val="14"/>
          <w:color w:val="auto"/>
        </w:rPr>
        <w:t>No cash payments, other than in respect of fractional shares, will be made to the shareholders of the Company in connection with the Merger.</w:t>
      </w:r>
    </w:p>
    <w:p>
      <w:pPr>
        <w:spacing w:after="0" w:line="15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PURPOSE OF TRANSACTIONS</w:t>
      </w:r>
    </w:p>
    <w:p>
      <w:pPr>
        <w:sectPr>
          <w:pgSz w:w="11900" w:h="16838" w:orient="portrait"/>
          <w:cols w:equalWidth="0" w:num="1">
            <w:col w:w="10219"/>
          </w:cols>
          <w:pgMar w:left="240" w:top="28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359" w:firstLine="1498"/>
        <w:spacing w:after="0" w:line="237" w:lineRule="auto"/>
        <w:rPr>
          <w:sz w:val="20"/>
          <w:szCs w:val="20"/>
          <w:color w:val="auto"/>
        </w:rPr>
      </w:pPr>
      <w:r>
        <w:rPr>
          <w:rFonts w:ascii="Courier New" w:cs="Courier New" w:eastAsia="Courier New" w:hAnsi="Courier New"/>
          <w:sz w:val="15"/>
          <w:szCs w:val="15"/>
          <w:color w:val="auto"/>
        </w:rPr>
        <w:t>USA Waste purchased 634,900 shares of Company Common Stock on the open market between October 13, 1995 and November 6, 1995 and thereby acquired sole voting power and sole dispositive power with respect to those shares. USA Waste entered into these transactions for general investment purposes.</w:t>
      </w:r>
    </w:p>
    <w:p>
      <w:pPr>
        <w:spacing w:after="0" w:line="178" w:lineRule="exact"/>
        <w:rPr>
          <w:sz w:val="20"/>
          <w:szCs w:val="20"/>
          <w:color w:val="auto"/>
        </w:rPr>
      </w:pPr>
    </w:p>
    <w:p>
      <w:pPr>
        <w:ind w:right="3259" w:firstLine="1498"/>
        <w:spacing w:after="0" w:line="256" w:lineRule="auto"/>
        <w:rPr>
          <w:sz w:val="20"/>
          <w:szCs w:val="20"/>
          <w:color w:val="auto"/>
        </w:rPr>
      </w:pPr>
      <w:r>
        <w:rPr>
          <w:rFonts w:ascii="Courier New" w:cs="Courier New" w:eastAsia="Courier New" w:hAnsi="Courier New"/>
          <w:sz w:val="14"/>
          <w:szCs w:val="14"/>
          <w:color w:val="auto"/>
        </w:rPr>
        <w:t>USA Waste entered into the Voting Agreement and the Irrevocable Proxy and thereby acquired shared voting power over the Subject Shares, to which this Schedule 13D partially relates, as an inducement to enter into and consummate the transactions contemplated by and described in (i) the Merger Agreement, (ii) the Voting Agreement and (iii) the Irrevocable Proxy.</w:t>
      </w:r>
    </w:p>
    <w:p>
      <w:pPr>
        <w:spacing w:after="0" w:line="2" w:lineRule="exact"/>
        <w:rPr>
          <w:sz w:val="20"/>
          <w:szCs w:val="20"/>
          <w:color w:val="auto"/>
        </w:rPr>
      </w:pPr>
    </w:p>
    <w:p>
      <w:pPr>
        <w:jc w:val="both"/>
        <w:ind w:right="3259"/>
        <w:spacing w:after="0" w:line="237" w:lineRule="auto"/>
        <w:rPr>
          <w:sz w:val="20"/>
          <w:szCs w:val="20"/>
          <w:color w:val="auto"/>
        </w:rPr>
      </w:pPr>
      <w:r>
        <w:rPr>
          <w:rFonts w:ascii="Courier New" w:cs="Courier New" w:eastAsia="Courier New" w:hAnsi="Courier New"/>
          <w:sz w:val="15"/>
          <w:szCs w:val="15"/>
          <w:color w:val="auto"/>
        </w:rPr>
        <w:t>It is the intention of USA Waste and the Company that, upon consummation of the Merger, USA Waste will acquire the entire equity interest in and control of the Company.</w:t>
      </w:r>
    </w:p>
    <w:p>
      <w:pPr>
        <w:spacing w:after="0" w:line="175" w:lineRule="exact"/>
        <w:rPr>
          <w:sz w:val="20"/>
          <w:szCs w:val="20"/>
          <w:color w:val="auto"/>
        </w:rPr>
      </w:pPr>
    </w:p>
    <w:p>
      <w:pPr>
        <w:ind w:right="3259" w:firstLine="1498"/>
        <w:spacing w:after="0" w:line="237" w:lineRule="auto"/>
        <w:rPr>
          <w:sz w:val="20"/>
          <w:szCs w:val="20"/>
          <w:color w:val="auto"/>
        </w:rPr>
      </w:pPr>
      <w:r>
        <w:rPr>
          <w:rFonts w:ascii="Courier New" w:cs="Courier New" w:eastAsia="Courier New" w:hAnsi="Courier New"/>
          <w:sz w:val="15"/>
          <w:szCs w:val="15"/>
          <w:color w:val="auto"/>
        </w:rPr>
        <w:t>As a result of the Merger, the Company Common Stock will cease to be listed on the New York Stock Exchange and will no longer be registered pursuant to Section 12(g) of the Securities and Exchange Act of 1934, as amended (the "Exchange Act").</w:t>
      </w:r>
    </w:p>
    <w:p>
      <w:pPr>
        <w:spacing w:after="0" w:line="176" w:lineRule="exact"/>
        <w:rPr>
          <w:sz w:val="20"/>
          <w:szCs w:val="20"/>
          <w:color w:val="auto"/>
        </w:rPr>
      </w:pPr>
    </w:p>
    <w:p>
      <w:pPr>
        <w:ind w:right="3359" w:firstLine="1498"/>
        <w:spacing w:after="0" w:line="237" w:lineRule="auto"/>
        <w:rPr>
          <w:sz w:val="20"/>
          <w:szCs w:val="20"/>
          <w:color w:val="auto"/>
        </w:rPr>
      </w:pPr>
      <w:r>
        <w:rPr>
          <w:rFonts w:ascii="Courier New" w:cs="Courier New" w:eastAsia="Courier New" w:hAnsi="Courier New"/>
          <w:sz w:val="15"/>
          <w:szCs w:val="15"/>
          <w:color w:val="auto"/>
        </w:rPr>
        <w:t>The filing of this Statement shall not be construed as an admission by USA Waste that, for purposes of Sections 13(d) and 13(g) of the Exchange Act, USA Waste is the beneficial owner of the Subject Shares to which this Statement on Schedule 13D relates.</w:t>
      </w:r>
    </w:p>
    <w:p>
      <w:pPr>
        <w:spacing w:after="0" w:line="176" w:lineRule="exact"/>
        <w:rPr>
          <w:sz w:val="20"/>
          <w:szCs w:val="20"/>
          <w:color w:val="auto"/>
        </w:rPr>
      </w:pPr>
    </w:p>
    <w:p>
      <w:pPr>
        <w:ind w:right="3259" w:firstLine="1498"/>
        <w:spacing w:after="0" w:line="238" w:lineRule="auto"/>
        <w:rPr>
          <w:sz w:val="20"/>
          <w:szCs w:val="20"/>
          <w:color w:val="auto"/>
        </w:rPr>
      </w:pPr>
      <w:r>
        <w:rPr>
          <w:rFonts w:ascii="Courier New" w:cs="Courier New" w:eastAsia="Courier New" w:hAnsi="Courier New"/>
          <w:sz w:val="15"/>
          <w:szCs w:val="15"/>
          <w:color w:val="auto"/>
        </w:rPr>
        <w:t>USA Waste may change any of its current intentions, acquire a beneficial interest in additional shares of Company Common Stock, sell or otherwise dispose of all or any part of the Company Common Stock beneficially owned by USA Waste, or take any other action with respect to the Company or any of its equity securities in any manner permitted by law. Reference is hereby made to Articles I, II and III of the Merger Agreement for a description of other transactions or events of the type described in Items (a) through (j) of the instructions to Item 4 of Schedule 13D. Except as disclosed in this Item 4, USA Waste does not have any current plans or proposals that relate to or would result in any of the events described in Items (a) through (j) of the instructions to Item 4 of Schedule 13D.</w:t>
      </w:r>
    </w:p>
    <w:p>
      <w:pPr>
        <w:spacing w:after="0" w:line="181" w:lineRule="exact"/>
        <w:rPr>
          <w:sz w:val="20"/>
          <w:szCs w:val="20"/>
          <w:color w:val="auto"/>
        </w:rPr>
      </w:pPr>
    </w:p>
    <w:p>
      <w:pPr>
        <w:ind w:right="3359" w:firstLine="1498"/>
        <w:spacing w:after="0" w:line="237" w:lineRule="auto"/>
        <w:rPr>
          <w:sz w:val="20"/>
          <w:szCs w:val="20"/>
          <w:color w:val="auto"/>
        </w:rPr>
      </w:pPr>
      <w:r>
        <w:rPr>
          <w:rFonts w:ascii="Courier New" w:cs="Courier New" w:eastAsia="Courier New" w:hAnsi="Courier New"/>
          <w:sz w:val="15"/>
          <w:szCs w:val="15"/>
          <w:color w:val="auto"/>
        </w:rPr>
        <w:t>The foregoing response to this Item 4 is qualified in its entirety by reference to the Merger Agreement, the full text of which is filed as Exhibit A hereto and incorporated herein by reference, and the Voting Agreement and Irrevocable Proxy, the full text of each of which is filed as Exhibit B hereto and incorporated herein by reference.</w:t>
      </w:r>
    </w:p>
    <w:p>
      <w:pPr>
        <w:spacing w:after="0" w:line="17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INTEREST IN SECURITIES OF THE ISSUER</w:t>
      </w:r>
    </w:p>
    <w:p>
      <w:pPr>
        <w:spacing w:after="0" w:line="175" w:lineRule="exact"/>
        <w:rPr>
          <w:sz w:val="20"/>
          <w:szCs w:val="20"/>
          <w:color w:val="auto"/>
        </w:rPr>
      </w:pPr>
    </w:p>
    <w:p>
      <w:pPr>
        <w:ind w:right="3259" w:firstLine="1489"/>
        <w:spacing w:after="0" w:line="237" w:lineRule="auto"/>
        <w:tabs>
          <w:tab w:leader="none" w:pos="229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Company Common Stock beneficially owned by USA Waste is 634,900 shares, or approximately 4.4% of the class of such securities. Beneficial ownership of such shares was acquired as described in Item 3 and Item 4.</w:t>
      </w:r>
    </w:p>
    <w:p>
      <w:pPr>
        <w:spacing w:after="0" w:line="176" w:lineRule="exact"/>
        <w:rPr>
          <w:sz w:val="20"/>
          <w:szCs w:val="20"/>
          <w:color w:val="auto"/>
        </w:rPr>
      </w:pPr>
    </w:p>
    <w:p>
      <w:pPr>
        <w:ind w:right="3359" w:firstLine="1498"/>
        <w:spacing w:after="0" w:line="237" w:lineRule="auto"/>
        <w:rPr>
          <w:sz w:val="20"/>
          <w:szCs w:val="20"/>
          <w:color w:val="auto"/>
        </w:rPr>
      </w:pPr>
      <w:r>
        <w:rPr>
          <w:rFonts w:ascii="Courier New" w:cs="Courier New" w:eastAsia="Courier New" w:hAnsi="Courier New"/>
          <w:sz w:val="15"/>
          <w:szCs w:val="15"/>
          <w:color w:val="auto"/>
        </w:rPr>
        <w:t>In addition, USA Waste shares the power to vote the Subject Shares with respect to certain matters as described in Item 3 and Item 4. The number of Subject Shares with respect to</w:t>
      </w:r>
    </w:p>
    <w:p>
      <w:pPr>
        <w:sectPr>
          <w:pgSz w:w="11900" w:h="16838" w:orient="portrait"/>
          <w:cols w:equalWidth="0" w:num="1">
            <w:col w:w="10219"/>
          </w:cols>
          <w:pgMar w:left="240" w:top="28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which USA Waste has such voting power is 5,854,411 shares (includes options to acquire 1,337,998 shares exercisable within 60 days), or approximately 36.8% of the class of such securities. Although USA Waste does not admit that, for purposes of Sections 13(d) and 13(g) of the Exchange Act, USA Waste is the beneficial owner of the Subject Shares to which this Statement on Schedule 13D relates, if USA Waste were deemed to be the beneficial owner of the Subject Shares it would beneficially own 6,489,311 shares (includes options to acquire 1,337,998 shares exercisable within 60 days), or approximately 40.8% of the class of such securities.</w:t>
      </w:r>
    </w:p>
    <w:p>
      <w:pPr>
        <w:spacing w:after="0" w:line="179" w:lineRule="exact"/>
        <w:rPr>
          <w:sz w:val="20"/>
          <w:szCs w:val="20"/>
          <w:color w:val="auto"/>
        </w:rPr>
      </w:pPr>
    </w:p>
    <w:p>
      <w:pPr>
        <w:ind w:right="3259" w:firstLine="1489"/>
        <w:spacing w:after="0" w:line="238" w:lineRule="auto"/>
        <w:tabs>
          <w:tab w:leader="none" w:pos="229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Company Common Stock as to which there is sole power to direct the vote, shared power to vote or to direct the vote, sole power to dispose or direct the disposition or shared power to dispose or direct the disposition for USA Waste is set forth in the cover page, and such information is incorporated herein by reference. To the knowledge of USA Waste, the persons listed on Appendix A in response to Item 2 do not beneficially own any shares of Company Common Stock. USA Waste shares the power to vote the Subject Shares with Mr. Shirvanian. The applicable information required by Item 2 with respect to Mr. Shirvanian is attached hereto as Appendix B.</w:t>
      </w:r>
    </w:p>
    <w:p>
      <w:pPr>
        <w:spacing w:after="0" w:line="179" w:lineRule="exact"/>
        <w:rPr>
          <w:rFonts w:ascii="Courier New" w:cs="Courier New" w:eastAsia="Courier New" w:hAnsi="Courier New"/>
          <w:sz w:val="15"/>
          <w:szCs w:val="15"/>
          <w:color w:val="auto"/>
        </w:rPr>
      </w:pPr>
    </w:p>
    <w:p>
      <w:pPr>
        <w:ind w:right="3259" w:firstLine="1489"/>
        <w:spacing w:after="0" w:line="237" w:lineRule="auto"/>
        <w:tabs>
          <w:tab w:leader="none" w:pos="229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have been no reportable transactions with respect to the Company Common Stock within the last 60 days by USA Waste except for the acquisition of beneficial ownership of the shares being reported on this Schedule 13D.</w:t>
      </w:r>
    </w:p>
    <w:p>
      <w:pPr>
        <w:spacing w:after="0" w:line="170" w:lineRule="exact"/>
        <w:rPr>
          <w:rFonts w:ascii="Courier New" w:cs="Courier New" w:eastAsia="Courier New" w:hAnsi="Courier New"/>
          <w:sz w:val="15"/>
          <w:szCs w:val="15"/>
          <w:color w:val="auto"/>
        </w:rPr>
      </w:pPr>
    </w:p>
    <w:p>
      <w:pPr>
        <w:ind w:left="2280" w:hanging="791"/>
        <w:spacing w:after="0"/>
        <w:tabs>
          <w:tab w:leader="none" w:pos="22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Subject Shares, Mr. Shirvanian</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has the right to receive dividends or to sell such shares.</w:t>
      </w:r>
    </w:p>
    <w:p>
      <w:pPr>
        <w:spacing w:after="0" w:line="168" w:lineRule="exact"/>
        <w:rPr>
          <w:rFonts w:ascii="Courier New" w:cs="Courier New" w:eastAsia="Courier New" w:hAnsi="Courier New"/>
          <w:sz w:val="15"/>
          <w:szCs w:val="15"/>
          <w:color w:val="auto"/>
        </w:rPr>
      </w:pPr>
    </w:p>
    <w:p>
      <w:pPr>
        <w:ind w:left="2280" w:hanging="791"/>
        <w:spacing w:after="0"/>
        <w:tabs>
          <w:tab w:leader="none" w:pos="22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5" w:lineRule="exact"/>
        <w:rPr>
          <w:sz w:val="20"/>
          <w:szCs w:val="20"/>
          <w:color w:val="auto"/>
        </w:rPr>
      </w:pPr>
    </w:p>
    <w:p>
      <w:pPr>
        <w:ind w:left="1480" w:right="3359" w:hanging="1497"/>
        <w:spacing w:after="0" w:line="235" w:lineRule="auto"/>
        <w:tabs>
          <w:tab w:leader="none" w:pos="14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CONTRACTS, ARRANGEMENTS, UNDERSTANDINGS OR RELATIONSHIPS WITH RESPECT TO SECURITIES OF THE ISSUER</w:t>
      </w:r>
    </w:p>
    <w:p>
      <w:pPr>
        <w:spacing w:after="0" w:line="176" w:lineRule="exact"/>
        <w:rPr>
          <w:sz w:val="20"/>
          <w:szCs w:val="20"/>
          <w:color w:val="auto"/>
        </w:rPr>
      </w:pPr>
    </w:p>
    <w:p>
      <w:pPr>
        <w:ind w:right="3439" w:firstLine="1498"/>
        <w:spacing w:after="0" w:line="237" w:lineRule="auto"/>
        <w:rPr>
          <w:sz w:val="20"/>
          <w:szCs w:val="20"/>
          <w:color w:val="auto"/>
        </w:rPr>
      </w:pPr>
      <w:r>
        <w:rPr>
          <w:rFonts w:ascii="Courier New" w:cs="Courier New" w:eastAsia="Courier New" w:hAnsi="Courier New"/>
          <w:sz w:val="15"/>
          <w:szCs w:val="15"/>
          <w:color w:val="auto"/>
        </w:rPr>
        <w:t>The responses to Item 2, Item 3 and Item 4, the Merger Agreement and the Voting Agreement and the Irrevocable Proxy are incorporated herein by reference.</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MATERIAL FILED AS EXHIBITS</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The following are filed herewith as Exhibits to this Schedule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13D:</w:t>
      </w:r>
    </w:p>
    <w:p>
      <w:pPr>
        <w:spacing w:after="0" w:line="175" w:lineRule="exact"/>
        <w:rPr>
          <w:sz w:val="20"/>
          <w:szCs w:val="20"/>
          <w:color w:val="auto"/>
        </w:rPr>
      </w:pPr>
    </w:p>
    <w:p>
      <w:pPr>
        <w:ind w:left="2280" w:right="3539" w:hanging="791"/>
        <w:spacing w:after="0" w:line="237" w:lineRule="auto"/>
        <w:tabs>
          <w:tab w:leader="none" w:pos="22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and Plan of Merger, dated as of December 18, 1995, by and among USA Waste Services, Inc., Riviera Acquisition Corporation and Western Waste Industries</w:t>
      </w:r>
    </w:p>
    <w:p>
      <w:pPr>
        <w:spacing w:after="0" w:line="176" w:lineRule="exact"/>
        <w:rPr>
          <w:rFonts w:ascii="Courier New" w:cs="Courier New" w:eastAsia="Courier New" w:hAnsi="Courier New"/>
          <w:sz w:val="15"/>
          <w:szCs w:val="15"/>
          <w:color w:val="auto"/>
        </w:rPr>
      </w:pPr>
    </w:p>
    <w:p>
      <w:pPr>
        <w:ind w:left="2280" w:right="3359" w:hanging="791"/>
        <w:spacing w:after="0" w:line="237" w:lineRule="auto"/>
        <w:tabs>
          <w:tab w:leader="none" w:pos="22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Agreement, dated December 18, 1995, among USA Waste Services, Inc., Western Waste Industries and Mr. Kosti Shirvanian, with Irrevocable Proxy, dated December 18, 1995, attached thereto</w:t>
      </w:r>
    </w:p>
    <w:p>
      <w:pPr>
        <w:sectPr>
          <w:pgSz w:w="11900" w:h="16838" w:orient="portrait"/>
          <w:cols w:equalWidth="0" w:num="1">
            <w:col w:w="10219"/>
          </w:cols>
          <w:pgMar w:left="240" w:top="28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ind w:left="3080"/>
        <w:spacing w:after="0"/>
        <w:rPr>
          <w:sz w:val="20"/>
          <w:szCs w:val="20"/>
          <w:color w:val="auto"/>
        </w:rPr>
      </w:pPr>
      <w:r>
        <w:rPr>
          <w:rFonts w:ascii="Courier New" w:cs="Courier New" w:eastAsia="Courier New" w:hAnsi="Courier New"/>
          <w:sz w:val="15"/>
          <w:szCs w:val="15"/>
          <w:color w:val="auto"/>
        </w:rPr>
        <w:t>SIGNATURE</w:t>
      </w:r>
    </w:p>
    <w:p>
      <w:pPr>
        <w:spacing w:after="0" w:line="344" w:lineRule="exact"/>
        <w:rPr>
          <w:sz w:val="20"/>
          <w:szCs w:val="20"/>
          <w:color w:val="auto"/>
        </w:rPr>
      </w:pPr>
    </w:p>
    <w:p>
      <w:pPr>
        <w:ind w:right="3359" w:firstLine="1498"/>
        <w:spacing w:after="0" w:line="237" w:lineRule="auto"/>
        <w:rPr>
          <w:sz w:val="20"/>
          <w:szCs w:val="20"/>
          <w:color w:val="auto"/>
        </w:rPr>
      </w:pPr>
      <w:r>
        <w:rPr>
          <w:rFonts w:ascii="Courier New" w:cs="Courier New" w:eastAsia="Courier New" w:hAnsi="Courier New"/>
          <w:sz w:val="15"/>
          <w:szCs w:val="15"/>
          <w:color w:val="auto"/>
        </w:rPr>
        <w:t>After reasonable inquiry and to the best of its knowledge and belief, the undersigned certifies that the information set forth in this statement is true, complete and correct.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December 28, 1995</w:t>
      </w:r>
    </w:p>
    <w:p>
      <w:pPr>
        <w:spacing w:after="0" w:line="339"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5"/>
          <w:szCs w:val="15"/>
          <w:color w:val="auto"/>
        </w:rPr>
        <w:t>USA Waste Services, Inc.</w:t>
      </w:r>
    </w:p>
    <w:p>
      <w:pPr>
        <w:sectPr>
          <w:pgSz w:w="11900" w:h="16838" w:orient="portrait"/>
          <w:cols w:equalWidth="0" w:num="1">
            <w:col w:w="10219"/>
          </w:cols>
          <w:pgMar w:left="240" w:top="283" w:right="1440" w:bottom="1440" w:gutter="0" w:footer="0" w:header="0"/>
        </w:sectPr>
      </w:pP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Name:</w:t>
      </w:r>
    </w:p>
    <w:p>
      <w:pPr>
        <w:ind w:left="386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Bruce E. Snyder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E. Snyder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Controller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&amp; Chief Accounting Officer</w:t>
      </w:r>
    </w:p>
    <w:p>
      <w:pPr>
        <w:sectPr>
          <w:pgSz w:w="11900" w:h="16838" w:orient="portrait"/>
          <w:cols w:equalWidth="0" w:num="2">
            <w:col w:w="4400" w:space="260"/>
            <w:col w:w="5559"/>
          </w:cols>
          <w:pgMar w:left="240" w:top="283"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APPENDIX A</w:t>
      </w:r>
    </w:p>
    <w:p>
      <w:pPr>
        <w:spacing w:after="0" w:line="344"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DIRECTORS AND EXECUTIVE OFFICERS</w:t>
      </w:r>
    </w:p>
    <w:p>
      <w:pPr>
        <w:ind w:left="2280"/>
        <w:spacing w:after="0"/>
        <w:rPr>
          <w:sz w:val="20"/>
          <w:szCs w:val="20"/>
          <w:color w:val="auto"/>
        </w:rPr>
      </w:pPr>
      <w:r>
        <w:rPr>
          <w:rFonts w:ascii="Courier New" w:cs="Courier New" w:eastAsia="Courier New" w:hAnsi="Courier New"/>
          <w:sz w:val="15"/>
          <w:szCs w:val="15"/>
          <w:color w:val="auto"/>
        </w:rPr>
        <w:t>OF USA WASTE SERVICES, INC.</w:t>
      </w:r>
    </w:p>
    <w:p>
      <w:pPr>
        <w:spacing w:after="0" w:line="200" w:lineRule="exact"/>
        <w:rPr>
          <w:sz w:val="20"/>
          <w:szCs w:val="20"/>
          <w:color w:val="auto"/>
        </w:rPr>
      </w:pPr>
    </w:p>
    <w:p>
      <w:pPr>
        <w:spacing w:after="0" w:line="313" w:lineRule="exact"/>
        <w:rPr>
          <w:sz w:val="20"/>
          <w:szCs w:val="20"/>
          <w:color w:val="auto"/>
        </w:rPr>
      </w:pPr>
    </w:p>
    <w:p>
      <w:pPr>
        <w:ind w:right="3520" w:firstLine="793"/>
        <w:spacing w:after="0" w:line="257" w:lineRule="auto"/>
        <w:rPr>
          <w:sz w:val="20"/>
          <w:szCs w:val="20"/>
          <w:color w:val="auto"/>
        </w:rPr>
      </w:pPr>
      <w:r>
        <w:rPr>
          <w:rFonts w:ascii="Courier New" w:cs="Courier New" w:eastAsia="Courier New" w:hAnsi="Courier New"/>
          <w:sz w:val="14"/>
          <w:szCs w:val="14"/>
          <w:color w:val="auto"/>
        </w:rPr>
        <w:t>The following table sets forth the name, business address and present principal occupation or employment of each director and executive officer of USA Waste. Unless otherwise indicated below, each such person is a citizen of the United States of America, and the business address of each such person is c/o USA Waste Services, Inc., 5400 LBJ Freeway, Suite 300 - Tower One, Dallas, Texas 75240. Except as indicated below, during the last five years, none of the persons listed below has been convicted in a criminal proceeding (excluding traffic violations or similar misdemeanors), nor has any of such persons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0480"/>
          </w:cols>
          <w:pgMar w:left="240" w:top="283"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PRESENT PRINCIPAL OCCUPATION OR EMPLOYMENT;</w:t>
      </w:r>
    </w:p>
    <w:p>
      <w:pPr>
        <w:ind w:left="2120"/>
        <w:spacing w:after="0"/>
        <w:rPr>
          <w:sz w:val="20"/>
          <w:szCs w:val="20"/>
          <w:color w:val="auto"/>
        </w:rPr>
      </w:pPr>
      <w:r>
        <w:rPr>
          <w:rFonts w:ascii="Courier New" w:cs="Courier New" w:eastAsia="Courier New" w:hAnsi="Courier New"/>
          <w:sz w:val="15"/>
          <w:szCs w:val="15"/>
          <w:color w:val="auto"/>
        </w:rPr>
        <w:t>BUSINESS 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3240" w:space="720"/>
            <w:col w:w="6520"/>
          </w:cols>
          <w:pgMar w:left="240" w:top="283" w:right="11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John E. Drury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 Chief Executive Officer and Director</w:t>
      </w:r>
    </w:p>
    <w:p>
      <w:pPr>
        <w:spacing w:after="0" w:line="180" w:lineRule="exact"/>
        <w:rPr>
          <w:sz w:val="20"/>
          <w:szCs w:val="20"/>
          <w:color w:val="auto"/>
        </w:rPr>
      </w:pPr>
    </w:p>
    <w:p>
      <w:pPr>
        <w:sectPr>
          <w:pgSz w:w="11900" w:h="16838" w:orient="portrait"/>
          <w:cols w:equalWidth="0" w:num="2">
            <w:col w:w="3060" w:space="720"/>
            <w:col w:w="6700"/>
          </w:cols>
          <w:pgMar w:left="240" w:top="283" w:right="11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Donald F. Moorehead, Jr.</w:t>
      </w:r>
    </w:p>
    <w:p>
      <w:pPr>
        <w:spacing w:after="0" w:line="20" w:lineRule="exact"/>
        <w:rPr>
          <w:sz w:val="20"/>
          <w:szCs w:val="20"/>
          <w:color w:val="auto"/>
        </w:rPr>
      </w:pPr>
      <w:r>
        <w:rPr>
          <w:sz w:val="20"/>
          <w:szCs w:val="20"/>
          <w:color w:val="auto"/>
        </w:rPr>
        <w:br w:type="column"/>
      </w:r>
    </w:p>
    <w:p>
      <w:pPr>
        <w:ind w:right="1680"/>
        <w:spacing w:after="0" w:line="235" w:lineRule="auto"/>
        <w:rPr>
          <w:sz w:val="20"/>
          <w:szCs w:val="20"/>
          <w:color w:val="auto"/>
        </w:rPr>
      </w:pPr>
      <w:r>
        <w:rPr>
          <w:rFonts w:ascii="Courier New" w:cs="Courier New" w:eastAsia="Courier New" w:hAnsi="Courier New"/>
          <w:sz w:val="15"/>
          <w:szCs w:val="15"/>
          <w:color w:val="auto"/>
        </w:rPr>
        <w:t>Vice Chairman of the Board, Chief Development Officer and Director</w:t>
      </w:r>
    </w:p>
    <w:p>
      <w:pPr>
        <w:spacing w:after="0" w:line="176" w:lineRule="exact"/>
        <w:rPr>
          <w:sz w:val="20"/>
          <w:szCs w:val="20"/>
          <w:color w:val="auto"/>
        </w:rPr>
      </w:pPr>
    </w:p>
    <w:p>
      <w:pPr>
        <w:sectPr>
          <w:pgSz w:w="11900" w:h="16838" w:orient="portrait"/>
          <w:cols w:equalWidth="0" w:num="2">
            <w:col w:w="3060" w:space="720"/>
            <w:col w:w="6700"/>
          </w:cols>
          <w:pgMar w:left="240" w:top="283" w:right="11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David Sutherland-Yoest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President, Chief Operating Officer and Director</w:t>
      </w:r>
    </w:p>
    <w:p>
      <w:pPr>
        <w:spacing w:after="0" w:line="180" w:lineRule="exact"/>
        <w:rPr>
          <w:sz w:val="20"/>
          <w:szCs w:val="20"/>
          <w:color w:val="auto"/>
        </w:rPr>
      </w:pPr>
    </w:p>
    <w:p>
      <w:pPr>
        <w:sectPr>
          <w:pgSz w:w="11900" w:h="16838" w:orient="portrait"/>
          <w:cols w:equalWidth="0" w:num="2">
            <w:col w:w="3060" w:space="720"/>
            <w:col w:w="6700"/>
          </w:cols>
          <w:pgMar w:left="240" w:top="283" w:right="11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Alexander W. Rangos</w:t>
      </w:r>
    </w:p>
    <w:p>
      <w:pPr>
        <w:spacing w:after="0" w:line="20" w:lineRule="exact"/>
        <w:rPr>
          <w:sz w:val="20"/>
          <w:szCs w:val="20"/>
          <w:color w:val="auto"/>
        </w:rPr>
      </w:pPr>
      <w:r>
        <w:rPr>
          <w:sz w:val="20"/>
          <w:szCs w:val="20"/>
          <w:color w:val="auto"/>
        </w:rPr>
        <w:br w:type="column"/>
      </w:r>
    </w:p>
    <w:p>
      <w:pPr>
        <w:jc w:val="center"/>
        <w:ind w:right="2300"/>
        <w:spacing w:after="0"/>
        <w:rPr>
          <w:sz w:val="20"/>
          <w:szCs w:val="20"/>
          <w:color w:val="auto"/>
        </w:rPr>
      </w:pPr>
      <w:r>
        <w:rPr>
          <w:rFonts w:ascii="Courier New" w:cs="Courier New" w:eastAsia="Courier New" w:hAnsi="Courier New"/>
          <w:sz w:val="14"/>
          <w:szCs w:val="14"/>
          <w:color w:val="auto"/>
        </w:rPr>
        <w:t>Vice President - Landfill Development and Director</w:t>
      </w:r>
    </w:p>
    <w:p>
      <w:pPr>
        <w:spacing w:after="0" w:line="180" w:lineRule="exact"/>
        <w:rPr>
          <w:sz w:val="20"/>
          <w:szCs w:val="20"/>
          <w:color w:val="auto"/>
        </w:rPr>
      </w:pPr>
    </w:p>
    <w:p>
      <w:pPr>
        <w:sectPr>
          <w:pgSz w:w="11900" w:h="16838" w:orient="portrait"/>
          <w:cols w:equalWidth="0" w:num="2">
            <w:col w:w="3060" w:space="720"/>
            <w:col w:w="6700"/>
          </w:cols>
          <w:pgMar w:left="240" w:top="283" w:right="11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George L. Ball</w:t>
      </w:r>
    </w:p>
    <w:p>
      <w:pPr>
        <w:spacing w:after="0" w:line="20" w:lineRule="exact"/>
        <w:rPr>
          <w:sz w:val="20"/>
          <w:szCs w:val="20"/>
          <w:color w:val="auto"/>
        </w:rPr>
      </w:pPr>
      <w:r>
        <w:rPr>
          <w:sz w:val="20"/>
          <w:szCs w:val="20"/>
          <w:color w:val="auto"/>
        </w:rPr>
        <w:br w:type="column"/>
      </w:r>
    </w:p>
    <w:p>
      <w:pPr>
        <w:jc w:val="both"/>
        <w:ind w:right="1420"/>
        <w:spacing w:after="0" w:line="237" w:lineRule="auto"/>
        <w:rPr>
          <w:sz w:val="20"/>
          <w:szCs w:val="20"/>
          <w:color w:val="auto"/>
        </w:rPr>
      </w:pPr>
      <w:r>
        <w:rPr>
          <w:rFonts w:ascii="Courier New" w:cs="Courier New" w:eastAsia="Courier New" w:hAnsi="Courier New"/>
          <w:sz w:val="15"/>
          <w:szCs w:val="15"/>
          <w:color w:val="auto"/>
        </w:rPr>
        <w:t>Director; Mr. Ball is currently nonexecutive Chairman of the Board and a director of Sanders Morris Mundy Inc., 767 Fifth Avenue, 23rd Floor, New York, New York 10153</w:t>
      </w:r>
    </w:p>
    <w:p>
      <w:pPr>
        <w:spacing w:after="0" w:line="175" w:lineRule="exact"/>
        <w:rPr>
          <w:sz w:val="20"/>
          <w:szCs w:val="20"/>
          <w:color w:val="auto"/>
        </w:rPr>
      </w:pPr>
    </w:p>
    <w:p>
      <w:pPr>
        <w:sectPr>
          <w:pgSz w:w="11900" w:h="16838" w:orient="portrait"/>
          <w:cols w:equalWidth="0" w:num="2">
            <w:col w:w="3060" w:space="720"/>
            <w:col w:w="6700"/>
          </w:cols>
          <w:pgMar w:left="240" w:top="283" w:right="11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Richard J. Heckmann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 Mr. Heckmann is Chairman, President and Chief Executive Officer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 Filter Corporation, 73-710</w:t>
      </w:r>
    </w:p>
    <w:p>
      <w:pPr>
        <w:spacing w:after="0"/>
        <w:rPr>
          <w:sz w:val="20"/>
          <w:szCs w:val="20"/>
          <w:color w:val="auto"/>
        </w:rPr>
      </w:pPr>
      <w:r>
        <w:rPr>
          <w:rFonts w:ascii="Courier New" w:cs="Courier New" w:eastAsia="Courier New" w:hAnsi="Courier New"/>
          <w:sz w:val="15"/>
          <w:szCs w:val="15"/>
          <w:color w:val="auto"/>
        </w:rPr>
        <w:t>Fred Waring Drive, Suite 222, Palm Desert, California 92260</w:t>
      </w:r>
    </w:p>
    <w:p>
      <w:pPr>
        <w:spacing w:after="0" w:line="174" w:lineRule="exact"/>
        <w:rPr>
          <w:sz w:val="20"/>
          <w:szCs w:val="20"/>
          <w:color w:val="auto"/>
        </w:rPr>
      </w:pPr>
    </w:p>
    <w:p>
      <w:pPr>
        <w:sectPr>
          <w:pgSz w:w="11900" w:h="16838" w:orient="portrait"/>
          <w:cols w:equalWidth="0" w:num="2">
            <w:col w:w="3060" w:space="720"/>
            <w:col w:w="6700"/>
          </w:cols>
          <w:pgMar w:left="240" w:top="283" w:right="11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William E. Moffett</w:t>
      </w:r>
    </w:p>
    <w:p>
      <w:pPr>
        <w:spacing w:after="0" w:line="20" w:lineRule="exact"/>
        <w:rPr>
          <w:sz w:val="20"/>
          <w:szCs w:val="20"/>
          <w:color w:val="auto"/>
        </w:rPr>
      </w:pPr>
      <w:r>
        <w:rPr>
          <w:sz w:val="20"/>
          <w:szCs w:val="20"/>
          <w:color w:val="auto"/>
        </w:rPr>
        <w:br w:type="column"/>
      </w:r>
    </w:p>
    <w:p>
      <w:pPr>
        <w:ind w:right="1240"/>
        <w:spacing w:after="0" w:line="235" w:lineRule="auto"/>
        <w:rPr>
          <w:sz w:val="20"/>
          <w:szCs w:val="20"/>
          <w:color w:val="auto"/>
        </w:rPr>
      </w:pPr>
      <w:r>
        <w:rPr>
          <w:rFonts w:ascii="Courier New" w:cs="Courier New" w:eastAsia="Courier New" w:hAnsi="Courier New"/>
          <w:sz w:val="15"/>
          <w:szCs w:val="15"/>
          <w:color w:val="auto"/>
        </w:rPr>
        <w:t>Director; Mr. Moffett is currently retired; his address is 102 Rockwood Drive, Pittsburgh, Pennsylvania 15238</w:t>
      </w:r>
    </w:p>
    <w:p>
      <w:pPr>
        <w:sectPr>
          <w:pgSz w:w="11900" w:h="16838" w:orient="portrait"/>
          <w:cols w:equalWidth="0" w:num="2">
            <w:col w:w="3060" w:space="720"/>
            <w:col w:w="6700"/>
          </w:cols>
          <w:pgMar w:left="240" w:top="283" w:right="1179"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440"/>
          </w:cols>
          <w:pgMar w:left="240" w:top="28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Peter J. Gibbons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200"/>
        <w:spacing w:after="0" w:line="235" w:lineRule="auto"/>
        <w:rPr>
          <w:sz w:val="20"/>
          <w:szCs w:val="20"/>
          <w:color w:val="auto"/>
        </w:rPr>
      </w:pPr>
      <w:r>
        <w:rPr>
          <w:rFonts w:ascii="Courier New" w:cs="Courier New" w:eastAsia="Courier New" w:hAnsi="Courier New"/>
          <w:sz w:val="15"/>
          <w:szCs w:val="15"/>
          <w:color w:val="auto"/>
        </w:rPr>
        <w:t>Director; Mr. Gibbons is currently retired; his address is 740 Tenis Avenue, Ambler, Pennsylvania 19002</w:t>
      </w:r>
    </w:p>
    <w:p>
      <w:pPr>
        <w:spacing w:after="0" w:line="176" w:lineRule="exact"/>
        <w:rPr>
          <w:sz w:val="20"/>
          <w:szCs w:val="20"/>
          <w:color w:val="auto"/>
        </w:rPr>
      </w:pPr>
    </w:p>
    <w:p>
      <w:pPr>
        <w:sectPr>
          <w:pgSz w:w="11900" w:h="16838" w:orient="portrait"/>
          <w:cols w:equalWidth="0" w:num="2">
            <w:col w:w="3060" w:space="720"/>
            <w:col w:w="7660"/>
          </w:cols>
          <w:pgMar w:left="240" w:top="283" w:right="2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Earl E. DeFrates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Executive Vice President, Chief Financial Officer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w:t>
      </w:r>
    </w:p>
    <w:p>
      <w:pPr>
        <w:spacing w:after="0" w:line="175" w:lineRule="exact"/>
        <w:rPr>
          <w:sz w:val="20"/>
          <w:szCs w:val="20"/>
          <w:color w:val="auto"/>
        </w:rPr>
      </w:pPr>
    </w:p>
    <w:p>
      <w:pPr>
        <w:sectPr>
          <w:pgSz w:w="11900" w:h="16838" w:orient="portrait"/>
          <w:cols w:equalWidth="0" w:num="2">
            <w:col w:w="3060" w:space="720"/>
            <w:col w:w="7660"/>
          </w:cols>
          <w:pgMar w:left="240" w:top="283" w:right="2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Charles A. Wilcox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Executive Vice President - Operations</w:t>
      </w:r>
    </w:p>
    <w:p>
      <w:pPr>
        <w:spacing w:after="0" w:line="180" w:lineRule="exact"/>
        <w:rPr>
          <w:sz w:val="20"/>
          <w:szCs w:val="20"/>
          <w:color w:val="auto"/>
        </w:rPr>
      </w:pPr>
    </w:p>
    <w:p>
      <w:pPr>
        <w:sectPr>
          <w:pgSz w:w="11900" w:h="16838" w:orient="portrait"/>
          <w:cols w:equalWidth="0" w:num="2">
            <w:col w:w="3060" w:space="720"/>
            <w:col w:w="7660"/>
          </w:cols>
          <w:pgMar w:left="240" w:top="283" w:right="2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Gregory T. Sangalis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 General Counsel and Secretary</w:t>
      </w:r>
    </w:p>
    <w:p>
      <w:pPr>
        <w:spacing w:after="0" w:line="180" w:lineRule="exact"/>
        <w:rPr>
          <w:sz w:val="20"/>
          <w:szCs w:val="20"/>
          <w:color w:val="auto"/>
        </w:rPr>
      </w:pPr>
    </w:p>
    <w:p>
      <w:pPr>
        <w:sectPr>
          <w:pgSz w:w="11900" w:h="16838" w:orient="portrait"/>
          <w:cols w:equalWidth="0" w:num="2">
            <w:col w:w="3060" w:space="720"/>
            <w:col w:w="7660"/>
          </w:cols>
          <w:pgMar w:left="240" w:top="283" w:right="2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Bruce E. Snyder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 Corporate Controller and Chief Accounting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w:t>
      </w:r>
    </w:p>
    <w:p>
      <w:pPr>
        <w:spacing w:after="0" w:line="175" w:lineRule="exact"/>
        <w:rPr>
          <w:sz w:val="20"/>
          <w:szCs w:val="20"/>
          <w:color w:val="auto"/>
        </w:rPr>
      </w:pPr>
    </w:p>
    <w:p>
      <w:pPr>
        <w:sectPr>
          <w:pgSz w:w="11900" w:h="16838" w:orient="portrait"/>
          <w:cols w:equalWidth="0" w:num="2">
            <w:col w:w="3060" w:space="720"/>
            <w:col w:w="7660"/>
          </w:cols>
          <w:pgMar w:left="240" w:top="283" w:right="2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Hubert J. Bourque</w:t>
      </w:r>
    </w:p>
    <w:p>
      <w:pPr>
        <w:spacing w:after="0" w:line="20" w:lineRule="exact"/>
        <w:rPr>
          <w:sz w:val="20"/>
          <w:szCs w:val="20"/>
          <w:color w:val="auto"/>
        </w:rPr>
      </w:pPr>
      <w:r>
        <w:rPr>
          <w:sz w:val="20"/>
          <w:szCs w:val="20"/>
          <w:color w:val="auto"/>
        </w:rPr>
        <w:br w:type="column"/>
      </w:r>
    </w:p>
    <w:p>
      <w:pPr>
        <w:ind w:right="2460"/>
        <w:spacing w:after="0" w:line="235" w:lineRule="auto"/>
        <w:rPr>
          <w:sz w:val="20"/>
          <w:szCs w:val="20"/>
          <w:color w:val="auto"/>
        </w:rPr>
      </w:pPr>
      <w:r>
        <w:rPr>
          <w:rFonts w:ascii="Courier New" w:cs="Courier New" w:eastAsia="Courier New" w:hAnsi="Courier New"/>
          <w:sz w:val="15"/>
          <w:szCs w:val="15"/>
          <w:color w:val="auto"/>
        </w:rPr>
        <w:t>Vice President - Environmental Affairs and Chief Compliance Officer; Mr. Bourque is a citizen of Canada</w:t>
      </w:r>
    </w:p>
    <w:p>
      <w:pPr>
        <w:spacing w:after="0" w:line="176" w:lineRule="exact"/>
        <w:rPr>
          <w:sz w:val="20"/>
          <w:szCs w:val="20"/>
          <w:color w:val="auto"/>
        </w:rPr>
      </w:pPr>
    </w:p>
    <w:p>
      <w:pPr>
        <w:sectPr>
          <w:pgSz w:w="11900" w:h="16838" w:orient="portrait"/>
          <w:cols w:equalWidth="0" w:num="2">
            <w:col w:w="3060" w:space="720"/>
            <w:col w:w="7660"/>
          </w:cols>
          <w:pgMar w:left="240" w:top="283" w:right="2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James R. Jones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 - Engineering Services</w:t>
      </w:r>
    </w:p>
    <w:p>
      <w:pPr>
        <w:spacing w:after="0" w:line="180" w:lineRule="exact"/>
        <w:rPr>
          <w:sz w:val="20"/>
          <w:szCs w:val="20"/>
          <w:color w:val="auto"/>
        </w:rPr>
      </w:pPr>
    </w:p>
    <w:p>
      <w:pPr>
        <w:sectPr>
          <w:pgSz w:w="11900" w:h="16838" w:orient="portrait"/>
          <w:cols w:equalWidth="0" w:num="2">
            <w:col w:w="3060" w:space="720"/>
            <w:col w:w="7660"/>
          </w:cols>
          <w:pgMar w:left="240" w:top="283" w:right="2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John G. Rangos, Sr.</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5"/>
          <w:szCs w:val="15"/>
          <w:color w:val="auto"/>
        </w:rPr>
        <w:t>Director; Mr. Rangos is currently retired; his address is c/o USA Waste Services, Inc., 10700 Frankstown Road, Pittsburgh, Pennsylvania 15235; In connection with the settlement of the Securities and Exchange Commission's (the "Commission") investigation with respect to the accounting method and the accuracy of the financial statements of Chambers Development Company, Inc. ("Chambers"), of which Mr. Rangos was Chairman and Chief Executive Officer, on May 9, 1995, the Commission instituted administrative proceedings against Mr. Rangos and three other individuals who had been or were at that time officers of Chambers. The Commission found, inter alia, that Mr. Rangos was a cause of Chambers' violations of the reporting, internal controls and record keeping provisions of the Exchange Act. Mr. Rangos consented to the issuance of a cease and desist order without admitting or denying the Commission's findings.</w:t>
      </w:r>
    </w:p>
    <w:p>
      <w:pPr>
        <w:sectPr>
          <w:pgSz w:w="11900" w:h="16838" w:orient="portrait"/>
          <w:cols w:equalWidth="0" w:num="2">
            <w:col w:w="3060" w:space="720"/>
            <w:col w:w="7660"/>
          </w:cols>
          <w:pgMar w:left="240" w:top="283" w:right="219"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APPENDIX B</w:t>
      </w:r>
    </w:p>
    <w:p>
      <w:pPr>
        <w:sectPr>
          <w:pgSz w:w="11900" w:h="16838" w:orient="portrait"/>
          <w:cols w:equalWidth="0" w:num="1">
            <w:col w:w="10740"/>
          </w:cols>
          <w:pgMar w:left="240" w:top="283"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PRESENT PRINCIPAL OCCUPATION OR EMPLOYMENT;</w:t>
      </w:r>
    </w:p>
    <w:p>
      <w:pPr>
        <w:spacing w:after="0"/>
        <w:rPr>
          <w:sz w:val="20"/>
          <w:szCs w:val="20"/>
          <w:color w:val="auto"/>
        </w:rPr>
      </w:pPr>
      <w:r>
        <w:rPr>
          <w:rFonts w:ascii="Courier New" w:cs="Courier New" w:eastAsia="Courier New" w:hAnsi="Courier New"/>
          <w:sz w:val="15"/>
          <w:szCs w:val="15"/>
          <w:color w:val="auto"/>
        </w:rPr>
        <w:t>BUSINESS ADDRESS; LITIGATION; CITIZENSHIP</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3060" w:space="720"/>
            <w:col w:w="6960"/>
          </w:cols>
          <w:pgMar w:left="240" w:top="283" w:right="91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Kosti Shirvanian</w:t>
      </w:r>
    </w:p>
    <w:p>
      <w:pPr>
        <w:spacing w:after="0" w:line="20" w:lineRule="exact"/>
        <w:rPr>
          <w:sz w:val="20"/>
          <w:szCs w:val="20"/>
          <w:color w:val="auto"/>
        </w:rPr>
      </w:pPr>
      <w:r>
        <w:rPr>
          <w:sz w:val="20"/>
          <w:szCs w:val="20"/>
          <w:color w:val="auto"/>
        </w:rPr>
        <w:br w:type="column"/>
      </w:r>
    </w:p>
    <w:p>
      <w:pPr>
        <w:ind w:right="80"/>
        <w:spacing w:after="0" w:line="257" w:lineRule="auto"/>
        <w:rPr>
          <w:sz w:val="20"/>
          <w:szCs w:val="20"/>
          <w:color w:val="auto"/>
        </w:rPr>
      </w:pPr>
      <w:r>
        <w:rPr>
          <w:rFonts w:ascii="Courier New" w:cs="Courier New" w:eastAsia="Courier New" w:hAnsi="Courier New"/>
          <w:sz w:val="14"/>
          <w:szCs w:val="14"/>
          <w:color w:val="auto"/>
        </w:rPr>
        <w:t>Chairman of the Board, President and Chief Executive Officer of Western Waste Industries, 21061 South Western Avenue, Torrance, California 90501; During the last five years, Mr. Shirvanian has not been convicted in a criminal proceeding (excluding traffic violations or similar misdemeanors) nor has he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2">
            <w:col w:w="3060" w:space="720"/>
            <w:col w:w="6960"/>
          </w:cols>
          <w:pgMar w:left="240" w:top="283" w:right="919"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tbl>
      <w:tblPr>
        <w:tblLayout w:type="fixed"/>
        <w:tblInd w:w="0" w:type="dxa"/>
        <w:tblCellMar>
          <w:top w:w="0" w:type="dxa"/>
          <w:left w:w="0" w:type="dxa"/>
          <w:bottom w:w="0" w:type="dxa"/>
          <w:right w:w="0" w:type="dxa"/>
        </w:tblCellMar>
      </w:tblPr>
      <w:tr>
        <w:trPr>
          <w:trHeight w:val="170"/>
        </w:trPr>
        <w:tc>
          <w:tcPr>
            <w:tcW w:w="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40" w:type="dxa"/>
            <w:vAlign w:val="bottom"/>
          </w:tcPr>
          <w:p>
            <w:pPr>
              <w:ind w:left="1560"/>
              <w:spacing w:after="0"/>
              <w:rPr>
                <w:sz w:val="20"/>
                <w:szCs w:val="20"/>
                <w:color w:val="auto"/>
              </w:rPr>
            </w:pPr>
            <w:r>
              <w:rPr>
                <w:rFonts w:ascii="Courier New" w:cs="Courier New" w:eastAsia="Courier New" w:hAnsi="Courier New"/>
                <w:sz w:val="15"/>
                <w:szCs w:val="15"/>
                <w:color w:val="auto"/>
              </w:rPr>
              <w:t>EXHIBIT INDEX</w:t>
            </w:r>
          </w:p>
        </w:tc>
        <w:tc>
          <w:tcPr>
            <w:tcW w:w="3320" w:type="dxa"/>
            <w:vAlign w:val="bottom"/>
          </w:tcPr>
          <w:p>
            <w:pPr>
              <w:spacing w:after="0"/>
              <w:rPr>
                <w:sz w:val="14"/>
                <w:szCs w:val="14"/>
                <w:color w:val="auto"/>
              </w:rPr>
            </w:pPr>
          </w:p>
        </w:tc>
      </w:tr>
      <w:tr>
        <w:trPr>
          <w:trHeight w:val="678"/>
        </w:trPr>
        <w:tc>
          <w:tcPr>
            <w:tcW w:w="7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1360" w:type="dxa"/>
            <w:vAlign w:val="bottom"/>
          </w:tcPr>
          <w:p>
            <w:pPr>
              <w:jc w:val="right"/>
              <w:ind w:right="927"/>
              <w:spacing w:after="0"/>
              <w:rPr>
                <w:sz w:val="20"/>
                <w:szCs w:val="20"/>
                <w:color w:val="auto"/>
              </w:rPr>
            </w:pPr>
            <w:r>
              <w:rPr>
                <w:rFonts w:ascii="Courier New" w:cs="Courier New" w:eastAsia="Courier New" w:hAnsi="Courier New"/>
                <w:sz w:val="15"/>
                <w:szCs w:val="15"/>
                <w:color w:val="auto"/>
                <w:w w:val="94"/>
              </w:rPr>
              <w:t>PAGE</w:t>
            </w:r>
          </w:p>
        </w:tc>
        <w:tc>
          <w:tcPr>
            <w:tcW w:w="3440" w:type="dxa"/>
            <w:vAlign w:val="bottom"/>
          </w:tcPr>
          <w:p>
            <w:pPr>
              <w:ind w:left="840"/>
              <w:spacing w:after="0"/>
              <w:rPr>
                <w:sz w:val="20"/>
                <w:szCs w:val="20"/>
                <w:color w:val="auto"/>
              </w:rPr>
            </w:pPr>
            <w:r>
              <w:rPr>
                <w:rFonts w:ascii="Courier New" w:cs="Courier New" w:eastAsia="Courier New" w:hAnsi="Courier New"/>
                <w:sz w:val="15"/>
                <w:szCs w:val="15"/>
                <w:color w:val="auto"/>
              </w:rPr>
              <w:t>DESCRIPTION</w:t>
            </w:r>
          </w:p>
        </w:tc>
        <w:tc>
          <w:tcPr>
            <w:tcW w:w="3320" w:type="dxa"/>
            <w:vAlign w:val="bottom"/>
          </w:tcPr>
          <w:p>
            <w:pPr>
              <w:spacing w:after="0"/>
              <w:rPr>
                <w:sz w:val="24"/>
                <w:szCs w:val="24"/>
                <w:color w:val="auto"/>
              </w:rPr>
            </w:pPr>
          </w:p>
        </w:tc>
      </w:tr>
      <w:tr>
        <w:trPr>
          <w:trHeight w:val="170"/>
        </w:trPr>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6"/>
              </w:rPr>
              <w:t>- -------</w:t>
            </w:r>
          </w:p>
        </w:tc>
        <w:tc>
          <w:tcPr>
            <w:tcW w:w="136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w:t>
            </w:r>
          </w:p>
        </w:tc>
        <w:tc>
          <w:tcPr>
            <w:tcW w:w="3440" w:type="dxa"/>
            <w:vAlign w:val="bottom"/>
          </w:tcPr>
          <w:p>
            <w:pPr>
              <w:ind w:left="1020"/>
              <w:spacing w:after="0"/>
              <w:rPr>
                <w:sz w:val="20"/>
                <w:szCs w:val="20"/>
                <w:color w:val="auto"/>
              </w:rPr>
            </w:pPr>
            <w:r>
              <w:rPr>
                <w:rFonts w:ascii="Courier New" w:cs="Courier New" w:eastAsia="Courier New" w:hAnsi="Courier New"/>
                <w:sz w:val="15"/>
                <w:szCs w:val="15"/>
                <w:color w:val="auto"/>
              </w:rPr>
              <w:t>-----------</w:t>
            </w:r>
          </w:p>
        </w:tc>
        <w:tc>
          <w:tcPr>
            <w:tcW w:w="3320" w:type="dxa"/>
            <w:vAlign w:val="bottom"/>
          </w:tcPr>
          <w:p>
            <w:pPr>
              <w:spacing w:after="0"/>
              <w:rPr>
                <w:sz w:val="14"/>
                <w:szCs w:val="14"/>
                <w:color w:val="auto"/>
              </w:rPr>
            </w:pPr>
          </w:p>
        </w:tc>
      </w:tr>
      <w:tr>
        <w:trPr>
          <w:trHeight w:val="339"/>
        </w:trPr>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rPr>
              <w:t>A</w:t>
            </w:r>
          </w:p>
        </w:tc>
        <w:tc>
          <w:tcPr>
            <w:tcW w:w="1360" w:type="dxa"/>
            <w:vAlign w:val="bottom"/>
          </w:tcPr>
          <w:p>
            <w:pPr>
              <w:spacing w:after="0"/>
              <w:rPr>
                <w:sz w:val="24"/>
                <w:szCs w:val="24"/>
                <w:color w:val="auto"/>
              </w:rPr>
            </w:pPr>
          </w:p>
        </w:tc>
        <w:tc>
          <w:tcPr>
            <w:tcW w:w="3440" w:type="dxa"/>
            <w:vAlign w:val="bottom"/>
          </w:tcPr>
          <w:p>
            <w:pPr>
              <w:ind w:left="840"/>
              <w:spacing w:after="0"/>
              <w:rPr>
                <w:sz w:val="20"/>
                <w:szCs w:val="20"/>
                <w:color w:val="auto"/>
              </w:rPr>
            </w:pPr>
            <w:r>
              <w:rPr>
                <w:rFonts w:ascii="Courier New" w:cs="Courier New" w:eastAsia="Courier New" w:hAnsi="Courier New"/>
                <w:sz w:val="15"/>
                <w:szCs w:val="15"/>
                <w:color w:val="auto"/>
                <w:w w:val="98"/>
              </w:rPr>
              <w:t>Agreement and Plan of Merger,</w:t>
            </w:r>
          </w:p>
        </w:tc>
        <w:tc>
          <w:tcPr>
            <w:tcW w:w="3320" w:type="dxa"/>
            <w:vAlign w:val="bottom"/>
          </w:tcPr>
          <w:p>
            <w:pPr>
              <w:ind w:left="60"/>
              <w:spacing w:after="0"/>
              <w:rPr>
                <w:sz w:val="20"/>
                <w:szCs w:val="20"/>
                <w:color w:val="auto"/>
              </w:rPr>
            </w:pPr>
            <w:r>
              <w:rPr>
                <w:rFonts w:ascii="Courier New" w:cs="Courier New" w:eastAsia="Courier New" w:hAnsi="Courier New"/>
                <w:sz w:val="15"/>
                <w:szCs w:val="15"/>
                <w:color w:val="auto"/>
              </w:rPr>
              <w:t>dated as of December 18, 1995, by</w:t>
            </w:r>
          </w:p>
        </w:tc>
      </w:tr>
      <w:tr>
        <w:trPr>
          <w:trHeight w:val="170"/>
        </w:trPr>
        <w:tc>
          <w:tcPr>
            <w:tcW w:w="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40" w:type="dxa"/>
            <w:vAlign w:val="bottom"/>
          </w:tcPr>
          <w:p>
            <w:pPr>
              <w:ind w:left="840"/>
              <w:spacing w:after="0"/>
              <w:rPr>
                <w:sz w:val="20"/>
                <w:szCs w:val="20"/>
                <w:color w:val="auto"/>
              </w:rPr>
            </w:pPr>
            <w:r>
              <w:rPr>
                <w:rFonts w:ascii="Courier New" w:cs="Courier New" w:eastAsia="Courier New" w:hAnsi="Courier New"/>
                <w:sz w:val="15"/>
                <w:szCs w:val="15"/>
                <w:color w:val="auto"/>
                <w:w w:val="98"/>
              </w:rPr>
              <w:t>and among USA Waste Services,</w:t>
            </w:r>
          </w:p>
        </w:tc>
        <w:tc>
          <w:tcPr>
            <w:tcW w:w="3320" w:type="dxa"/>
            <w:vAlign w:val="bottom"/>
          </w:tcPr>
          <w:p>
            <w:pPr>
              <w:ind w:left="60"/>
              <w:spacing w:after="0"/>
              <w:rPr>
                <w:sz w:val="20"/>
                <w:szCs w:val="20"/>
                <w:color w:val="auto"/>
              </w:rPr>
            </w:pPr>
            <w:r>
              <w:rPr>
                <w:rFonts w:ascii="Courier New" w:cs="Courier New" w:eastAsia="Courier New" w:hAnsi="Courier New"/>
                <w:sz w:val="15"/>
                <w:szCs w:val="15"/>
                <w:color w:val="auto"/>
                <w:w w:val="97"/>
              </w:rPr>
              <w:t>Inc., Riviera Acquisition Corporation</w:t>
            </w:r>
          </w:p>
        </w:tc>
      </w:tr>
      <w:tr>
        <w:trPr>
          <w:trHeight w:val="170"/>
        </w:trPr>
        <w:tc>
          <w:tcPr>
            <w:tcW w:w="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40" w:type="dxa"/>
            <w:vAlign w:val="bottom"/>
          </w:tcPr>
          <w:p>
            <w:pPr>
              <w:ind w:left="840"/>
              <w:spacing w:after="0"/>
              <w:rPr>
                <w:sz w:val="20"/>
                <w:szCs w:val="20"/>
                <w:color w:val="auto"/>
              </w:rPr>
            </w:pPr>
            <w:r>
              <w:rPr>
                <w:rFonts w:ascii="Courier New" w:cs="Courier New" w:eastAsia="Courier New" w:hAnsi="Courier New"/>
                <w:sz w:val="15"/>
                <w:szCs w:val="15"/>
                <w:color w:val="auto"/>
              </w:rPr>
              <w:t>and Western Waste Industries</w:t>
            </w:r>
          </w:p>
        </w:tc>
        <w:tc>
          <w:tcPr>
            <w:tcW w:w="3320" w:type="dxa"/>
            <w:vAlign w:val="bottom"/>
          </w:tcPr>
          <w:p>
            <w:pPr>
              <w:spacing w:after="0"/>
              <w:rPr>
                <w:sz w:val="14"/>
                <w:szCs w:val="14"/>
                <w:color w:val="auto"/>
              </w:rPr>
            </w:pPr>
          </w:p>
        </w:tc>
      </w:tr>
      <w:tr>
        <w:trPr>
          <w:trHeight w:val="339"/>
        </w:trPr>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rPr>
              <w:t>B</w:t>
            </w:r>
          </w:p>
        </w:tc>
        <w:tc>
          <w:tcPr>
            <w:tcW w:w="1360" w:type="dxa"/>
            <w:vAlign w:val="bottom"/>
          </w:tcPr>
          <w:p>
            <w:pPr>
              <w:spacing w:after="0"/>
              <w:rPr>
                <w:sz w:val="24"/>
                <w:szCs w:val="24"/>
                <w:color w:val="auto"/>
              </w:rPr>
            </w:pPr>
          </w:p>
        </w:tc>
        <w:tc>
          <w:tcPr>
            <w:tcW w:w="676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Voting Agreement, dated December 18, 1995, among USA Waste</w:t>
            </w:r>
          </w:p>
        </w:tc>
      </w:tr>
      <w:tr>
        <w:trPr>
          <w:trHeight w:val="170"/>
        </w:trPr>
        <w:tc>
          <w:tcPr>
            <w:tcW w:w="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40" w:type="dxa"/>
            <w:vAlign w:val="bottom"/>
          </w:tcPr>
          <w:p>
            <w:pPr>
              <w:ind w:left="840"/>
              <w:spacing w:after="0"/>
              <w:rPr>
                <w:sz w:val="20"/>
                <w:szCs w:val="20"/>
                <w:color w:val="auto"/>
              </w:rPr>
            </w:pPr>
            <w:r>
              <w:rPr>
                <w:rFonts w:ascii="Courier New" w:cs="Courier New" w:eastAsia="Courier New" w:hAnsi="Courier New"/>
                <w:sz w:val="15"/>
                <w:szCs w:val="15"/>
                <w:color w:val="auto"/>
                <w:w w:val="98"/>
              </w:rPr>
              <w:t>Services, Inc., Western Waste</w:t>
            </w:r>
          </w:p>
        </w:tc>
        <w:tc>
          <w:tcPr>
            <w:tcW w:w="3320" w:type="dxa"/>
            <w:vAlign w:val="bottom"/>
          </w:tcPr>
          <w:p>
            <w:pPr>
              <w:ind w:left="60"/>
              <w:spacing w:after="0"/>
              <w:rPr>
                <w:sz w:val="20"/>
                <w:szCs w:val="20"/>
                <w:color w:val="auto"/>
              </w:rPr>
            </w:pPr>
            <w:r>
              <w:rPr>
                <w:rFonts w:ascii="Courier New" w:cs="Courier New" w:eastAsia="Courier New" w:hAnsi="Courier New"/>
                <w:sz w:val="15"/>
                <w:szCs w:val="15"/>
                <w:color w:val="auto"/>
                <w:w w:val="99"/>
              </w:rPr>
              <w:t>Industries and Mr. Kosti Shirvanian,</w:t>
            </w:r>
          </w:p>
        </w:tc>
      </w:tr>
      <w:tr>
        <w:trPr>
          <w:trHeight w:val="170"/>
        </w:trPr>
        <w:tc>
          <w:tcPr>
            <w:tcW w:w="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40" w:type="dxa"/>
            <w:vAlign w:val="bottom"/>
          </w:tcPr>
          <w:p>
            <w:pPr>
              <w:ind w:left="840"/>
              <w:spacing w:after="0"/>
              <w:rPr>
                <w:sz w:val="20"/>
                <w:szCs w:val="20"/>
                <w:color w:val="auto"/>
              </w:rPr>
            </w:pPr>
            <w:r>
              <w:rPr>
                <w:rFonts w:ascii="Courier New" w:cs="Courier New" w:eastAsia="Courier New" w:hAnsi="Courier New"/>
                <w:sz w:val="15"/>
                <w:szCs w:val="15"/>
                <w:color w:val="auto"/>
                <w:w w:val="98"/>
              </w:rPr>
              <w:t>with Irrevocable Proxy, dated</w:t>
            </w:r>
          </w:p>
        </w:tc>
        <w:tc>
          <w:tcPr>
            <w:tcW w:w="3320" w:type="dxa"/>
            <w:vAlign w:val="bottom"/>
          </w:tcPr>
          <w:p>
            <w:pPr>
              <w:ind w:left="60"/>
              <w:spacing w:after="0"/>
              <w:rPr>
                <w:sz w:val="20"/>
                <w:szCs w:val="20"/>
                <w:color w:val="auto"/>
              </w:rPr>
            </w:pPr>
            <w:r>
              <w:rPr>
                <w:rFonts w:ascii="Courier New" w:cs="Courier New" w:eastAsia="Courier New" w:hAnsi="Courier New"/>
                <w:sz w:val="15"/>
                <w:szCs w:val="15"/>
                <w:color w:val="auto"/>
              </w:rPr>
              <w:t>December 18, 1995, attached thereto</w:t>
            </w:r>
          </w:p>
        </w:tc>
      </w:tr>
    </w:tbl>
    <w:p>
      <w:pPr>
        <w:sectPr>
          <w:pgSz w:w="11900" w:h="16838" w:orient="portrait"/>
          <w:cols w:equalWidth="0" w:num="1">
            <w:col w:w="10219"/>
          </w:cols>
          <w:pgMar w:left="240" w:top="28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AGREEMENT AND PLAN OF MERGER</w:t>
      </w:r>
    </w:p>
    <w:p>
      <w:pPr>
        <w:spacing w:after="0" w:line="169"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DATED AS OF DECEMBER 18, 1995</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AND AMONG</w:t>
      </w:r>
    </w:p>
    <w:p>
      <w:pPr>
        <w:spacing w:after="0" w:line="169"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USA WASTE SERVICES, INC.,</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RIVIERA ACQUISITION CORPORATION</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AND</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WESTERN WASTE INDUSTRIES</w:t>
      </w:r>
    </w:p>
    <w:p>
      <w:pPr>
        <w:sectPr>
          <w:pgSz w:w="11900" w:h="16838" w:orient="portrait"/>
          <w:cols w:equalWidth="0" w:num="1">
            <w:col w:w="9959"/>
          </w:cols>
          <w:pgMar w:left="500" w:top="136"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AGREEMENT AND PLAN OF MERGER</w:t>
      </w:r>
    </w:p>
    <w:p>
      <w:pPr>
        <w:spacing w:after="0" w:line="344"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THIS AGREEMENT AND PLAN OF MERGER, dated as of December 18, 1995 (the "Agreement"), by and among USA Waste Services, Inc., a Delaware corporation ("Parent"), Riviera Acquisition Corporation, a California corporation and a wholly owned subsidiary of Parent ("Subsidiary"), and Western Waste Industries, a California corporation (the "Company");</w:t>
      </w:r>
    </w:p>
    <w:p>
      <w:pPr>
        <w:spacing w:after="0" w:line="17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WHEREAS, the Boards of Directors of Parent, Subsidiary and the Company have approved the merger of Subsidiary with and into the Company on the terms set forth in the Agreement (the "Merger"); and</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WHEREAS, Parent, Subsidiary and the Company intend the Merger to qualify as a tax-free reorganization under the provisions of Section 368 of the Internal Revenue Code of 1986, as amended (the "Code"), and the regulations thereunder;</w:t>
      </w:r>
    </w:p>
    <w:p>
      <w:pPr>
        <w:spacing w:after="0" w:line="346" w:lineRule="exact"/>
        <w:rPr>
          <w:sz w:val="20"/>
          <w:szCs w:val="20"/>
          <w:color w:val="auto"/>
        </w:rPr>
      </w:pPr>
    </w:p>
    <w:p>
      <w:pPr>
        <w:ind w:right="3439" w:firstLine="793"/>
        <w:spacing w:after="0" w:line="238" w:lineRule="auto"/>
        <w:rPr>
          <w:sz w:val="20"/>
          <w:szCs w:val="20"/>
          <w:color w:val="auto"/>
        </w:rPr>
      </w:pPr>
      <w:r>
        <w:rPr>
          <w:rFonts w:ascii="Courier New" w:cs="Courier New" w:eastAsia="Courier New" w:hAnsi="Courier New"/>
          <w:sz w:val="15"/>
          <w:szCs w:val="15"/>
          <w:color w:val="auto"/>
        </w:rPr>
        <w:t>WHEREAS, in connection with the Merger and as an inducement to the Company to enter into this Agreement, the Company, Parent and certain shareholders of Parent have executed as of the date hereof a voting agreement in favor of the Company with respect to, among other things, the voting of shares of capital stock of Parent held or to be held by them in favor of the Merger; and</w:t>
      </w:r>
    </w:p>
    <w:p>
      <w:pPr>
        <w:spacing w:after="0" w:line="176"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WHEREAS, in connection with the Merger and as an inducement to Parent to enter into this Agreement, Parent, the Company and a principal shareholder of the Company have executed as of the date hereof a voting agreement in favor of Parent with respect to, among other things, the voting of shares of capital stock of the Company held or to be held by such shareholder in favor of the Merger.</w:t>
      </w:r>
    </w:p>
    <w:p>
      <w:pPr>
        <w:spacing w:after="0" w:line="345" w:lineRule="exact"/>
        <w:rPr>
          <w:sz w:val="20"/>
          <w:szCs w:val="20"/>
          <w:color w:val="auto"/>
        </w:rPr>
      </w:pPr>
    </w:p>
    <w:p>
      <w:pPr>
        <w:ind w:right="3619" w:firstLine="793"/>
        <w:spacing w:after="0" w:line="237" w:lineRule="auto"/>
        <w:rPr>
          <w:sz w:val="20"/>
          <w:szCs w:val="20"/>
          <w:color w:val="auto"/>
        </w:rPr>
      </w:pPr>
      <w:r>
        <w:rPr>
          <w:rFonts w:ascii="Courier New" w:cs="Courier New" w:eastAsia="Courier New" w:hAnsi="Courier New"/>
          <w:sz w:val="15"/>
          <w:szCs w:val="15"/>
          <w:color w:val="auto"/>
        </w:rPr>
        <w:t>NOW, THEREFORE, in consideration of the premises and the representations, warranties, covenants and agreements contained herein, the parties hereto, intending to be legally bound, agree as follows:</w:t>
      </w:r>
    </w:p>
    <w:p>
      <w:pPr>
        <w:spacing w:after="0" w:line="3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MERGER</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1.1. THE MERGER. Upon the terms and subject to the conditions of this Agreement, at the Effective Time (as defined in Section 1.2) in accordance with the California Corporations Code (the "CCC"), Subsidiary shall be merged with and into the Company and the separate existence of Subsidiary shall thereupon cease. The Company shall be the surviving corporation in the Merger and is hereinafter sometimes referred to as the "Surviving Corporation."</w:t>
      </w:r>
    </w:p>
    <w:p>
      <w:pPr>
        <w:spacing w:after="0" w:line="177"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SECTION 1.2. EFFECTIVE TIME OF THE MERGER. The Merger shall become effective at such time (the "Effective Time") as shall be stated in a certified copy of the Agreement, in a form mutually acceptable to Parent and the Company, to be filed with the Secretary of State of the State of California in accordance with the CCC (the "Merger Filing"). The Merger Filing shall be made simultaneously with or as soon as practicable after the closing of the transactions contemplated by this Agreement in accordance with Section 3.5. The parties acknowledge that it is their mutual desire and intent to</w:t>
      </w:r>
    </w:p>
    <w:p>
      <w:pPr>
        <w:sectPr>
          <w:pgSz w:w="11900" w:h="16838" w:orient="portrait"/>
          <w:cols w:equalWidth="0" w:num="1">
            <w:col w:w="10219"/>
          </w:cols>
          <w:pgMar w:left="240" w:top="28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14"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consummate the Merger as soon as practicable after the date hereof. Accordingly, the parties shall use all reasonable efforts to consummate, as soon as practicable, the transactions contemplated by this Agreement in accordance with Section 3.5.</w:t>
      </w:r>
    </w:p>
    <w:p>
      <w:pPr>
        <w:spacing w:after="0" w:line="34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II</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THE SURVIVING AND PARENT CORPORATIONS</w:t>
      </w:r>
    </w:p>
    <w:p>
      <w:pPr>
        <w:spacing w:after="0" w:line="175"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SECTION 2.1. ARTICLES OF INCORPORATION. The Articles of Incorporation of Subsidiary as in effect immediately prior to the Effective Time shall be the Articles of Incorporation of the Surviving Corporation after the Effective Time, and thereafter may be amended in accordance with its terms and as provided in the CCC.</w:t>
      </w:r>
    </w:p>
    <w:p>
      <w:pPr>
        <w:spacing w:after="0" w:line="178"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2.2. BY-LAWS. The By-laws of Subsidiary as in effect immediately prior to the Effective Time shall be the By-laws of the Surviving Corporation after the Effective Time, and thereafter may be amended in accordance with their terms and as provided by the Articles of Incorporation of the Surviving Corporation and the CCC.</w:t>
      </w:r>
    </w:p>
    <w:p>
      <w:pPr>
        <w:spacing w:after="0" w:line="17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2.3. DIRECTORS. The Board of Directors of Parent shall take such corporate action as may be necessary to cause Parent's Board of Directors immediately following the Effective Time to be expanded to include three (3) members designated by the Board of Directors of the Company, one of whom shall be appointed by the Board of Directors of Parent to the Executive Committee of the Board of Directors of Parent. The directors of the Surviving Corporation shall be as designated in Schedule 2.3, and such directors shall serve in accordance with the By-laws of the Surviving Corporation until their respective successors are duly elected or appointed and qualified.</w:t>
      </w:r>
    </w:p>
    <w:p>
      <w:pPr>
        <w:spacing w:after="0" w:line="348"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2.4. OFFICERS. The officers of the Surviving Corporation shall be as designated in Schedule 2.4, and such officers shall serve in accordance with the By-laws of the Surviving Corporation until their respective successors are duly elected or appointed and qualified.</w:t>
      </w:r>
    </w:p>
    <w:p>
      <w:pPr>
        <w:spacing w:after="0" w:line="34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III</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CONVERSION OF SHARES</w:t>
      </w:r>
    </w:p>
    <w:p>
      <w:pPr>
        <w:spacing w:after="0" w:line="175"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SECTION 3.1. CONVERSION OF COMPANY SHARES IN THE MERGER. At the Effective Time, by virtue of the Merger and without any action on the part of any holder of any capital stock of the Company:</w:t>
      </w:r>
    </w:p>
    <w:p>
      <w:pPr>
        <w:spacing w:after="0" w:line="175" w:lineRule="exact"/>
        <w:rPr>
          <w:sz w:val="20"/>
          <w:szCs w:val="20"/>
          <w:color w:val="auto"/>
        </w:rPr>
      </w:pPr>
    </w:p>
    <w:p>
      <w:pPr>
        <w:jc w:val="both"/>
        <w:ind w:left="780" w:right="3539" w:firstLine="356"/>
        <w:spacing w:after="0" w:line="237" w:lineRule="auto"/>
        <w:tabs>
          <w:tab w:leader="none" w:pos="148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the Company's Common Stock, no par value (the "Company Common Stock"), shall, subject to Sections 3.3 and 3.4, be converted into the right to receive, without interest, 1.50 (the "Exchange Ratio") shares of the common stock, par value $.01 per share, of Parent ("Parent Common Stock");</w:t>
      </w:r>
    </w:p>
    <w:p>
      <w:pPr>
        <w:spacing w:after="0" w:line="178" w:lineRule="exact"/>
        <w:rPr>
          <w:rFonts w:ascii="Courier New" w:cs="Courier New" w:eastAsia="Courier New" w:hAnsi="Courier New"/>
          <w:sz w:val="15"/>
          <w:szCs w:val="15"/>
          <w:color w:val="auto"/>
        </w:rPr>
      </w:pPr>
    </w:p>
    <w:p>
      <w:pPr>
        <w:ind w:left="780" w:right="3259" w:firstLine="356"/>
        <w:spacing w:after="0" w:line="237" w:lineRule="auto"/>
        <w:tabs>
          <w:tab w:leader="none" w:pos="201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capital stock of the Company, if any, owned by Parent or any subsidiary of Parent or held in treasury by the Company or any subsidiary of the Company immediately prior to the Effective Time shall be cancelled and shall cease to exist from and after the Effective Time;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2</w:t>
      </w:r>
    </w:p>
    <w:p>
      <w:pPr>
        <w:sectPr>
          <w:pgSz w:w="11900" w:h="16838" w:orient="portrait"/>
          <w:cols w:equalWidth="0" w:num="1">
            <w:col w:w="10219"/>
          </w:cols>
          <w:pgMar w:left="240" w:top="28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1140" w:right="3259" w:firstLine="349"/>
        <w:spacing w:after="0" w:line="238" w:lineRule="auto"/>
        <w:tabs>
          <w:tab w:leader="none" w:pos="202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and as more fully provided in Section 7.9, each unexpired option to purchase Company Common Stock that is outstanding at the Effective Time, whether or not exercisable, shall automatically and without any action on the part of the holder thereof be converted into an option to purchase a number of shares of Parent Common Stock equal to the number of shares of Company Common Stock that could be purchased under such option multiplied by the Exchange Ratio, at a price per share of Parent Common Stock equal to the per share exercise price of such option divided by the Exchange Ratio.</w:t>
      </w:r>
    </w:p>
    <w:p>
      <w:pPr>
        <w:spacing w:after="0" w:line="180"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3.2. CONVERSION OF SUBSIDIARY SHARES. At the Effective Time, by virtue of the Merger and without any action on the part of Parent as the sole stockholder of Subsidiary, each issued and outstanding share of common stock, par value $.01 per share, of Subsidiary ("Subsidiary Common Stock") shall be converted into one share of common stock, no par value, of the Surviving Corporation.</w:t>
      </w:r>
    </w:p>
    <w:p>
      <w:pPr>
        <w:spacing w:after="0" w:line="176" w:lineRule="exact"/>
        <w:rPr>
          <w:sz w:val="20"/>
          <w:szCs w:val="20"/>
          <w:color w:val="auto"/>
        </w:rPr>
      </w:pPr>
    </w:p>
    <w:p>
      <w:pPr>
        <w:ind w:right="3259" w:firstLine="793"/>
        <w:spacing w:after="0" w:line="239" w:lineRule="auto"/>
        <w:rPr>
          <w:sz w:val="20"/>
          <w:szCs w:val="20"/>
          <w:color w:val="auto"/>
        </w:rPr>
      </w:pPr>
      <w:r>
        <w:rPr>
          <w:rFonts w:ascii="Courier New" w:cs="Courier New" w:eastAsia="Courier New" w:hAnsi="Courier New"/>
          <w:sz w:val="15"/>
          <w:szCs w:val="15"/>
          <w:color w:val="auto"/>
        </w:rPr>
        <w:t>SECTION 3.3. EXCHANGE OF CERTIFICATES. (a) From and after the Effective Time, each holder of an outstanding certificate which immediately prior to the Effective Time represented shares of Company Common Stock shall be entitled to receive in exchange therefor, upon surrender thereof to an exchange agent reasonably satisfactory to Parent and the Company (the "Exchange Agent"), a certificate or certificates representing the number of whole shares of Parent Common Stock to which such holder is entitled pursuant to Section 3.1(a). Notwithstanding any other provision of this Agreement, (i) until holders or transferees of certificates theretofore representing shares of Company Common Stock have surrendered them for exchange as provided herein, no dividends shall be paid with respect to any shares represented by such certificates and no payment for fractional shares shall be made and (ii) without regard to when such certificates representing shares of Company Common Stock are surrendered for exchange as provided herein, no interest shall be paid on any dividends or any payment for fractional shares. Upon surrender of a certificate which immediately prior to the Effective Time represented shares of Company Common Stock, there shall be paid to the holder of such certificate the amount of any dividends which theretofore became payable, but which were not paid by reason of the foregoing, with respect to the number of whole shares of Parent Common Stock represented by the certificate or certificates issued upon such surrender.</w:t>
      </w:r>
    </w:p>
    <w:p>
      <w:pPr>
        <w:spacing w:after="0" w:line="176" w:lineRule="exact"/>
        <w:rPr>
          <w:sz w:val="20"/>
          <w:szCs w:val="20"/>
          <w:color w:val="auto"/>
        </w:rPr>
      </w:pPr>
    </w:p>
    <w:p>
      <w:pPr>
        <w:ind w:right="3259" w:firstLine="784"/>
        <w:spacing w:after="0" w:line="258" w:lineRule="auto"/>
        <w:tabs>
          <w:tab w:leader="none" w:pos="1146"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certificate for shares of Parent Common Stock is to be issued in a name other than that in which the certificate for shares of Company Common Stock surrendered in exchange therefor is registered, it shall be a condition of such exchange that the person requesting such exchange shall pay any applicable transfer or other taxes required by reason of such issuance.</w:t>
      </w:r>
    </w:p>
    <w:p>
      <w:pPr>
        <w:spacing w:after="0" w:line="164" w:lineRule="exact"/>
        <w:rPr>
          <w:rFonts w:ascii="Courier New" w:cs="Courier New" w:eastAsia="Courier New" w:hAnsi="Courier New"/>
          <w:sz w:val="14"/>
          <w:szCs w:val="14"/>
          <w:color w:val="auto"/>
        </w:rPr>
      </w:pPr>
    </w:p>
    <w:p>
      <w:pPr>
        <w:jc w:val="both"/>
        <w:ind w:right="3359" w:firstLine="784"/>
        <w:spacing w:after="0" w:line="237" w:lineRule="auto"/>
        <w:tabs>
          <w:tab w:leader="none" w:pos="114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Effective Time, Parent shall make available to the Exchange Agent the certificates representing shares of Parent Common Stock required to effect the exchanges referred to in paragraph (a) above and cash for payment of any fractional shares referred to in Section 3.4.</w:t>
      </w:r>
    </w:p>
    <w:p>
      <w:pPr>
        <w:spacing w:after="0" w:line="176" w:lineRule="exact"/>
        <w:rPr>
          <w:rFonts w:ascii="Courier New" w:cs="Courier New" w:eastAsia="Courier New" w:hAnsi="Courier New"/>
          <w:sz w:val="15"/>
          <w:szCs w:val="15"/>
          <w:color w:val="auto"/>
        </w:rPr>
      </w:pPr>
    </w:p>
    <w:p>
      <w:pPr>
        <w:ind w:right="3259" w:firstLine="784"/>
        <w:spacing w:after="0" w:line="256" w:lineRule="auto"/>
        <w:tabs>
          <w:tab w:leader="none" w:pos="1146"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the Effective Time, the Exchange Agent shall mail to each holder of record of a certificate or certificates that immediately prior to the Effective Time represented outstanding shares of Company Common Stock (the "Company Certificates") (i) a letter of transmittal (which shall specify that delivery shall be effected, and risk of loss and title to the Company Certificates shall pass, only upon actual delivery of the Company Certificates to the Exchange Agent) and (ii) instructions for use in effecting the surrender of the Company Certificates in exchange for certificates representing shares of Parent Common Stock. Upon surrender of Company Certificates for cancellation to the Exchange Agent, together with a duly executed letter of transmittal and such other documents as the Exchange Agent shall reasonably require, the holder of such Company Certificates shall be entitled to receive in exchange therefor a certificate representing that number of whole shares of Parent Common Stock into which the shares of Company Common Stock theretofore represented by the Company Certificates so surrendered shall have been converted pursuant to the provisions of Section 3.1(a), and the Company Certificates so surrendered shall be cancelled. Notwithstanding the foregoing, neither the Exchange Agent nor any party hereto shall be liable to a holder of shares of Company Common Stock for any shares of Parent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10219"/>
          </w:cols>
          <w:pgMar w:left="240" w:top="283"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right="3699"/>
        <w:spacing w:after="0" w:line="265" w:lineRule="auto"/>
        <w:rPr>
          <w:sz w:val="20"/>
          <w:szCs w:val="20"/>
          <w:color w:val="auto"/>
        </w:rPr>
      </w:pPr>
      <w:r>
        <w:rPr>
          <w:rFonts w:ascii="Courier New" w:cs="Courier New" w:eastAsia="Courier New" w:hAnsi="Courier New"/>
          <w:sz w:val="14"/>
          <w:szCs w:val="14"/>
          <w:color w:val="auto"/>
        </w:rPr>
        <w:t>Stock or dividends or distributions thereon delivered to a public official pursuant to applicable abandoned property, escheat or similar laws.</w:t>
      </w:r>
    </w:p>
    <w:p>
      <w:pPr>
        <w:spacing w:after="0" w:line="158" w:lineRule="exact"/>
        <w:rPr>
          <w:sz w:val="20"/>
          <w:szCs w:val="20"/>
          <w:color w:val="auto"/>
        </w:rPr>
      </w:pPr>
    </w:p>
    <w:p>
      <w:pPr>
        <w:ind w:right="3259" w:firstLine="784"/>
        <w:spacing w:after="0" w:line="238" w:lineRule="auto"/>
        <w:tabs>
          <w:tab w:leader="none" w:pos="114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following the date which is nine (9) months after the Effective Date, the Exchange Agent shall deliver to Parent all cash, certificates (including any Parent Common Stock) and other documents in its possession relating to the transactions described in this Agreement, and the Exchange Agent's duties shall terminate. Thereafter, each holder of a Company Certificate may surrender such Company Certificate to the Surviving Corporation and (subject to applicable abandoned property, escheat and similar laws) receive in exchange therefor the Parent Common Stock, without any interest thereon. Notwithstanding the foregoing, none of the Exchange Agent, Parent, Subsidiary, the Company or the Surviving Corporation shall be liable to a holder of Company Common Stock for any Parent Common Stock delivered to a public official pursuant to applicable abandoned property, escheat and similar laws.</w:t>
      </w:r>
    </w:p>
    <w:p>
      <w:pPr>
        <w:spacing w:after="0" w:line="182" w:lineRule="exact"/>
        <w:rPr>
          <w:rFonts w:ascii="Courier New" w:cs="Courier New" w:eastAsia="Courier New" w:hAnsi="Courier New"/>
          <w:sz w:val="15"/>
          <w:szCs w:val="15"/>
          <w:color w:val="auto"/>
        </w:rPr>
      </w:pPr>
    </w:p>
    <w:p>
      <w:pPr>
        <w:ind w:right="3259" w:firstLine="784"/>
        <w:spacing w:after="0" w:line="238" w:lineRule="auto"/>
        <w:tabs>
          <w:tab w:leader="none" w:pos="149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Company Certificate shall have been lost, stolen or destroyed, upon the making of an affidavit of that fact by the person claiming such Company Certificate to be lost, stolen or destroyed, the Surviving Corporation shall issue in exchange for such lost, stolen or destroyed Company Certificate the Parent Common Stock deliverable in respect thereof determined in accordance with this Article III. When authorizing such payment in exchange therefor, the Board of Directors of the Surviving Corporation may, in its discretion and as a condition precedent to the issuance thereof, require the owner of such lost, stolen or destroyed Company Certificate to give the Surviving Corporation such indemnity as it may reasonably direct as protection against any claim that may be made against the Surviving Corporation with respect to the Company Certificate alleged to have been lost, stolen or destroyed.</w:t>
      </w:r>
    </w:p>
    <w:p>
      <w:pPr>
        <w:spacing w:after="0" w:line="183"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3.4. NO FRACTIONAL SECURITIES. Notwithstanding any other provision of this Agreement, no certificates or scrip for fractional shares of Parent Common Stock shall be issued in the Merger and no Parent Common Stock dividend, stock split or interest shall relate to any fractional security, and such fractional interests shall not entitle the owner thereof to vote or to any other rights of a security holder. In lieu of any such fractional shares, each holder of Company Common Stock who would otherwise have been entitled to receive a fraction of a share of Parent Common Stock upon surrender of Company Certificates for exchange pursuant to this Article III shall be entitled to receive from the Exchange Agent a cash payment equal to such fraction multiplied by the average closing price per share of Parent Common Stock on the New York Stock Exchange, as reported by the Wall Street Journal, during the 10 trading days immediately preceding the Effective Time.</w:t>
      </w:r>
    </w:p>
    <w:p>
      <w:pPr>
        <w:spacing w:after="0" w:line="183"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3.5. CLOSING. The closing (the "Closing") of the transactions contemplated by this Agreement shall take place at a location mutually agreeable to Parent and the Company on the fifth business day immediately following the date on which the last of the conditions set forth in Article VIII is fulfilled or waived, or at such other time and place as Parent and the Company shall agree (the date on which the Closing occurs is referred to in this Agreement as the "Closing Date").</w:t>
      </w:r>
    </w:p>
    <w:p>
      <w:pPr>
        <w:spacing w:after="0" w:line="177" w:lineRule="exact"/>
        <w:rPr>
          <w:sz w:val="20"/>
          <w:szCs w:val="20"/>
          <w:color w:val="auto"/>
        </w:rPr>
      </w:pPr>
    </w:p>
    <w:p>
      <w:pPr>
        <w:ind w:right="3439" w:firstLine="793"/>
        <w:spacing w:after="0" w:line="238" w:lineRule="auto"/>
        <w:rPr>
          <w:sz w:val="20"/>
          <w:szCs w:val="20"/>
          <w:color w:val="auto"/>
        </w:rPr>
      </w:pPr>
      <w:r>
        <w:rPr>
          <w:rFonts w:ascii="Courier New" w:cs="Courier New" w:eastAsia="Courier New" w:hAnsi="Courier New"/>
          <w:sz w:val="15"/>
          <w:szCs w:val="15"/>
          <w:color w:val="auto"/>
        </w:rPr>
        <w:t>SECTION 3.6. CLOSING OF THE COMPANY'S TRANSFER BOOKS. At and after the Effective Time, holders of Company Certificates shall cease to have any rights as stockholders of the Company, except for the right to receive shares of Parent Common Stock pursuant to Section 3.1 and the right to receive cash for payment of fractional shares pursuant to Section 3.4. At the Effective Time, the stock transfer books of the Company shall be closed and no transfer of shares of Company Common Stock which were outstanding immediately prior to the Effective Time shall thereafter be made. If, after the Effective Time, subject to the terms and conditions of this Agreement, Company Certificates formerly representing Company Common Stock are presented to the Surviving Corporation, they shall be cancelled and exchanged for Parent Common Stock in accordance with this Article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0219"/>
          </w:cols>
          <w:pgMar w:left="240" w:top="28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6</w:t>
      </w:r>
    </w:p>
    <w:p>
      <w:pPr>
        <w:jc w:val="center"/>
        <w:ind w:right="3179"/>
        <w:spacing w:after="0"/>
        <w:rPr>
          <w:sz w:val="20"/>
          <w:szCs w:val="20"/>
          <w:color w:val="auto"/>
        </w:rPr>
      </w:pPr>
      <w:r>
        <w:rPr>
          <w:rFonts w:ascii="Courier New" w:cs="Courier New" w:eastAsia="Courier New" w:hAnsi="Courier New"/>
          <w:sz w:val="15"/>
          <w:szCs w:val="15"/>
          <w:color w:val="auto"/>
        </w:rPr>
        <w:t>ARTICLE IV</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REPRESENTATIONS AND WARRANTIES</w:t>
      </w:r>
    </w:p>
    <w:p>
      <w:pPr>
        <w:jc w:val="center"/>
        <w:ind w:right="3179"/>
        <w:spacing w:after="0"/>
        <w:rPr>
          <w:sz w:val="20"/>
          <w:szCs w:val="20"/>
          <w:color w:val="auto"/>
        </w:rPr>
      </w:pPr>
      <w:r>
        <w:rPr>
          <w:rFonts w:ascii="Courier New" w:cs="Courier New" w:eastAsia="Courier New" w:hAnsi="Courier New"/>
          <w:sz w:val="15"/>
          <w:szCs w:val="15"/>
          <w:color w:val="auto"/>
        </w:rPr>
        <w:t>OF PARENT AND SUBSIDIARY</w:t>
      </w:r>
    </w:p>
    <w:p>
      <w:pPr>
        <w:spacing w:after="0" w:line="174"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Parent and Subsidiary each represent and warrant to the Company that, except as set forth in the Disclosure Schedule dated as of the date hereof and signed by an authorized officer of Parent (the "Disclosure Schedule"), each of which exceptions shall specifically identify the relevant Section hereof to which it relates:</w:t>
      </w:r>
    </w:p>
    <w:p>
      <w:pPr>
        <w:spacing w:after="0" w:line="178"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SECTION 4.1. ORGANIZATION AND QUALIFICATION. Each of Parent and Subsidiary is a corporation duly organized, validly existing and in good standing under the laws of the state of its incorporation and has the requisite power and authority to own, lease and operate its assets and properties and to carry on its business as it is now being conducted. Each of Parent and Subsidiary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Parent and its subsidiaries, taken as a whole. True, accurate and complete copies of each of Parent's and Subsidiary's charters and By-laws, in each case as in effect on the date hereof, including all amendments thereto, have heretofore been delivered to the Company.</w:t>
      </w:r>
    </w:p>
    <w:p>
      <w:pPr>
        <w:spacing w:after="0" w:line="16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4.2. CAPITALIZATION. (a) The authorized capital stock of Parent consists of (i) 150,000,000 shares of Parent Common Stock, of which 60,659,184 shares were outstanding as of November 10, 1995, and (ii) 10,000,000 shares of preferred stock, par value $.01 per share, none of which was issued and outstanding as of November 10, 1995. All of the issued and outstanding shares of Parent Common Stock are validly issued and are fully paid, nonassessable and free of preemptive rights.</w:t>
      </w:r>
    </w:p>
    <w:p>
      <w:pPr>
        <w:spacing w:after="0" w:line="177" w:lineRule="exact"/>
        <w:rPr>
          <w:sz w:val="20"/>
          <w:szCs w:val="20"/>
          <w:color w:val="auto"/>
        </w:rPr>
      </w:pPr>
    </w:p>
    <w:p>
      <w:pPr>
        <w:ind w:right="3799" w:firstLine="784"/>
        <w:spacing w:after="0" w:line="260" w:lineRule="auto"/>
        <w:tabs>
          <w:tab w:leader="none" w:pos="1146"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capital stock of Subsidiary consists of 1,000 shares of Subsidiary Common Stock, of which 100 shares are issued and outstanding, which shares are owned beneficially and of record by Parent.</w:t>
      </w:r>
    </w:p>
    <w:p>
      <w:pPr>
        <w:spacing w:after="0" w:line="162" w:lineRule="exact"/>
        <w:rPr>
          <w:rFonts w:ascii="Courier New" w:cs="Courier New" w:eastAsia="Courier New" w:hAnsi="Courier New"/>
          <w:sz w:val="14"/>
          <w:szCs w:val="14"/>
          <w:color w:val="auto"/>
        </w:rPr>
      </w:pPr>
    </w:p>
    <w:p>
      <w:pPr>
        <w:ind w:right="3259" w:firstLine="784"/>
        <w:spacing w:after="0" w:line="238" w:lineRule="auto"/>
        <w:tabs>
          <w:tab w:leader="none" w:pos="114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Parent SEC Reports (as defined in Section 4.5), as of the date hereof, there are no outstanding subscriptions, options, calls, contracts, commitments, understandings, restrictions, arrangements, rights or warrants, including any right of conversion or exchange under any outstanding security, instrument or other agreement and also including any rights plan or other anti-takeover agreement, obligating Parent or any subsidiary of Parent to issue, deliver or sell, or cause to be issued, delivered or sold, additional shares of the capital stock of Parent or obligating Parent or any subsidiary of Parent to grant, extend or enter into any such agreement or commitment. There are no voting trusts, proxies or other agreements or understandings to which Parent or any subsidiary of Parent is a party or is bound with respect to the voting of any shares of capital stock of Parent other than voting agreements executed in connection with this Agreement. The shares of Parent Common Stock issued to stockholders of the Company in the Merger will be at the Effective Time duly authorized, validly issued, fully paid and nonassessable and free of preemptive rights.</w:t>
      </w:r>
    </w:p>
    <w:p>
      <w:pPr>
        <w:spacing w:after="0" w:line="18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4.3. SUBSIDIARIES. Each direct and indirect corporate subsidiary of Parent is duly organized, validly existing and in good standing under the laws of its jurisdiction of incorporation and has the requisite power and authority to own, lease and operate its assets and properties and to carry on its business as it is now being conducted. Each subsidiary of Parent is qualified to do business, and is in good standing, in each jurisdiction in which the properties owned, leased or operated by it or the nature of the business conducted by it makes such qualification necessary, except where the failure to be so qualified and in good standing would not, when taken together with all such other failures, have a material adverse effect on the business, operations, properties, assets, condition (financial or other) or results of operations of Parent and its subsidiaries, taken as a whole. All of the outstanding shares of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0219"/>
          </w:cols>
          <w:pgMar w:left="240" w:top="283"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of each corporate subsidiary of Parent are validly issued, fully paid, nonassessable and free of preemptive rights, and are owned directly or indirectly by Parent, free and clear of any liens, claims or encumbrances except that such shares are pledged to secure Parent's credit facilities. 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Parent, including any right of conversion or exchange under any outstanding security, instrument or agreement. As used in this Agreement, the term "subsidiary" shall mean, when used with reference to any person or entity, any corporation, partnership, joint venture or other entity of which such person or entity (either acting alone or together with its other subsidiaries) owns, directly or indirectly, 50% or more of the stock or other voting interests, the holders of which are entitled to vote for the election of a majority of the board of directors or any similar governing body of such corporation, partnership, joint venture or other entity.</w:t>
      </w:r>
    </w:p>
    <w:p>
      <w:pPr>
        <w:spacing w:after="0" w:line="187" w:lineRule="exact"/>
        <w:rPr>
          <w:sz w:val="20"/>
          <w:szCs w:val="20"/>
          <w:color w:val="auto"/>
        </w:rPr>
      </w:pPr>
    </w:p>
    <w:p>
      <w:pPr>
        <w:ind w:right="3259" w:firstLine="793"/>
        <w:spacing w:after="0" w:line="239" w:lineRule="auto"/>
        <w:rPr>
          <w:sz w:val="20"/>
          <w:szCs w:val="20"/>
          <w:color w:val="auto"/>
        </w:rPr>
      </w:pPr>
      <w:r>
        <w:rPr>
          <w:rFonts w:ascii="Courier New" w:cs="Courier New" w:eastAsia="Courier New" w:hAnsi="Courier New"/>
          <w:sz w:val="15"/>
          <w:szCs w:val="15"/>
          <w:color w:val="auto"/>
        </w:rPr>
        <w:t>SECTION 4.4. AUTHORITY; NON-CONTRAVENTION; APPROVALS. (a) Parent and Subsidiary each have full corporate power and authority to enter into this Agreement and, subject to the Parent Stockholders' Approval (as defined in Section 7.3(b)) and the Parent Required Statutory Approvals (as defined in Section 4.4(c)), to consummate the transactions contemplated hereby. This Agreement has been approved by the Boards of Directors of Parent and Subsidiary, and no other corporate proceedings on the part of Parent or Subsidiary are necessary to authorize the execution and delivery of this Agreement or, except for the Parent Stockholders' Approval, the consummation by Parent and Subsidiary of the transactions contemplated hereby. This Agreement has been duly executed and delivered by each of Parent and Subsidiary, and, assuming the due authorization, execution and delivery hereof by the Company, constitutes a valid and legally binding agreement of each of Parent and Subsidiary enforceable against each of them in accordance with its terms, except that such enforcement may be subject to (i) bankruptcy, insolvency, reorganization, moratorium or other similar laws affecting or relating to enforcement of creditors' rights generally and (ii) general equitable principles. Without limitation of the foregoing, each of the covenants and obligations of Parent set forth in Sections 6.2, 6.5, 7.1, 7.2, 7.3, 7.6, 7.7, 7.8, 7.10 and 7.12 is valid, legally binding and enforceable notwithstanding the absence of the Parent Stockholders' Approval.</w:t>
      </w:r>
    </w:p>
    <w:p>
      <w:pPr>
        <w:spacing w:after="0" w:line="176" w:lineRule="exact"/>
        <w:rPr>
          <w:sz w:val="20"/>
          <w:szCs w:val="20"/>
          <w:color w:val="auto"/>
        </w:rPr>
      </w:pPr>
    </w:p>
    <w:p>
      <w:pPr>
        <w:ind w:right="3259" w:firstLine="784"/>
        <w:spacing w:after="0" w:line="256" w:lineRule="auto"/>
        <w:tabs>
          <w:tab w:leader="none" w:pos="1146"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each of Parent and Subsidiary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Parent or any of its subsidiaries under any of the terms, conditions or provisions of (i) the respective charters or by-laws of Parent or any of its subsidiaries, (ii) any statute, law, ordinance, rule, regulation, judgment, decree, order, injunction, writ, permit or license of any court or governmental authority applicable to Parent or any of its subsidiaries or any of their respective properties or assets or (iii) any note, bond, mortgage, indenture, deed of trust, license, franchise, permit, concession, contract, lease or other instrument, obligation or agreement of any kind to which Parent or any of its subsidiaries is now a party or by which Parent or any of its subsidiaries or any of their respective properties or assets may be bound or affected. The consummation by Parent and Subsidiary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 or provisions described in clause (ii) above, to obtaining (prior to the Effective Time) the Parent Required Statutory Approvals and the Parent Stockholder's Approval and (y) in the case of the terms, conditions or provisions described in clause (iii) above, to obtaining (prior to the Effective Time) consents required from commercial lenders, lessors or other third parties. Excluded from the foregoing sentences of this paragraph (b), insofar as they apply to the terms, conditions or provisions described in clauses (ii) and (iii) of the first sentence of this paragraph (b), are such violations, conflicts, breaches, defaults, terminations, accelerations or creations of liens, security interests, charges or encumbrances that would not, in the aggregate, have a material adverse effect on the</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Page 6</w:t>
      </w:r>
    </w:p>
    <w:p>
      <w:pPr>
        <w:sectPr>
          <w:pgSz w:w="11900" w:h="16838" w:orient="portrait"/>
          <w:cols w:equalWidth="0" w:num="1">
            <w:col w:w="10219"/>
          </w:cols>
          <w:pgMar w:left="240" w:top="283"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business, operations, properties, assets, condition (financial or other) results of operations or prospects of Parent and its subsidiaries, taken as a whole.</w:t>
      </w:r>
    </w:p>
    <w:p>
      <w:pPr>
        <w:spacing w:after="0" w:line="175" w:lineRule="exact"/>
        <w:rPr>
          <w:sz w:val="20"/>
          <w:szCs w:val="20"/>
          <w:color w:val="auto"/>
        </w:rPr>
      </w:pPr>
    </w:p>
    <w:p>
      <w:pPr>
        <w:ind w:right="3259" w:firstLine="784"/>
        <w:spacing w:after="0" w:line="256" w:lineRule="auto"/>
        <w:tabs>
          <w:tab w:leader="none" w:pos="1146"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(i) the filings by Parent and the Company required by the Hart-Scott-Rodino Antitrust Improvements Act of 1976, as amended (the "HSR Act"), (ii) the filing of the Joint Proxy Statement/Prospectus (as defined in Section 4.9) with the Securities and Exchange Commission (the "SEC") pursuant to the Securities Exchange Act of 1934, as amended (the "Exchange Act"), and the Securities Act of 1933, as amended (the "Securities Act"), and the declaration of the effectiveness thereof by the SEC and filings with various state blue sky authorities, (iii) the making of the Merger Filing with the Secretary of State of the State of California in connection with the Merger, and (iv) any required filings with or approvals from applicable state environmental authorities, public service commissions and public utility commissions (the filings and approvals referred to in clauses (i) through (iv) are collectively referred to as the "Parent Required Statutory Approvals"), no declaration, filing or registration with, or notice to, or authorization, consent or approval of, any governmental or regulatory body or authority is necessary for the execution and delivery of this Agreement by Parent or Subsidiary or the consummation by Parent or Subsidiary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Parent and its subsidiaries, taken as a whole.</w:t>
      </w:r>
    </w:p>
    <w:p>
      <w:pPr>
        <w:spacing w:after="0" w:line="177" w:lineRule="exact"/>
        <w:rPr>
          <w:sz w:val="20"/>
          <w:szCs w:val="20"/>
          <w:color w:val="auto"/>
        </w:rPr>
      </w:pPr>
    </w:p>
    <w:p>
      <w:pPr>
        <w:ind w:right="3259" w:firstLine="793"/>
        <w:spacing w:after="0" w:line="256" w:lineRule="auto"/>
        <w:rPr>
          <w:sz w:val="20"/>
          <w:szCs w:val="20"/>
          <w:color w:val="auto"/>
        </w:rPr>
      </w:pPr>
      <w:r>
        <w:rPr>
          <w:rFonts w:ascii="Courier New" w:cs="Courier New" w:eastAsia="Courier New" w:hAnsi="Courier New"/>
          <w:sz w:val="14"/>
          <w:szCs w:val="14"/>
          <w:color w:val="auto"/>
        </w:rPr>
        <w:t>SECTION 4.5. REPORTS AND FINANCIAL STATEMENTS. Since January 1, 1993, Parent has filed with the SEC all forms, statements, reports and documents (including all exhibits, amendments and supplements thereto) required to be filed by it under each of the Securities Act, the Exchange Act and the respective rules and regulations thereunder, all of which, as amended if applicable, complied in all material respects with all applicable requirements of the appropriate act and the rules and regulations thereunder. Parent has previously delivered to the Company copies of its (a) Annual Reports on Form 10-K for the fiscal year ended December 31, 1994 and for each of the two immediately preceding fiscal years, as filed with the SEC, (b) proxy and information statements relating to (i) all meetings of its stockholders (whether annual or special) and (ii) actions by written consent in lieu of a stockholders' meeting from January 1, 1993, until the date hereof, and (c) all other reports, including quarterly reports, or registration statements filed by Parent with the SEC since January 1, 1993 (other than Registration Statements filed on Form S-8) (collectively, the "Parent SEC Reports"). As of their respective dates, the Parent SEC Reports did not contain any untrue statement of a material fact or omit to state a material fact required to be stated therein or necessary to make the statements therein, in light of the circumstances under which they were made, not misleading. The audited consolidated financial statements and unaudited interim consolidated financial statements of Parent included in such reports (collectively, the "Parent Financial Statements") have been prepared in accordance with generally accepted accounting principles applied on a consistent basis (except as may be indicated therein or in the notes thereto) and fairly present the financial position of Parent and its subsidiaries as of the dates thereof and the results of their operations and changes in financial position for the periods then ended, subject, in the case of the unaudited interim financial statements, to normal year-end and audit adjustments and any other adjustments described therein.</w:t>
      </w:r>
    </w:p>
    <w:p>
      <w:pPr>
        <w:spacing w:after="0" w:line="34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4.6. ABSENCE OF UNDISCLOSED LIABILITIES. Except as disclosed in the Parent SEC Reports or with respect to acquisitions or potential transactions or commitments heretofore disclosed to the Company in writing, neither Parent nor any of its subsidiaries had at September 30, 1995, or has incurred since that date, any liabilities or obligations (whether absolute, accrued, contingent or otherwise) of any nature, except: (a) liabilities, obligations or contingencies (i) which are accrued or reserved against in the Parent Financial Statements or reflected in the notes thereto or (ii) which were incurred after September 30, 1995, and were incurred in the ordinary course of business and consistent with past practices; (b) liabilities, obligations or contingencies which (i) would not, in the aggregate, have a material adverse effect on the business, operations, properties, assets, condition (financial or other) or results of operations of Parent and its subsidiaries, taken as a whole, or (ii) have been discharged or paid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10219"/>
          </w:cols>
          <w:pgMar w:left="240" w:top="283"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prior to the date hereof; and (c) liabilities and obligations which are of a nature not required to be reflected in the consolidated financial statements of Parent and its subsidiaries prepared in accordance with generally accepted accounting principles consistently applied and which were incurred in the ordinary course of business.</w:t>
      </w:r>
    </w:p>
    <w:p>
      <w:pPr>
        <w:spacing w:after="0" w:line="178"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4.7. ABSENCE OF CERTAIN CHANGES OR EVENTS. Since the date of the most recent Parent SEC Report, there has not been any material adverse change in the business, operations, properties, assets, liabilities, condition (financial or other) or results of operations of Parent and its subsidiaries, taken as a whole.</w:t>
      </w:r>
    </w:p>
    <w:p>
      <w:pPr>
        <w:spacing w:after="0" w:line="178"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SECTION 4.8. LITIGATION. Except as disclosed in the Parent SEC Reports, there are no claims, suits, actions or proceedings pending or, to the knowledge of Parent, threatened against, relating to or affecting Parent or any of its subsidiaries, before any court, governmental department, commission, agency, instrumentality or authority, or any arbitrator that seek to restrain or enjoin the consummation of the Merger or which could reasonably be expected, either alone or in the aggregate with all such claims, actions or proceedings, to materially and adversely affect the business, operations, properties, assets, condition (financial or other) or results of operations of Parent and its subsidiaries, taken as a whole. Except as set forth in the Parent SEC Reports, neither Parent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or results of operations of Parent and its subsidiaries, taken as a whole.</w:t>
      </w:r>
    </w:p>
    <w:p>
      <w:pPr>
        <w:spacing w:after="0" w:line="164" w:lineRule="exact"/>
        <w:rPr>
          <w:sz w:val="20"/>
          <w:szCs w:val="20"/>
          <w:color w:val="auto"/>
        </w:rPr>
      </w:pPr>
    </w:p>
    <w:p>
      <w:pPr>
        <w:ind w:right="3259" w:firstLine="793"/>
        <w:spacing w:after="0" w:line="239" w:lineRule="auto"/>
        <w:rPr>
          <w:sz w:val="20"/>
          <w:szCs w:val="20"/>
          <w:color w:val="auto"/>
        </w:rPr>
      </w:pPr>
      <w:r>
        <w:rPr>
          <w:rFonts w:ascii="Courier New" w:cs="Courier New" w:eastAsia="Courier New" w:hAnsi="Courier New"/>
          <w:sz w:val="15"/>
          <w:szCs w:val="15"/>
          <w:color w:val="auto"/>
        </w:rPr>
        <w:t>SECTION 4.9. REGISTRATION STATEMENT AND PROXY STATEMENT. None of the information to be supplied by Parent or its subsidiaries for inclusion in (a) the Registration Statement on Form S-4 to be filed under the Securities Act with the SEC by Parent in connection with the Merger for the purpose of registering the shares of Parent Common Stock to be issued in the Merger (the "Registration Statement") or (b) the proxy statement to be distributed in connection with the Company's and Parent's meetings of their respective stockholders to vote upon this Agreement and the transactions contemplated hereby (the "Proxy Statement" and, together with the prospectus included in the Registration Statement, the "Joint Proxy Statement/Prospectus") will, in the case of the Proxy Statement or any amendments thereof or supplements thereto, at the time of the mailing of the Proxy Statement and any amendments or supplements thereto, and at the time of the meetings of stockholders of the Company and Parent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light of the circumstances under which they are made, not misleading. The Joint Proxy Statement/Prospectus will, as of its mailing date, comply as to form in all material respects with all applicable laws, including the provisions of the Securities Act and the Exchange Act and the rules and regulations promulgated thereunder, except that no representation is made by Parent or Subsidiary with respect to information supplied by the Company or the stockholders of the Company for inclusion therein.</w:t>
      </w:r>
    </w:p>
    <w:p>
      <w:pPr>
        <w:spacing w:after="0" w:line="177"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4.10. NO VIOLATION OF LAW. Except as disclosed in the Parent SEC Reports, neither Parent nor any of its subsidiaries is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or results of operations of Parent and its subsidiaries, taken as a whole. Except as disclosed in the Parent SEC Reports, as of the date of this Agreement, to the knowledge of Parent, no investigation or review by any governmental or regulatory body or authority is pending or threatened, nor has any governmental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8</w:t>
      </w:r>
    </w:p>
    <w:p>
      <w:pPr>
        <w:sectPr>
          <w:pgSz w:w="11900" w:h="16838" w:orient="portrait"/>
          <w:cols w:equalWidth="0" w:num="1">
            <w:col w:w="10219"/>
          </w:cols>
          <w:pgMar w:left="240" w:top="283"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regulatory body or authority indicated an intention to conduct the same, other than, in each case, those the outcome of which, as far as reasonably can be foreseen, will not have a material adverse effect on the business, operations, properties, assets, condition (financial or other) or results of operations of the Parent and its subsidiaries, taken as a whole. Parent and its subsidiaries have all permits, licenses, franchises, variances, exemptions, orders and other governmental authorizations, consents and approvals necessary to conduct their businesses as presently conducted (collectively, the "Parent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the Parent and its subsidiaries, taken as a whole. Parent and its subsidiaries are not in violation of the terms of any Parent Permit, except for delays in filing reports or violations which, alone or in the aggregate, would not have a material adverse effect on the business, operations, properties, assets, condition (financial or other) or results of operations of the Parent and its subsidiaries, taken as a whole.</w:t>
      </w:r>
    </w:p>
    <w:p>
      <w:pPr>
        <w:spacing w:after="0" w:line="164"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SECTION 4.11. COMPLIANCE WITH AGREEMENTS. Except as disclosed in the Parent SEC Reports, Parent and each of its subsidiaries are not in breach or violation of or in default in the performance or observance of any term or provision of, and no event has occurred which, with lapse of time or action by a third party, could result in a default under (a) the respective charters, by-laws or other similar organizational instruments of Parent or any of its subsidiaries or (b) any contract, commitment, agreement, indenture, mortgage, loan agreement, note, lease, bond, license, approval or other instrument to which Parent or any of its subsidiaries is a party or by which any of them is bound or to which any of their property is subject, which breaches, violations and defaults, in the case of clause (b) of this Section 4.11, would have, in the aggregate, a material adverse effect on the business, operations, properties, assets, condition (financial or other) or results of operations of Parent and its subsidiaries, taken as a whole.</w:t>
      </w:r>
    </w:p>
    <w:p>
      <w:pPr>
        <w:spacing w:after="0" w:line="184" w:lineRule="exact"/>
        <w:rPr>
          <w:sz w:val="20"/>
          <w:szCs w:val="20"/>
          <w:color w:val="auto"/>
        </w:rPr>
      </w:pPr>
    </w:p>
    <w:p>
      <w:pPr>
        <w:ind w:right="3259" w:firstLine="793"/>
        <w:spacing w:after="0" w:line="256" w:lineRule="auto"/>
        <w:rPr>
          <w:sz w:val="20"/>
          <w:szCs w:val="20"/>
          <w:color w:val="auto"/>
        </w:rPr>
      </w:pPr>
      <w:r>
        <w:rPr>
          <w:rFonts w:ascii="Courier New" w:cs="Courier New" w:eastAsia="Courier New" w:hAnsi="Courier New"/>
          <w:sz w:val="14"/>
          <w:szCs w:val="14"/>
          <w:color w:val="auto"/>
        </w:rPr>
        <w:t>SECTION 4.12. TAXES. (a) Parent and its subsidiaries have (i) duly filed with the appropriate governmental authorities all Tax Returns (as defined in Section 4.12(c)) required to be filed by them for all periods ending on or prior to the Effective Time, other than those Tax Returns the failure of which to file would not have a material adverse effect on the business, operations, properties, assets, condition (financial or other) or results of operations of Parent and its subsidiaries, taken as a whole, and such Tax Returns are true, correct and complete in all material respects and (ii) duly paid in full or made adequate provision for the payment of all Taxes (as defined in Section 4.12(b)) for all periods ending at or prior to the Effective Time. The liabilities and reserves for Taxes reflected in the Parent balance sheet included in the latest Parent SEC Report are adequate to cover all Taxes for all periods ending at or prior to the Effective Time and there are no material liens for Taxes upon any property or assets of Parent or any subsidiary thereof, except for liens for Taxes not yet due. There are no unresolved issues of law or fact arising out of a notice of deficiency, proposed deficiency or assessment from the Internal Revenue Service (the "IRS") or any other governmental taxing authority with respect to Taxes of the Parent or any of its subsidiaries which, if decided adversely, singly or in the aggregate, would have a material adverse effect on the business, operations, properties, assets, condition (financial or other) or results of operations of Parent and its subsidiaries, taken as a whole. Neither Parent nor any of its subsidiaries is a party to any agreement providing for the allocation or sharing of Taxes with any entity that is not, directly or indirectly, a wholly-owned corporate subsidiary of Parent other than agreements the consequences of which are fully and adequately reserved for in the Parent Financial Statements. Neither Parent nor any of its corporate subsidiaries has, with regard to any assets or property held, acquired or to be acquired by any of them, filed a consent to the application of Section 341(f) of the Code.</w:t>
      </w:r>
    </w:p>
    <w:p>
      <w:pPr>
        <w:spacing w:after="0" w:line="348" w:lineRule="exact"/>
        <w:rPr>
          <w:sz w:val="20"/>
          <w:szCs w:val="20"/>
          <w:color w:val="auto"/>
        </w:rPr>
      </w:pPr>
    </w:p>
    <w:p>
      <w:pPr>
        <w:ind w:right="3259" w:firstLine="784"/>
        <w:spacing w:after="0" w:line="238" w:lineRule="auto"/>
        <w:tabs>
          <w:tab w:leader="none" w:pos="149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the term "Taxes" shall mean all taxes, including, without limitation, income, gross receipts, excise, property, sales, withholding, social security, occupation, use, service, service use, license, payroll, franchise, transfer and recording taxes, fees and charges, windfall profits, severance, customs, import, export, employment or similar taxes, charges, fees, levies or other assessments imposed by the United States, or any state, local or foreign government or subdivision or agency thereof, whether computed on a separate, consolidated, unitary, combined or any other basis, and</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Page 9</w:t>
      </w:r>
    </w:p>
    <w:p>
      <w:pPr>
        <w:sectPr>
          <w:pgSz w:w="11900" w:h="16838" w:orient="portrait"/>
          <w:cols w:equalWidth="0" w:num="1">
            <w:col w:w="10219"/>
          </w:cols>
          <w:pgMar w:left="240" w:top="283" w:right="1440" w:bottom="1440" w:gutter="0" w:footer="0" w:header="0"/>
          <w:type w:val="continuous"/>
        </w:sectPr>
      </w:pPr>
    </w:p>
    <w:bookmarkStart w:id="22" w:name="page23"/>
    <w:bookmarkEnd w:id="22"/>
    <w:p>
      <w:pPr>
        <w:ind w:left="27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such term shall include any interest, fines, penalties or additional amounts and any interest in respect of any additions, fines or penalties attributable or imposed or with respect to any such taxes, charges, fees, levies or other assessments.</w:t>
      </w:r>
    </w:p>
    <w:p>
      <w:pPr>
        <w:spacing w:after="0" w:line="176" w:lineRule="exact"/>
        <w:rPr>
          <w:sz w:val="20"/>
          <w:szCs w:val="20"/>
          <w:color w:val="auto"/>
        </w:rPr>
      </w:pPr>
    </w:p>
    <w:p>
      <w:pPr>
        <w:ind w:left="10" w:right="3359" w:firstLine="784"/>
        <w:spacing w:after="0" w:line="237" w:lineRule="auto"/>
        <w:tabs>
          <w:tab w:leader="none" w:pos="115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the term "Tax Return" shall mean any return, report or other document or information required to be supplied to a taxing authority in connection with Taxes.</w:t>
      </w:r>
    </w:p>
    <w:p>
      <w:pPr>
        <w:spacing w:after="0" w:line="175"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SECTION 4.13. EMPLOYEE BENEFIT PLANS; ERISA. (a) Except as set forth in the Parent SEC Reports, at the date hereof, Parent and its subsidiaries do not maintain or contribute to any material employee benefit plans, programs, arrangements or practices (such plans, programs, arrangements or practices of Parent and its subsidiaries being referred to as the "Parent Plans"), including employee benefit plans within the meaning set forth in Section 3(3) of the Employee Retirement Income Security Act of 1974, as amended ("ERISA"), or other similar material arrangements for the provision of benefits (excluding any "Multi-employer Plan" within the meaning of Section 3(37) of ERISA or a "Multiple Employer Plan" within the meaning of Section 413(c) of the Code). The Parent Disclosure Schedule lists all Multi-employer Plans and Multiple Employer Plans which any of Parent or its subsidiaries maintains or to which any of them makes contributions. Neither Parent nor its subsidiaries has any obligation to create any additional such plan or to amend any such plan so as to increase benefits thereunder, except as required under the terms of the Parent Plans, under existing collective bargaining agreements or to comply with applicable law.</w:t>
      </w:r>
    </w:p>
    <w:p>
      <w:pPr>
        <w:spacing w:after="0" w:line="187" w:lineRule="exact"/>
        <w:rPr>
          <w:sz w:val="20"/>
          <w:szCs w:val="20"/>
          <w:color w:val="auto"/>
        </w:rPr>
      </w:pPr>
    </w:p>
    <w:p>
      <w:pPr>
        <w:ind w:left="10" w:right="3259" w:firstLine="784"/>
        <w:spacing w:after="0" w:line="256" w:lineRule="auto"/>
        <w:tabs>
          <w:tab w:leader="none" w:pos="1155"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Parent SEC Reports, (i) there have been no prohibited transactions within the meaning of Section 406 or 407 of ERISA or Section 4975 of the Code with respect to any of the Parent Plans that could result in penalties, taxes or liabilities which, singly or in the aggregate, could have a material adverse effect on the business, operations, properties, assets, condition (financial or other) or results of operations of Parent and its subsidiaries, taken as a whole, (ii) except for premiums due, there is no outstanding material liability, whether measured alone or in the aggregate, under Title IV of ERISA with respect to any of the Parent Plans, (iii) neither the Pension Benefit Guaranty Corporation nor any plan administrator has instituted proceedings to terminate any of the Parent Plans subject to Title IV of ERISA other than in a "standard termination" described in Section 4041(b) of ERISA, (iv) none of the Parent Plans has incurred any "accumulated funding deficiency" (as defined in Section 302 of ERISA and Section 412 of the Code), whether or not waived, as of the last day of the most recent fiscal year of each of the Parent Plans ended prior to the date of this Agreement, (v) the current present value of all projected benefit obligations under each of the Parent Plans which is subject to Title IV of ERISA did not, as of its latest valuation date, exceed the then current value of the assets of such plan allocable to such benefit liabilities by more than the amount, if any, disclosed in the Parent SEC Reports as of June 30, 1995, based upon reasonable actuarial assumptions currently utilized for such Parent Plan, (vi) each of the Parent Plans has been operated and administered in all material respects in accordance with applicable laws during the period of time covered by the applicable statute of limitations, (vii) each of the Parent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Parent Plans, and the period for making any such necessary retroactive amendments has not expired,</w:t>
      </w:r>
    </w:p>
    <w:p>
      <w:pPr>
        <w:spacing w:after="0" w:line="179" w:lineRule="exact"/>
        <w:rPr>
          <w:rFonts w:ascii="Courier New" w:cs="Courier New" w:eastAsia="Courier New" w:hAnsi="Courier New"/>
          <w:sz w:val="14"/>
          <w:szCs w:val="14"/>
          <w:color w:val="auto"/>
        </w:rPr>
      </w:pPr>
    </w:p>
    <w:p>
      <w:pPr>
        <w:ind w:left="10" w:right="3259" w:hanging="10"/>
        <w:spacing w:after="0" w:line="238" w:lineRule="auto"/>
        <w:tabs>
          <w:tab w:leader="none" w:pos="62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Multi-employer Plans, neither Parent nor any of its subsidiaries has made or suffered a "complete withdrawal" or a "partial withdrawal," as such terms are respectively defined in Sections 4203, 4204 and 4205 of ERISA and, to the best knowledge of Parent and its subsidiaries, no event has occurred or is expected to occur which presents a material risk of a complete or partial withdrawal under said Sections 4203, 4204 and 4205, (ix) to the best knowledge of Parent and its subsidiaries, there are no material pending, threatened or anticipated claims involving any of the Parent Plans other than claims for benefits in the ordinary course, and (x) Parent and its subsidiaries have no current material liability for plan termination or withdrawal (complete or partial) under Title IV of ERISA based on any plan to which any entity that would be deemed one employer with Parent and its subsidiaries</w:t>
      </w:r>
    </w:p>
    <w:p>
      <w:pPr>
        <w:sectPr>
          <w:pgSz w:w="11900" w:h="16838" w:orient="portrait"/>
          <w:cols w:equalWidth="0" w:num="1">
            <w:col w:w="10229"/>
          </w:cols>
          <w:pgMar w:left="23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90"/>
        <w:spacing w:after="0"/>
        <w:rPr>
          <w:sz w:val="20"/>
          <w:szCs w:val="20"/>
          <w:color w:val="auto"/>
        </w:rPr>
      </w:pPr>
      <w:r>
        <w:rPr>
          <w:rFonts w:ascii="Courier New" w:cs="Courier New" w:eastAsia="Courier New" w:hAnsi="Courier New"/>
          <w:sz w:val="14"/>
          <w:szCs w:val="14"/>
          <w:color w:val="auto"/>
        </w:rPr>
        <w:t>Page 10</w:t>
      </w:r>
    </w:p>
    <w:p>
      <w:pPr>
        <w:sectPr>
          <w:pgSz w:w="11900" w:h="16838" w:orient="portrait"/>
          <w:cols w:equalWidth="0" w:num="1">
            <w:col w:w="10229"/>
          </w:cols>
          <w:pgMar w:left="230" w:top="283"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under Section 4001 of ERISA or Section 414 of the Code contributed during the period of time covered by the applicable statute of limitations (a "Parent Controlled Group Plan"), and Parent and its subsidiaries do not reasonably anticipate that any such liability will be asserted against Parent or any of its subsidiaries. None of the Parent Controlled Group Plans has an "accumulated funding deficiency" (as defined in Section 302 of ERISA and Section 412 of the Code).</w:t>
      </w:r>
    </w:p>
    <w:p>
      <w:pPr>
        <w:spacing w:after="0" w:line="177" w:lineRule="exact"/>
        <w:rPr>
          <w:sz w:val="20"/>
          <w:szCs w:val="20"/>
          <w:color w:val="auto"/>
        </w:rPr>
      </w:pPr>
    </w:p>
    <w:p>
      <w:pPr>
        <w:ind w:right="3259" w:firstLine="784"/>
        <w:spacing w:after="0" w:line="237" w:lineRule="auto"/>
        <w:tabs>
          <w:tab w:leader="none" w:pos="114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Parent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176"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SECTION 4.14. LABOR CONTROVERSIES. Except as set forth in the Parent SEC Reports, (a) there are no significant controversies pending or, to the knowledge of Parent, threatened between Parent or its subsidiaries and any representatives of any of their employees and (b) to the knowledge of Parent, there are no material organizational efforts presently being made involving any of the presently unorganized employees of Parent and its subsidiaries except for such controversies and organizational efforts which, singly or in the aggregate, could not reasonably be expected to materially and adversely affect the business, operations, properties, assets, condition (financial or other) or results of operations of Parent and its subsidiaries, taken as a whole.</w:t>
      </w:r>
    </w:p>
    <w:p>
      <w:pPr>
        <w:spacing w:after="0" w:line="166" w:lineRule="exact"/>
        <w:rPr>
          <w:sz w:val="20"/>
          <w:szCs w:val="20"/>
          <w:color w:val="auto"/>
        </w:rPr>
      </w:pPr>
    </w:p>
    <w:p>
      <w:pPr>
        <w:ind w:right="3259" w:firstLine="793"/>
        <w:spacing w:after="0" w:line="256" w:lineRule="auto"/>
        <w:rPr>
          <w:sz w:val="20"/>
          <w:szCs w:val="20"/>
          <w:color w:val="auto"/>
        </w:rPr>
      </w:pPr>
      <w:r>
        <w:rPr>
          <w:rFonts w:ascii="Courier New" w:cs="Courier New" w:eastAsia="Courier New" w:hAnsi="Courier New"/>
          <w:sz w:val="14"/>
          <w:szCs w:val="14"/>
          <w:color w:val="auto"/>
        </w:rPr>
        <w:t>SECTION 4.15. ENVIRONMENTAL MATTERS. (a) Except as set forth in the Parent SEC Reports, (i) Parent and its subsidiaries have conducted their respective businesses in compliance with all applicable Environmental Laws, including, without limitation, having all permits, licenses and other approvals and authorizations necessary for the operation of their respective businesses as presently conducted, (ii) none of the properties owned by Parent or any of its subsidiaries contain any Hazardous Substance as a result of any activity of Parent or any of its subsidiaries in amounts exceeding the levels permitted by applicable Environmental Laws, (iii) neither Parent nor any of its subsidiaries has received any notices, demand letters or requests for information from any Federal, state, local or foreign governmental entity or third party indicating that Parent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Parent or any of its subsidiaries relating to any violation, or alleged violation, of any Environmental Law, (v) no reports have been filed, or are required to be filed, by Parent or any of its subsidiaries concerning the release of any Hazardous Substance or the threatened or actual violation of any Environmental Law, (vi) no Hazardous Substance has been disposed of, released or transported in violation of any applicable Environmental Law from any properties owned by Parent or any of its subsidiaries as a result of any activity of parent or any of its subsidiaries during the time such properties were owned, leased or operated by Parent or any of its subsidiaries, (vii) there have been no environmental investigations, studies, audits, tests, reviews or other analyses regarding compliance or noncompliance with any applicable Environmental Law conducted by or which are in the possession of Parent or its subsidiaries relating to the activities of Parent or its subsidiaries which have not been delivered to Parent prior to the date hereof, (viii) there are no underground storage tanks on, in or under any properties owned by Parent or any of its subsidiaries and no underground storage tanks have been closed or removed from any of such properties during the time such properties were owned, leased or operated by Parent or any of its subsidiaries, (ix) there is no asbestos or asbestos containing material present in any of the properties owned by Parent and its subsidiaries, and no asbestos has been removed from any of such properties during the time such properties were owned, leased or operated by Parent or any of its subsidiaries, and (x) neither Parent, its subsidiaries nor any of their respective properties are subject to any material liabilities or expenditures (fixed or contingent) relating to any suit, settlement, court order, administrative order, regulatory requirement, judgment or claim asserted or arising under any Environmental Law, except for violations of the foregoing clauses (i) through (x) that, singly or in the aggregate, would not reasonably be expected to have a material adverse effect on the business, operations, properties, assets, condition (financial or other) or results of operations of Parent and its subsidiaries considered as one enterprise,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10219"/>
          </w:cols>
          <w:pgMar w:left="240" w:top="283"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13</w:t>
      </w:r>
    </w:p>
    <w:p>
      <w:pPr>
        <w:spacing w:after="0" w:line="175" w:lineRule="exact"/>
        <w:rPr>
          <w:sz w:val="20"/>
          <w:szCs w:val="20"/>
          <w:color w:val="auto"/>
        </w:rPr>
      </w:pPr>
    </w:p>
    <w:p>
      <w:pPr>
        <w:ind w:right="3259" w:firstLine="1136"/>
        <w:spacing w:after="0" w:line="256" w:lineRule="auto"/>
        <w:tabs>
          <w:tab w:leader="none" w:pos="149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herein, "Environmental Law" means any Federal, state, local or foreign law, statute, ordinance, rule, regulation, code, license. permit, authorization, approval, consent, legal doctrine, order, judgment, decree, injunction, requirement or agreement with any governmental entity relating to (x) the protection, preservation or restoration of the environment (including, without limitation, air, water vapor, surface water, groundwater, drinking water supply, surface land, subsurface land, plant and animal life or any other natural resource) or to human health or safety or (y) the exposure to, or the use, storage, recycling, treatment, generation, transportation, processing, handling, labeling, production, release or disposal of Hazardous Substances, in each case as amended and as in effect on the Closing Date. The term "Environmental Law" includes, without limitation, (i) the Federal Comprehensive Environmental Response Compensation and Liability Act of 1980, the Superfund Amendments and Reauthorization Act, the Federal Water Pollution Control Act of 1972, the Federal Clean Air Act, the Federal Clean Water Act, the Federal Resource Conservation and Recovery Act of 1976 (including the Hazardous and Solid Waste Amendments thereto), the Federal Solid Waste Disposal Act and the Federal Toxic Substances Control Act, the Federal Insecticide, Fungicide and Rodenticide Act, and the Federal Occupational Safety and Health Act of 1970, each as amended and as in effect on the Closing Date, and (ii) any common law or equitable doctrine (including, without limitation, injunctive relief and tort doctrines such as negligence, nuisance, trespass and strict liability) that may impose liability or obligations for injuries or damages due to, or threatened as a result of, the presence of, effects of or exposure to any Hazardous Substance.</w:t>
      </w:r>
    </w:p>
    <w:p>
      <w:pPr>
        <w:spacing w:after="0" w:line="347" w:lineRule="exact"/>
        <w:rPr>
          <w:rFonts w:ascii="Courier New" w:cs="Courier New" w:eastAsia="Courier New" w:hAnsi="Courier New"/>
          <w:sz w:val="14"/>
          <w:szCs w:val="14"/>
          <w:color w:val="auto"/>
        </w:rPr>
      </w:pPr>
    </w:p>
    <w:p>
      <w:pPr>
        <w:ind w:right="3359" w:firstLine="1136"/>
        <w:spacing w:after="0" w:line="238" w:lineRule="auto"/>
        <w:tabs>
          <w:tab w:leader="none" w:pos="149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"Hazardous Substance" means any substance presently or hereafter listed, defined, designated or classified as hazardous, toxic, radioactive, or dangerous, or otherwise regulated, under any Environmental Law. Hazardous Substance includes any substance to which exposure is regulated by any government authority or any Environmental Law including, without limitation, any toxic waste, pollutant, contaminant, hazardous substance, toxic substance, hazardous waste, special waste, industrial substance or petroleum or any derivative or by-product thereof, radon, radioactive material, asbestos, or asbestos containing material, urea formaldehyde foam insulation, lead or polychlorinated biphenyls.</w:t>
      </w:r>
    </w:p>
    <w:p>
      <w:pPr>
        <w:spacing w:after="0" w:line="180"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4.16. NON-COMPETITION AGREEMENTS. Neither Parent nor any subsidiary of Parent is a party to any agreement which purports to restrict or prohibit in any material respect any of them from, directly or indirectly, engaging in any business involving the collection, interim storage, transfer, recovery, processing, recycling, marketing or disposal of rubbish, garbage, paper, textile wastes, chemical or hazardous wastes, liquid and other wastes or any other material business currently engaged in by the Parent or the Company, or any corporations affiliated with either of them. None of Parent's officers, directors or key employees is a party to any agreement which, by virtue of such person's relationship with Parent, restricts in any material respect Parent or any subsidiary of Parent from, directly or indirectly, engaging in any of the businesses described above.</w:t>
      </w:r>
    </w:p>
    <w:p>
      <w:pPr>
        <w:spacing w:after="0" w:line="182" w:lineRule="exact"/>
        <w:rPr>
          <w:sz w:val="20"/>
          <w:szCs w:val="20"/>
          <w:color w:val="auto"/>
        </w:rPr>
      </w:pPr>
    </w:p>
    <w:p>
      <w:pPr>
        <w:ind w:right="3259" w:firstLine="793"/>
        <w:spacing w:after="0" w:line="256" w:lineRule="auto"/>
        <w:rPr>
          <w:sz w:val="20"/>
          <w:szCs w:val="20"/>
          <w:color w:val="auto"/>
        </w:rPr>
      </w:pPr>
      <w:r>
        <w:rPr>
          <w:rFonts w:ascii="Courier New" w:cs="Courier New" w:eastAsia="Courier New" w:hAnsi="Courier New"/>
          <w:sz w:val="14"/>
          <w:szCs w:val="14"/>
          <w:color w:val="auto"/>
        </w:rPr>
        <w:t>SECTION 4.17. TITLE TO ASSETS. Parent and each of its subsidiaries has good and marketable title in fee simple to all its real property and good title to all its leasehold interests and other properties as reflected in the most recent balance sheet included in the Parent Financial Statements, except for such properties and assets that have been disposed of in the ordinary course of business since the date of such balance sheet, free and clear of all mortgages, liens, pledges, charges or encumbrances of any nature whatsoever, except (i) the lien for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Parent's business operations (in the manner presently carried on by the Parent), or (iii) as disclosed in the Parent SEC Reports, and except for such matters which, singly or in the aggregate, could not reasonably be expected to materially and adversely affect the business, operations, properties, assets, condition (financial or other) or results of operations of Parent and its subsidiaries, taken as a whole. All leases under which Parent leases any real or personal property are in good standing, valid and effective in accordance with their respective terms, and there is not, under any of such leases, any existing default or event which with notice or lapse of time</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Page 12</w:t>
      </w:r>
    </w:p>
    <w:p>
      <w:pPr>
        <w:sectPr>
          <w:pgSz w:w="11900" w:h="16838" w:orient="portrait"/>
          <w:cols w:equalWidth="0" w:num="1">
            <w:col w:w="10219"/>
          </w:cols>
          <w:pgMar w:left="240" w:top="283" w:right="1440" w:bottom="1440" w:gutter="0" w:footer="0" w:header="0"/>
          <w:type w:val="continuous"/>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or both would become a default other than defaults under such leases which in the aggregate will not materially and adversely affect the Parent and its subsidiaries, taken as a whole.</w:t>
      </w:r>
    </w:p>
    <w:p>
      <w:pPr>
        <w:spacing w:after="0" w:line="175"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SECTION 4.18. POOLING OF INTERESTS. None of the Parent, Subsidiary or, to their knowledge, any of their affiliates has taken or agreed to take any action that would prevent the Merger from (a) constituting a reorganization qualifying under the provisions of Section 368(a) of the Code or (b) being treated for financial accounting purposes as a "pooling of interests" in accordance with generally accepted accounting principles and the rules, regulations and interpretations of the SEC (a "Pooling Transaction").</w:t>
      </w:r>
    </w:p>
    <w:p>
      <w:pPr>
        <w:spacing w:after="0" w:line="167" w:lineRule="exact"/>
        <w:rPr>
          <w:sz w:val="20"/>
          <w:szCs w:val="20"/>
          <w:color w:val="auto"/>
        </w:rPr>
      </w:pPr>
    </w:p>
    <w:p>
      <w:pPr>
        <w:ind w:right="3259" w:firstLine="793"/>
        <w:spacing w:after="0" w:line="259" w:lineRule="auto"/>
        <w:rPr>
          <w:sz w:val="20"/>
          <w:szCs w:val="20"/>
          <w:color w:val="auto"/>
        </w:rPr>
      </w:pPr>
      <w:r>
        <w:rPr>
          <w:rFonts w:ascii="Courier New" w:cs="Courier New" w:eastAsia="Courier New" w:hAnsi="Courier New"/>
          <w:sz w:val="14"/>
          <w:szCs w:val="14"/>
          <w:color w:val="auto"/>
        </w:rPr>
        <w:t>SECTION 4.19. PARENT STOCKHOLDERS' APPROVAL. The affirmative vote of stockholders of Parent required for approval and adoption of this Agreement and the Merger is a majority of the shares of Parent Common Stock present in person or by proxy at a meeting of such stockholders and entitled to vote thereat.</w:t>
      </w:r>
    </w:p>
    <w:p>
      <w:pPr>
        <w:spacing w:after="0" w:line="163"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4.20. BROKERS AND FINDERS. Except for the fees and expenses payable to Donaldson, Lufkin &amp; Jenrette Securities Corporation ("DLJ"), which fees are reflected in its agreement with Parent (a copy of which has been delivered to the Company), Parent has not entered into any contract, arrangement or understanding with any person or firm which may result in the obligation of Parent to pay any finder's fees, brokerage or agent commissions or other like payments in connection with the transactions contemplated hereby. Except for the fees and expenses paid or payable to DLJ, there is no claim for payment by Parent of any investment banking fees, finder's fees, brokerage or agent commissions or other like payments in connection with the negotiations leading to this Agreement or the consummation of the transactions contemplated hereby.</w:t>
      </w:r>
    </w:p>
    <w:p>
      <w:pPr>
        <w:spacing w:after="0" w:line="182"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4.21. OPINION OF FINANCIAL ADVISOR. The financial advisor of Parent, DLJ, has rendered a written opinion to Parent to the effect that the Exchange Ratio is fair from a financial point of view to the Parent.</w:t>
      </w:r>
    </w:p>
    <w:p>
      <w:pPr>
        <w:spacing w:after="0" w:line="33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V</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REPRESENTATIONS AND WARRANTIES OF THE COMPANY</w:t>
      </w:r>
    </w:p>
    <w:p>
      <w:pPr>
        <w:spacing w:after="0" w:line="175"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The Company represents and warrants to Parent and Subsidiary that, except as set forth in the disclosure schedule dated as of the date hereof and signed by an authorized officer of the Company (the "Company Disclosure Schedule"), each of which exceptions shall specifically identify the relevant Section hereof to which it relates:</w:t>
      </w:r>
    </w:p>
    <w:p>
      <w:pPr>
        <w:spacing w:after="0" w:line="17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5.1. ORGANIZATION AND QUALIFICATION. The Company is a corporation duly organized, validly existing and in good standing under the laws of the State of California and has the requisite corporate power and authority to own, lease and operate its assets and properties and to carry on its business as it is now being conducted.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the Company and its subsidiaries, taken as a whole. True, accurate and complete copies of the Company's Articles of Incorporation and By-laws, in each case as in effect on the date hereof, including all amendments thereto, have heretofore been delivered to Parent.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ind w:left="780"/>
              <w:spacing w:after="0"/>
              <w:rPr>
                <w:sz w:val="20"/>
                <w:szCs w:val="20"/>
                <w:color w:val="auto"/>
              </w:rPr>
            </w:pPr>
            <w:r>
              <w:rPr>
                <w:rFonts w:ascii="Courier New" w:cs="Courier New" w:eastAsia="Courier New" w:hAnsi="Courier New"/>
                <w:sz w:val="15"/>
                <w:szCs w:val="15"/>
                <w:color w:val="auto"/>
                <w:w w:val="96"/>
              </w:rPr>
              <w:t>SECTION 5.2.</w:t>
            </w:r>
          </w:p>
        </w:tc>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CAPITALIZATION.  (a)  The authorized</w:t>
            </w:r>
          </w:p>
        </w:tc>
        <w:tc>
          <w:tcPr>
            <w:tcW w:w="1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capital stock of</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the Company consists</w:t>
            </w:r>
          </w:p>
        </w:tc>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w w:val="97"/>
              </w:rPr>
              <w:t>of 50,000,000 shares of Company Common</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Stock and</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2,000,000</w:t>
            </w:r>
          </w:p>
        </w:tc>
      </w:tr>
      <w:tr>
        <w:trPr>
          <w:trHeight w:val="170"/>
        </w:trPr>
        <w:tc>
          <w:tcPr>
            <w:tcW w:w="6120" w:type="dxa"/>
            <w:vAlign w:val="bottom"/>
            <w:gridSpan w:val="3"/>
          </w:tcPr>
          <w:p>
            <w:pPr>
              <w:spacing w:after="0"/>
              <w:rPr>
                <w:sz w:val="20"/>
                <w:szCs w:val="20"/>
                <w:color w:val="auto"/>
              </w:rPr>
            </w:pPr>
            <w:r>
              <w:rPr>
                <w:rFonts w:ascii="Courier New" w:cs="Courier New" w:eastAsia="Courier New" w:hAnsi="Courier New"/>
                <w:sz w:val="15"/>
                <w:szCs w:val="15"/>
                <w:color w:val="auto"/>
                <w:w w:val="98"/>
              </w:rPr>
              <w:t>shares of preferred stock.  As of October 31, 1995, 14,658,301 shares</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Company Common Stock</w:t>
            </w:r>
          </w:p>
        </w:tc>
        <w:tc>
          <w:tcPr>
            <w:tcW w:w="4280" w:type="dxa"/>
            <w:vAlign w:val="bottom"/>
            <w:gridSpan w:val="2"/>
          </w:tcPr>
          <w:p>
            <w:pPr>
              <w:spacing w:after="0"/>
              <w:rPr>
                <w:sz w:val="20"/>
                <w:szCs w:val="20"/>
                <w:color w:val="auto"/>
              </w:rPr>
            </w:pPr>
            <w:r>
              <w:rPr>
                <w:rFonts w:ascii="Courier New" w:cs="Courier New" w:eastAsia="Courier New" w:hAnsi="Courier New"/>
                <w:sz w:val="15"/>
                <w:szCs w:val="15"/>
                <w:color w:val="auto"/>
                <w:w w:val="98"/>
              </w:rPr>
              <w:t>and no shares of preferred stock were issued and</w:t>
            </w:r>
          </w:p>
        </w:tc>
        <w:tc>
          <w:tcPr>
            <w:tcW w:w="840" w:type="dxa"/>
            <w:vAlign w:val="bottom"/>
          </w:tcPr>
          <w:p>
            <w:pPr>
              <w:spacing w:after="0"/>
              <w:rPr>
                <w:sz w:val="14"/>
                <w:szCs w:val="14"/>
                <w:color w:val="auto"/>
              </w:rPr>
            </w:pP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outstanding.  All of</w:t>
            </w:r>
          </w:p>
        </w:tc>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w w:val="97"/>
              </w:rPr>
              <w:t>such issued and outstanding shares are</w:t>
            </w:r>
          </w:p>
        </w:tc>
        <w:tc>
          <w:tcPr>
            <w:tcW w:w="1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validly issued and</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are fully paid,</w:t>
            </w:r>
          </w:p>
        </w:tc>
        <w:tc>
          <w:tcPr>
            <w:tcW w:w="3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13</w:t>
      </w:r>
    </w:p>
    <w:p>
      <w:pPr>
        <w:sectPr>
          <w:pgSz w:w="11900" w:h="16838" w:orient="portrait"/>
          <w:cols w:equalWidth="0" w:num="1">
            <w:col w:w="10219"/>
          </w:cols>
          <w:pgMar w:left="240" w:top="283"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nonassessable and free of preemptive rights. No subsidiary of the Company holds any shares of the capital stock of the Company.</w:t>
      </w:r>
    </w:p>
    <w:p>
      <w:pPr>
        <w:spacing w:after="0" w:line="176" w:lineRule="exact"/>
        <w:rPr>
          <w:sz w:val="20"/>
          <w:szCs w:val="20"/>
          <w:color w:val="auto"/>
        </w:rPr>
      </w:pPr>
    </w:p>
    <w:p>
      <w:pPr>
        <w:ind w:right="3259" w:firstLine="784"/>
        <w:spacing w:after="0" w:line="238" w:lineRule="auto"/>
        <w:tabs>
          <w:tab w:leader="none" w:pos="149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Company SEC Reports, as of the date hereof there were no outstanding subscriptions, options, calls, contracts, commitments, understandings, restrictions, arrangements, rights or warrants, including any right of conversion or exchange under any outstanding security, instrument or other agreement and also including any rights plan or other anti-takeover agreement, obligating the Company or any subsidiary of the Company to issue, deliver or sell, or cause to be issued, delivered or sold, additional shares of the capital stock of the Company or obligating the Company or any subsidiary of the Company to grant, extend or enter into any such agreement or commitment. There are no voting trusts, proxies or other agreements or understandings to which the Company or any subsidiary of the Company is a party or is bound with respect to the voting of any shares of capital stock of the Company other than voting agreements executed in connection with this Agreement.</w:t>
      </w:r>
    </w:p>
    <w:p>
      <w:pPr>
        <w:spacing w:after="0" w:line="184" w:lineRule="exact"/>
        <w:rPr>
          <w:sz w:val="20"/>
          <w:szCs w:val="20"/>
          <w:color w:val="auto"/>
        </w:rPr>
      </w:pPr>
    </w:p>
    <w:p>
      <w:pPr>
        <w:ind w:right="3259" w:firstLine="793"/>
        <w:spacing w:after="0" w:line="256" w:lineRule="auto"/>
        <w:rPr>
          <w:sz w:val="20"/>
          <w:szCs w:val="20"/>
          <w:color w:val="auto"/>
        </w:rPr>
      </w:pPr>
      <w:r>
        <w:rPr>
          <w:rFonts w:ascii="Courier New" w:cs="Courier New" w:eastAsia="Courier New" w:hAnsi="Courier New"/>
          <w:sz w:val="14"/>
          <w:szCs w:val="14"/>
          <w:color w:val="auto"/>
        </w:rPr>
        <w:t>SECTION 5.3. SUBSIDIARIES. Each direct and indirect corporate subsidiary of the Company is duly organized, validly existing and in good standing under the laws of its jurisdiction of incorporation and has the requisite power and authority to own, lease and operate its assets and properties and to carry on its business as it is now being conducted. Each subsidiary of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such other failures, have a material adverse effect on the business, operations, properties, assets, condition (financial or other) or results of operations of the Company and its subsidiaries, taken as a whole. All of the outstanding shares of capital stock of each corporate subsidiary of the Company are validly issued, fully paid, nonassessable and free of preemptive rights and are owned directly or indirectly by the Company free and clear of any liens, claims, encumbrances, security interests, equities, charges and options of any nature whatsoever. 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the Company, including any right of conversion or exchange under any outstanding security, instrument or agreement.</w:t>
      </w:r>
    </w:p>
    <w:p>
      <w:pPr>
        <w:spacing w:after="0" w:line="346" w:lineRule="exact"/>
        <w:rPr>
          <w:sz w:val="20"/>
          <w:szCs w:val="20"/>
          <w:color w:val="auto"/>
        </w:rPr>
      </w:pPr>
    </w:p>
    <w:p>
      <w:pPr>
        <w:ind w:right="3619" w:firstLine="793"/>
        <w:spacing w:after="0" w:line="256" w:lineRule="auto"/>
        <w:rPr>
          <w:sz w:val="20"/>
          <w:szCs w:val="20"/>
          <w:color w:val="auto"/>
        </w:rPr>
      </w:pPr>
      <w:r>
        <w:rPr>
          <w:rFonts w:ascii="Courier New" w:cs="Courier New" w:eastAsia="Courier New" w:hAnsi="Courier New"/>
          <w:sz w:val="14"/>
          <w:szCs w:val="14"/>
          <w:color w:val="auto"/>
        </w:rPr>
        <w:t>SECTION 5.4. AUTHORITY; NON-CONTRAVENTION; APPROVALS. (a) The Company has full corporate power and authority to enter into this Agreement and, subject to the Company Stockholders' Approval (as defined in Section 7.3(a)) and the Company Required Statutory Approvals (as defined in Section</w:t>
      </w:r>
    </w:p>
    <w:p>
      <w:pPr>
        <w:spacing w:after="0" w:line="1"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5.4(c)), to consummate the transactions contemplated hereby. This Agreement has been approved by the Board of Directors of the Company, and no other corporate proceedings on the part of the Company are necessary to authorize the execution and delivery of this Agreement or, except for the Company Stockholders' Approval, the consummation by the Company of the transactions contemplated hereby. This Agreement has been duly executed and delivered by the Company, and, assuming the due authorization, execution and delivery hereof by Parent and Subsidiary, constitutes a valid and legally binding agreement of the Company, enforceable against the Company in accordance with its terms, except that such enforcement may be subject to (a) bankruptcy, insolvency, reorganization, moratorium or other similar laws affecting or relating to enforcement of creditors' rights generally and (b) general equitable principles. Without limitation of the foregoing, each of the covenants and obligations of the Company set forth in Sections 6.1, 6.5, 7.1, 7.2, 7.3, 7.6, 7.7, 7.8, 7.10 and 7.12 is valid, legally binding and enforceable notwithstanding the absence of the Company Stockholders' Approval.</w:t>
      </w:r>
    </w:p>
    <w:p>
      <w:pPr>
        <w:spacing w:after="0" w:line="334" w:lineRule="exact"/>
        <w:rPr>
          <w:sz w:val="20"/>
          <w:szCs w:val="20"/>
          <w:color w:val="auto"/>
        </w:rPr>
      </w:pPr>
    </w:p>
    <w:p>
      <w:pPr>
        <w:ind w:right="3259" w:firstLine="784"/>
        <w:spacing w:after="0" w:line="257" w:lineRule="auto"/>
        <w:tabs>
          <w:tab w:leader="none" w:pos="1498"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the Company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14</w:t>
      </w:r>
    </w:p>
    <w:p>
      <w:pPr>
        <w:sectPr>
          <w:pgSz w:w="11900" w:h="16838" w:orient="portrait"/>
          <w:cols w:equalWidth="0" w:num="1">
            <w:col w:w="10219"/>
          </w:cols>
          <w:pgMar w:left="240" w:top="283" w:right="1440" w:bottom="1440" w:gutter="0" w:footer="0" w:header="0"/>
        </w:sectPr>
      </w:pPr>
    </w:p>
    <w:bookmarkStart w:id="27" w:name="page28"/>
    <w:bookmarkEnd w:id="27"/>
    <w:p>
      <w:pPr>
        <w:ind w:left="27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or any of its subsidiaries under any of the terms, conditions or provisions of</w:t>
      </w:r>
    </w:p>
    <w:p>
      <w:pPr>
        <w:spacing w:after="0" w:line="11" w:lineRule="exact"/>
        <w:rPr>
          <w:sz w:val="20"/>
          <w:szCs w:val="20"/>
          <w:color w:val="auto"/>
        </w:rPr>
      </w:pPr>
    </w:p>
    <w:p>
      <w:pPr>
        <w:ind w:left="10" w:right="3259" w:hanging="10"/>
        <w:spacing w:after="0" w:line="239" w:lineRule="auto"/>
        <w:tabs>
          <w:tab w:leader="none" w:pos="362"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respective charters or by-laws of the Company or any of its subsidiaries, (ii) any statute, law, ordinance, rule, regulation, judgment, decree, order, injunction, writ, permit or license of any court or governmental authority applicable to the Company or any of its subsidiaries or any of their respective properties or assets, or (iii) any note, bond, mortgage, indenture, deed of trust, license, franchise, permit, concession, contract, lease or other instrument, obligation or agreement of any kind to which the Company or any of its subsidiaries is now a party or by which the Company or any of its subsidiaries or any of their respective properties or assets may be bound or affected. The consummation by the Company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 or provisions described in clause (ii) above, to obtaining (prior to the Effective Time) the Company Required Statutory Approvals and the Company Stockholder's Approval and (y) in the case of the terms, conditions or provisions described in clause (iii) above, to obtaining (prior to the Effective Time) consents required from commercial lenders, lessors or other third parties. Excluded from the foregoing sentences of this paragraph (b), insofar as they apply to the terms, conditions or provisions described in clauses (ii) and (iii) of the first sentence of this paragraph (b), are such violations, conflicts, breaches, defaults, terminations, accelerations or creations of liens, security interests, charges or encumbrances that would not, in the aggregate, have a material adverse effect on the business, operations, properties, assets, condition (financial or other) or results of operations of the Company and its subsidiaries, taken as a whole.</w:t>
      </w:r>
    </w:p>
    <w:p>
      <w:pPr>
        <w:spacing w:after="0" w:line="177" w:lineRule="exact"/>
        <w:rPr>
          <w:rFonts w:ascii="Courier New" w:cs="Courier New" w:eastAsia="Courier New" w:hAnsi="Courier New"/>
          <w:sz w:val="15"/>
          <w:szCs w:val="15"/>
          <w:color w:val="auto"/>
        </w:rPr>
      </w:pPr>
    </w:p>
    <w:p>
      <w:pPr>
        <w:ind w:left="10" w:right="3259" w:firstLine="784"/>
        <w:spacing w:after="0" w:line="256" w:lineRule="auto"/>
        <w:tabs>
          <w:tab w:leader="none" w:pos="1508"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(i) the filings by Parent, the Company and the Company's principal shareholder required by the HSR Act, (ii) the filing of the Joint Proxy Statement/Prospectus with the SEC pursuant to the Exchange Act and the Securities Act and the declaration of the effectiveness thereof by the SEC and filings with various state blue sky authorities, (iii) the making of the Merger Filing with the Secretary of State of the State of California in connection with the Merger and (iv) any required filings with or approvals from applicable state environmental authorities, public service commissions and public utility commissions (the filings and approvals referred to in clauses</w:t>
      </w:r>
    </w:p>
    <w:p>
      <w:pPr>
        <w:spacing w:after="0" w:line="2" w:lineRule="exact"/>
        <w:rPr>
          <w:rFonts w:ascii="Courier New" w:cs="Courier New" w:eastAsia="Courier New" w:hAnsi="Courier New"/>
          <w:sz w:val="14"/>
          <w:szCs w:val="14"/>
          <w:color w:val="auto"/>
        </w:rPr>
      </w:pPr>
    </w:p>
    <w:p>
      <w:pPr>
        <w:ind w:left="10" w:right="3259" w:hanging="10"/>
        <w:spacing w:after="0" w:line="257" w:lineRule="auto"/>
        <w:tabs>
          <w:tab w:leader="none" w:pos="36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(iv) are collectively referred to as the "Company Required Statutory Approvals"), no declaration, filing or registration with, or notice to, or authorization, consent or approval of, any governmental or regulatory body or authority is necessary for the execution and delivery of this Agreement by the Company or the consummation by the Company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the Company and its subsidiaries, taken as a whole.</w:t>
      </w:r>
    </w:p>
    <w:p>
      <w:pPr>
        <w:spacing w:after="0" w:line="166" w:lineRule="exact"/>
        <w:rPr>
          <w:sz w:val="20"/>
          <w:szCs w:val="20"/>
          <w:color w:val="auto"/>
        </w:rPr>
      </w:pPr>
    </w:p>
    <w:p>
      <w:pPr>
        <w:ind w:left="10" w:right="3259" w:firstLine="793"/>
        <w:spacing w:after="0" w:line="256" w:lineRule="auto"/>
        <w:rPr>
          <w:sz w:val="20"/>
          <w:szCs w:val="20"/>
          <w:color w:val="auto"/>
        </w:rPr>
      </w:pPr>
      <w:r>
        <w:rPr>
          <w:rFonts w:ascii="Courier New" w:cs="Courier New" w:eastAsia="Courier New" w:hAnsi="Courier New"/>
          <w:sz w:val="14"/>
          <w:szCs w:val="14"/>
          <w:color w:val="auto"/>
        </w:rPr>
        <w:t>SECTION 5.5. REPORTS AND FINANCIAL STATEMENTS. Since July 1, 1993, the Company has filed with the SEC all material forms, statements, reports and documents (including all exhibits, amendments and supplements thereto) required to be filed by it under each of the Securities Act, the Exchange Act and the respective rules and regulations thereunder, all of which, as amended if applicable, complied in all material respects with all applicable requirements of the appropriate act and the rules and regulations thereunder. The Company has previously delivered to Parent copies of its (a) Annual Reports on Form 10-K for the fiscal year ended June 30, 1995, and for each of the two immediately preceding fiscal years, as filed with the SEC, (b) proxy and information statements relating to (i) all meetings of its stockholders (whether annual or special) and (ii) actions by written consent in lieu of a stockholders' meeting from July 1, 1993, until the date hereof, and (c) all other reports, including quarterly reports, or registration statements filed by the Company with the SEC since July 1, 1993 (other than Registration Statements filed on Form S-8) (the documents referred to in clauses (a), (b) and (c) are collectively referred to as the "Company SEC Reports"). As of their respective dates, the Company SEC Reports did not contain any untrue statement of a material fact or omit to state a material fact required to be stated therein or necessary to make the statements therein, in light of the circumstances under which they were made, not misleading. The audited consolidated financial statements and unaudited interim consolidated financial statements of the Company included in such reports (collectively, the "Company Financial</w:t>
      </w:r>
    </w:p>
    <w:p>
      <w:pPr>
        <w:sectPr>
          <w:pgSz w:w="11900" w:h="16838" w:orient="portrait"/>
          <w:cols w:equalWidth="0" w:num="1">
            <w:col w:w="10229"/>
          </w:cols>
          <w:pgMar w:left="23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90"/>
        <w:spacing w:after="0"/>
        <w:rPr>
          <w:sz w:val="20"/>
          <w:szCs w:val="20"/>
          <w:color w:val="auto"/>
        </w:rPr>
      </w:pPr>
      <w:r>
        <w:rPr>
          <w:rFonts w:ascii="Courier New" w:cs="Courier New" w:eastAsia="Courier New" w:hAnsi="Courier New"/>
          <w:sz w:val="14"/>
          <w:szCs w:val="14"/>
          <w:color w:val="auto"/>
        </w:rPr>
        <w:t>Page 15</w:t>
      </w:r>
    </w:p>
    <w:p>
      <w:pPr>
        <w:sectPr>
          <w:pgSz w:w="11900" w:h="16838" w:orient="portrait"/>
          <w:cols w:equalWidth="0" w:num="1">
            <w:col w:w="10229"/>
          </w:cols>
          <w:pgMar w:left="230" w:top="283" w:right="1440" w:bottom="1440" w:gutter="0" w:footer="0" w:header="0"/>
          <w:type w:val="continuous"/>
        </w:sectPr>
      </w:pPr>
    </w:p>
    <w:bookmarkStart w:id="28" w:name="page29"/>
    <w:bookmarkEnd w:id="28"/>
    <w:p>
      <w:pPr>
        <w:ind w:left="270"/>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ind w:left="10" w:right="3259"/>
        <w:spacing w:after="0" w:line="257" w:lineRule="auto"/>
        <w:rPr>
          <w:sz w:val="20"/>
          <w:szCs w:val="20"/>
          <w:color w:val="auto"/>
        </w:rPr>
      </w:pPr>
      <w:r>
        <w:rPr>
          <w:rFonts w:ascii="Courier New" w:cs="Courier New" w:eastAsia="Courier New" w:hAnsi="Courier New"/>
          <w:sz w:val="14"/>
          <w:szCs w:val="14"/>
          <w:color w:val="auto"/>
        </w:rPr>
        <w:t>Statements") have been prepared in accordance with generally accepted accounting principles applied on a consistent basis (except as may be indicated therein or in the notes thereto) and fairly present the financial position of the Company and its subsidiaries as of the dates thereof and the results of their operations and changes in financial position for the periods then ended, subject, in the case of the unaudited interim financial statements, to normal year- end and audit adjustments and any other adjustments described therein.</w:t>
      </w:r>
    </w:p>
    <w:p>
      <w:pPr>
        <w:spacing w:after="0" w:line="167" w:lineRule="exact"/>
        <w:rPr>
          <w:sz w:val="20"/>
          <w:szCs w:val="20"/>
          <w:color w:val="auto"/>
        </w:rPr>
      </w:pPr>
    </w:p>
    <w:p>
      <w:pPr>
        <w:ind w:left="10" w:right="3259" w:firstLine="793"/>
        <w:spacing w:after="0" w:line="256" w:lineRule="auto"/>
        <w:rPr>
          <w:sz w:val="20"/>
          <w:szCs w:val="20"/>
          <w:color w:val="auto"/>
        </w:rPr>
      </w:pPr>
      <w:r>
        <w:rPr>
          <w:rFonts w:ascii="Courier New" w:cs="Courier New" w:eastAsia="Courier New" w:hAnsi="Courier New"/>
          <w:sz w:val="14"/>
          <w:szCs w:val="14"/>
          <w:color w:val="auto"/>
        </w:rPr>
        <w:t>SECTION 5.6. ABSENCE OF UNDISCLOSED LIABILITIES. Except as disclosed in the Company SEC Reports, neither the Company nor any of its subsidiaries had at September 30, 1995, or has incurred since that date, any liabilities or obligations (whether absolute, accrued, contingent or otherwise) of any nature, except (a) liabilities, obligations or contingencies (i) which are accrued or reserved against in the Company Financial Statements or reflected in the notes thereto or (ii) which were incurred after September 30, 1995, and were incurred in the ordinary course of business and consistent with past practices,</w:t>
      </w:r>
    </w:p>
    <w:p>
      <w:pPr>
        <w:spacing w:after="0" w:line="3" w:lineRule="exact"/>
        <w:rPr>
          <w:sz w:val="20"/>
          <w:szCs w:val="20"/>
          <w:color w:val="auto"/>
        </w:rPr>
      </w:pPr>
    </w:p>
    <w:p>
      <w:pPr>
        <w:ind w:left="10" w:right="3359" w:hanging="10"/>
        <w:spacing w:after="0" w:line="257" w:lineRule="auto"/>
        <w:tabs>
          <w:tab w:leader="none" w:pos="362"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obligations or contingencies which (i) would not, in the aggregate, have a material adverse effect on the business, operations, properties, assets, condition (financial or other) or results of operations of the Company and its subsidiaries, taken as a whole, or (ii) have been discharged or paid in full prior to the date hereof, and (c) liabilities and obligations which are of a nature not required to be reflected in the consolidated financial statements of the Company and its subsidiaries prepared in accordance with generally accepted accounting principles consistently applied and which were incurred in the ordinary course of business.</w:t>
      </w:r>
    </w:p>
    <w:p>
      <w:pPr>
        <w:spacing w:after="0" w:line="167" w:lineRule="exact"/>
        <w:rPr>
          <w:sz w:val="20"/>
          <w:szCs w:val="20"/>
          <w:color w:val="auto"/>
        </w:rPr>
      </w:pPr>
    </w:p>
    <w:p>
      <w:pPr>
        <w:ind w:left="10" w:right="3259" w:firstLine="793"/>
        <w:spacing w:after="0" w:line="237" w:lineRule="auto"/>
        <w:rPr>
          <w:sz w:val="20"/>
          <w:szCs w:val="20"/>
          <w:color w:val="auto"/>
        </w:rPr>
      </w:pPr>
      <w:r>
        <w:rPr>
          <w:rFonts w:ascii="Courier New" w:cs="Courier New" w:eastAsia="Courier New" w:hAnsi="Courier New"/>
          <w:sz w:val="15"/>
          <w:szCs w:val="15"/>
          <w:color w:val="auto"/>
        </w:rPr>
        <w:t>SECTION 5.7. ABSENCE OF CERTAIN CHANGES OR EVENTS. Since the date of the most recent Company SEC Report, there has not been any material adverse change in the business, operations, properties, assets, liabilities, condition (financial or other) or results of operations of the Company and its subsidiaries, taken as a whole.</w:t>
      </w:r>
    </w:p>
    <w:p>
      <w:pPr>
        <w:spacing w:after="0" w:line="178" w:lineRule="exact"/>
        <w:rPr>
          <w:sz w:val="20"/>
          <w:szCs w:val="20"/>
          <w:color w:val="auto"/>
        </w:rPr>
      </w:pPr>
    </w:p>
    <w:p>
      <w:pPr>
        <w:ind w:left="10" w:right="3259" w:firstLine="793"/>
        <w:spacing w:after="0" w:line="257" w:lineRule="auto"/>
        <w:rPr>
          <w:sz w:val="20"/>
          <w:szCs w:val="20"/>
          <w:color w:val="auto"/>
        </w:rPr>
      </w:pPr>
      <w:r>
        <w:rPr>
          <w:rFonts w:ascii="Courier New" w:cs="Courier New" w:eastAsia="Courier New" w:hAnsi="Courier New"/>
          <w:sz w:val="14"/>
          <w:szCs w:val="14"/>
          <w:color w:val="auto"/>
        </w:rPr>
        <w:t>SECTION 5.8. LITIGATION. Except as referred to in the Company SEC Reports, there are no claims, suits, actions or proceedings pending or, to the knowledge of the Company, threatened against, relating to or affecting the Company or any of its subsidiaries, before any court, governmental department, commission, agency, instrumentality or authority, or any arbitrator that seek to restrain the consummation of the Merger or which could reasonably be expected, either alone or in the aggregate with all such claims, actions or proceedings, to materially and adversely affect the business, operations, properties, assets, condition (financial or other) or results of operations of the Company and its subsidiaries, taken as a whole. Except as referred to in the Company SEC Reports or in Schedule 5.8, neither the Company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or results of operations of the Company and its subsidiaries, taken as a whole.</w:t>
      </w:r>
    </w:p>
    <w:p>
      <w:pPr>
        <w:spacing w:after="0" w:line="164" w:lineRule="exact"/>
        <w:rPr>
          <w:sz w:val="20"/>
          <w:szCs w:val="20"/>
          <w:color w:val="auto"/>
        </w:rPr>
      </w:pPr>
    </w:p>
    <w:p>
      <w:pPr>
        <w:ind w:left="10" w:right="3259" w:firstLine="793"/>
        <w:spacing w:after="0" w:line="256" w:lineRule="auto"/>
        <w:rPr>
          <w:sz w:val="20"/>
          <w:szCs w:val="20"/>
          <w:color w:val="auto"/>
        </w:rPr>
      </w:pPr>
      <w:r>
        <w:rPr>
          <w:rFonts w:ascii="Courier New" w:cs="Courier New" w:eastAsia="Courier New" w:hAnsi="Courier New"/>
          <w:sz w:val="14"/>
          <w:szCs w:val="14"/>
          <w:color w:val="auto"/>
        </w:rPr>
        <w:t>SECTION 5.9. REGISTRATION STATEMENT AND PROXY STATEMENT. None of the information to be supplied by the Company or its subsidiaries for inclusion in</w:t>
      </w:r>
    </w:p>
    <w:p>
      <w:pPr>
        <w:spacing w:after="0" w:line="1" w:lineRule="exact"/>
        <w:rPr>
          <w:sz w:val="20"/>
          <w:szCs w:val="20"/>
          <w:color w:val="auto"/>
        </w:rPr>
      </w:pPr>
    </w:p>
    <w:p>
      <w:pPr>
        <w:ind w:left="10" w:right="3259" w:hanging="10"/>
        <w:spacing w:after="0" w:line="257" w:lineRule="auto"/>
        <w:tabs>
          <w:tab w:leader="none" w:pos="362"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or (b) the Proxy Statement will, in the case of the Proxy Statement or any amendments thereof or supplements thereto, at the time of the mailing of the Proxy Statement and any amendments or supplements thereto, and at the time of the meetings of stockholders of the Company and Parent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light of the circumstances under which they are made, not misleading. The Joint Proxy Statement/Prospectus will comply, as of its mailing date, as to form in all material respects with all applicable laws, including the provisions of the Securities Act and the Exchange Act and the rules and regulations promulgated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Page 16</w:t>
      </w:r>
    </w:p>
    <w:p>
      <w:pPr>
        <w:sectPr>
          <w:pgSz w:w="11900" w:h="16838" w:orient="portrait"/>
          <w:cols w:equalWidth="0" w:num="1">
            <w:col w:w="10229"/>
          </w:cols>
          <w:pgMar w:left="230" w:top="283"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right="3439"/>
        <w:spacing w:after="0" w:line="265" w:lineRule="auto"/>
        <w:rPr>
          <w:sz w:val="20"/>
          <w:szCs w:val="20"/>
          <w:color w:val="auto"/>
        </w:rPr>
      </w:pPr>
      <w:r>
        <w:rPr>
          <w:rFonts w:ascii="Courier New" w:cs="Courier New" w:eastAsia="Courier New" w:hAnsi="Courier New"/>
          <w:sz w:val="14"/>
          <w:szCs w:val="14"/>
          <w:color w:val="auto"/>
        </w:rPr>
        <w:t>thereunder, except that no representation is made by the Company with respect to information supplied by Parent or Subsidiary for inclusion therein.</w:t>
      </w:r>
    </w:p>
    <w:p>
      <w:pPr>
        <w:spacing w:after="0" w:line="158" w:lineRule="exact"/>
        <w:rPr>
          <w:sz w:val="20"/>
          <w:szCs w:val="20"/>
          <w:color w:val="auto"/>
        </w:rPr>
      </w:pPr>
    </w:p>
    <w:p>
      <w:pPr>
        <w:ind w:right="3259" w:firstLine="793"/>
        <w:spacing w:after="0" w:line="256" w:lineRule="auto"/>
        <w:rPr>
          <w:sz w:val="20"/>
          <w:szCs w:val="20"/>
          <w:color w:val="auto"/>
        </w:rPr>
      </w:pPr>
      <w:r>
        <w:rPr>
          <w:rFonts w:ascii="Courier New" w:cs="Courier New" w:eastAsia="Courier New" w:hAnsi="Courier New"/>
          <w:sz w:val="14"/>
          <w:szCs w:val="14"/>
          <w:color w:val="auto"/>
        </w:rPr>
        <w:t>SECTION 5.10. NO VIOLATION OF LAW. Except as disclosed in the Company SEC Reports or in Schedule 5.8, neither the Company nor any of its subsidiaries is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or results of operations of the Company and its subsidiaries, taken as a whole. Except as disclosed in the Company SEC Reports, as of the date of this Agreement, to the knowledge of the Company,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or results of operations of the Company and its subsidiaries taken as a whole. The Company and its subsidiaries have all permits, licenses, franchises, variances, exemptions, orders and other governmental authorizations, consents and approvals necessary to conduct their businesses as presently conducted (collectively, the "Company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the Company and its subsidiaries, taken as a whole. The Company and its subsidiaries are not in violation of the terms of any Company Permit, except for delays in filing reports or violations which, alone or in the aggregate, would not have a material adverse effect on the business, operations, properties, assets, condition (financial or other), results of operations or prospects of the Company and its subsidiaries, taken as a whole.</w:t>
      </w:r>
    </w:p>
    <w:p>
      <w:pPr>
        <w:spacing w:after="0" w:line="349"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5.11. COMPLIANCE WITH AGREEMENTS. Except as disclosed in the Company SEC Reports, the Company and each of its subsidiaries are not in breach or violation of or in default in the performance or observance of any term or provision of, and no event has occurred which, with lapse of time or action by a third party, could result in a default under, (a) the respective charters, by-laws or similar organizational instruments of the Company or any of its subsidiaries or (b) any contract, commitment, agreement, indenture, mortgage, loan agreement, note, lease, bond, license, approval or other instrument to which the Company or any of its subsidiaries is a party or by which any of them is bound or to which any of their property is subject, which breaches, violations and defaults, in the case of clause (b) of this Section 5.11, would have, in the aggregate, a material adverse effect on the business, operations, properties, assets, condition (financial or other) or results of operations of the Company and its subsidiaries, taken as a whole.</w:t>
      </w:r>
    </w:p>
    <w:p>
      <w:pPr>
        <w:spacing w:after="0" w:line="184" w:lineRule="exact"/>
        <w:rPr>
          <w:sz w:val="20"/>
          <w:szCs w:val="20"/>
          <w:color w:val="auto"/>
        </w:rPr>
      </w:pPr>
    </w:p>
    <w:p>
      <w:pPr>
        <w:ind w:right="3259" w:firstLine="793"/>
        <w:spacing w:after="0" w:line="239" w:lineRule="auto"/>
        <w:rPr>
          <w:sz w:val="20"/>
          <w:szCs w:val="20"/>
          <w:color w:val="auto"/>
        </w:rPr>
      </w:pPr>
      <w:r>
        <w:rPr>
          <w:rFonts w:ascii="Courier New" w:cs="Courier New" w:eastAsia="Courier New" w:hAnsi="Courier New"/>
          <w:sz w:val="15"/>
          <w:szCs w:val="15"/>
          <w:color w:val="auto"/>
        </w:rPr>
        <w:t>SECTION 5.12. TAXES. The Company and its subsidiaries have (i) duly filed with the appropriate governmental authorities all Tax Returns required to be filed by them for all periods ending on or prior to the Effective Time, other than those Tax Returns the failure of which to file would not have a material adverse effect on the business, operations, properties, assets, condition (financial or other) or results of operations of the Company and its subsidiaries, taken as a whole, and such Tax Returns are true, correct and complete in all material respects, and (ii) duly paid in full or made adequate provision for the payment of all Taxes for all periods ending at or prior to the Effective Time. The liabilities and reserves for Taxes reflected in the Company balance sheet included in the latest Company SEC Report are adequate to cover all Taxes for all periods ending at or prior to the Effective Time and there are no material liens for Taxes upon any property or asset of the Company or any subsidiary thereof, except for liens for Taxes not yet due. There are no unresolved issues of law or fact arising out of a notice of deficiency, proposed deficiency or assessment from the IRS or any other governmental taxing authority with respect to Taxes of the Company or any of its subsidiaries which, if decided adversely, singly or in the aggregate, would have a material adverse effect on the business, operations, properties, assets, condition (financial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17</w:t>
      </w:r>
    </w:p>
    <w:p>
      <w:pPr>
        <w:sectPr>
          <w:pgSz w:w="11900" w:h="16838" w:orient="portrait"/>
          <w:cols w:equalWidth="0" w:num="1">
            <w:col w:w="10219"/>
          </w:cols>
          <w:pgMar w:left="240" w:top="283" w:right="1440" w:bottom="1440" w:gutter="0" w:footer="0" w:header="0"/>
        </w:sectPr>
      </w:pPr>
    </w:p>
    <w:bookmarkStart w:id="30" w:name="page31"/>
    <w:bookmarkEnd w:id="30"/>
    <w:p>
      <w:pPr>
        <w:ind w:left="270"/>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or results of operations of the Company and its subsidiaries, taken as a whole. Neither the Company nor any of its subsidiaries is a party to any agreement providing for the allocation or sharing of Taxes with any entity that is not, directly or indirectly, a wholly-owned corporate subsidiary of Company. Neither the Company nor any of its corporate subsidiaries has, with regard to any assets or property held, acquired or to be acquired by any of them, filed a consent to the application of Section 341(f) of the Code.</w:t>
      </w:r>
    </w:p>
    <w:p>
      <w:pPr>
        <w:spacing w:after="0" w:line="177" w:lineRule="exact"/>
        <w:rPr>
          <w:sz w:val="20"/>
          <w:szCs w:val="20"/>
          <w:color w:val="auto"/>
        </w:rPr>
      </w:pPr>
    </w:p>
    <w:p>
      <w:pPr>
        <w:ind w:left="10" w:right="3259" w:firstLine="793"/>
        <w:spacing w:after="0" w:line="257" w:lineRule="auto"/>
        <w:rPr>
          <w:sz w:val="20"/>
          <w:szCs w:val="20"/>
          <w:color w:val="auto"/>
        </w:rPr>
      </w:pPr>
      <w:r>
        <w:rPr>
          <w:rFonts w:ascii="Courier New" w:cs="Courier New" w:eastAsia="Courier New" w:hAnsi="Courier New"/>
          <w:sz w:val="14"/>
          <w:szCs w:val="14"/>
          <w:color w:val="auto"/>
        </w:rPr>
        <w:t>SECTION 5.13. EMPLOYEE BENEFIT PLANS; ERISA. (a) Except as set forth in the Company SEC Reports, at the date hereof, the Company and its subsidiaries do not maintain or contribute to any material employee benefit plans, programs, arrangements and practices (such plans, programs, arrangements and practices of the Company and its subsidiaries being referred to as the "Company Plans"), including employee benefit plans within the meaning set forth in Section 3(3) of ERISA, or other similar material arrangements for the provision of benefits (excluding any "Multi-employer Plan" within the meaning of Section 3(37) of ERISA or a "Multiple Employer Plan" within the meaning of Section 413(c) of the Code). The Company Disclosure Schedule lists all Multi-employer Plans and Multiple Employer Plans which any of the Company or its subsidiaries maintains or to which any of them makes contributions. Neither the Company nor its subsidiaries has any obligation to create any additional such plan or to amend any such plan so as to increase benefits thereunder, except as required under the terms of the Company Plans, under existing collective bargaining agreements or to comply with applicable law.</w:t>
      </w:r>
    </w:p>
    <w:p>
      <w:pPr>
        <w:spacing w:after="0" w:line="164" w:lineRule="exact"/>
        <w:rPr>
          <w:sz w:val="20"/>
          <w:szCs w:val="20"/>
          <w:color w:val="auto"/>
        </w:rPr>
      </w:pPr>
    </w:p>
    <w:p>
      <w:pPr>
        <w:ind w:left="10" w:right="3259" w:firstLine="784"/>
        <w:spacing w:after="0" w:line="256" w:lineRule="auto"/>
        <w:tabs>
          <w:tab w:leader="none" w:pos="1508"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Company SEC Reports, (i) there have been no prohibited transactions within the meaning of Section 406 or 407 of ERISA or Section 4975 of the Code with respect to any of the Company Plans that could result in penalties, taxes or liabilities which, singly or in the aggregate, could have a material adverse effect on the business, operations, properties, assets, condition (financial or other) or results of operations of the Company and its subsidiaries, taken as a whole, (ii) except for premiums due, there is no outstanding material liability, whether measured alone or in the aggregate, under Title IV of ERISA with respect to any of the Company Plans, (iii) neither the Pension Benefit Guaranty Corporation nor any plan administrator has instituted proceedings to terminate any of the Company Plans subject to Title IV of ERISA other than in a "standard termination" described in Section 4041(b) of ERISA, (iv) none of the Company Plans has incurred any "accumulated funding deficiency" (as defined in Section 302 of ERISA and Section 412 of the Code), whether or not waived, as of the last day of the most recent fiscal year of each of the Company Plans ended prior to the date of this Agreement, (v) the current present value of all projected benefit obligations under each of the Company Plans which is subject to Title IV of ERISA did not, as of its latest valuation date, exceed the then current value of the assets of such plan allocable to such benefit liabilities by more than the amount, if any, disclosed in the Company SEC Reports as of September 30, 1994, based upon reasonable actuarial assumptions currently utilized for such Company Plan, (vi) each of the Company Plans has been operated and administered in all material respects in accordance with applicable laws during the period of time covered by the applicable statute of limitations, (vii) each of the Company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Company Plans, and the period for making any such necessary retroactive amendments has not expired,</w:t>
      </w:r>
    </w:p>
    <w:p>
      <w:pPr>
        <w:spacing w:after="0" w:line="179" w:lineRule="exact"/>
        <w:rPr>
          <w:rFonts w:ascii="Courier New" w:cs="Courier New" w:eastAsia="Courier New" w:hAnsi="Courier New"/>
          <w:sz w:val="14"/>
          <w:szCs w:val="14"/>
          <w:color w:val="auto"/>
        </w:rPr>
      </w:pPr>
    </w:p>
    <w:p>
      <w:pPr>
        <w:ind w:left="10" w:right="3259" w:hanging="10"/>
        <w:spacing w:after="0" w:line="238" w:lineRule="auto"/>
        <w:tabs>
          <w:tab w:leader="none" w:pos="62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Multi-employer Plans, neither the Company nor any of its subsidiaries has, made or suffered a "complete withdrawal" or a "partial withdrawal," as such terms are respectively defined in Sections 4203, 4204 and 4205 of ERISA and, to the best knowledge of the Company and its subsidiaries, no event has occurred or is expected to occur which presents a material risk of a complete or partial withdrawal under said Sections 4203, 4204 and 4205, (ix) to the best knowledge of the Company and its subsidiaries, there are no material pending, threatened or anticipated claims involving any of the Company Plans other than claims for benefits in the ordinary course, and (x) the Company and its subsidiaries have no current material liability, whether measured alone or in the aggregate, for plan termination or withdrawal (complete or partial) under Title IV of ERISA based on any plan to which any entity that would be deemed one employer with the Company and its subsidiaries under Section 4001 of ERISA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Page 18</w:t>
      </w:r>
    </w:p>
    <w:p>
      <w:pPr>
        <w:sectPr>
          <w:pgSz w:w="11900" w:h="16838" w:orient="portrait"/>
          <w:cols w:equalWidth="0" w:num="1">
            <w:col w:w="10229"/>
          </w:cols>
          <w:pgMar w:left="230" w:top="283"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ind w:right="3439"/>
        <w:spacing w:after="0" w:line="258" w:lineRule="auto"/>
        <w:rPr>
          <w:sz w:val="20"/>
          <w:szCs w:val="20"/>
          <w:color w:val="auto"/>
        </w:rPr>
      </w:pPr>
      <w:r>
        <w:rPr>
          <w:rFonts w:ascii="Courier New" w:cs="Courier New" w:eastAsia="Courier New" w:hAnsi="Courier New"/>
          <w:sz w:val="14"/>
          <w:szCs w:val="14"/>
          <w:color w:val="auto"/>
        </w:rPr>
        <w:t>Section 414 of the Code contributed during the period of time covered by the applicable statute of limitations (the "Company Controlled Group Plans"), and the Company and its subsidiaries do not reasonably anticipate that any such liability will be asserted against the Company or any of its subsidiaries. None of the Company Controlled Group Plans has an "accumulated funding deficiency" (as defined in Section 302 of ERISA and 412 of the Code).</w:t>
      </w:r>
    </w:p>
    <w:p>
      <w:pPr>
        <w:spacing w:after="0" w:line="164" w:lineRule="exact"/>
        <w:rPr>
          <w:sz w:val="20"/>
          <w:szCs w:val="20"/>
          <w:color w:val="auto"/>
        </w:rPr>
      </w:pPr>
    </w:p>
    <w:p>
      <w:pPr>
        <w:ind w:right="3259" w:firstLine="784"/>
        <w:spacing w:after="0" w:line="237" w:lineRule="auto"/>
        <w:tabs>
          <w:tab w:leader="none" w:pos="149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176" w:lineRule="exact"/>
        <w:rPr>
          <w:rFonts w:ascii="Courier New" w:cs="Courier New" w:eastAsia="Courier New" w:hAnsi="Courier New"/>
          <w:sz w:val="15"/>
          <w:szCs w:val="15"/>
          <w:color w:val="auto"/>
        </w:rPr>
      </w:pPr>
    </w:p>
    <w:p>
      <w:pPr>
        <w:ind w:right="3359" w:firstLine="784"/>
        <w:spacing w:after="0" w:line="237" w:lineRule="auto"/>
        <w:tabs>
          <w:tab w:leader="none" w:pos="1146"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agreements which will or may provide payments to any officer, employee, stockholder, or highly compensated individual which will be "parachute payments" under Code Section 280G that are nondeductible to the Company or subject to tax under Code Section 4999 for which the Company or any ERISA Affiliate would have withholding liability.</w:t>
      </w:r>
    </w:p>
    <w:p>
      <w:pPr>
        <w:spacing w:after="0" w:line="17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5.14. LABOR CONTROVERSIES. Except as set forth in the Company SEC Reports, (a) there are no significant controversies pending or, to the knowledge of the Company, threatened between the Company or its subsidiaries and any representatives of any of their employees and (b) to the knowledge of the Company, there are no material organizational efforts presently being made involving any of the presently unorganized employees of the Company or its subsidiaries, except for such controversies and organizational efforts, which, singly or in the aggregate, could not reasonably be expected to materially and adversely affect the business, operations, properties, assets, condition (financial or other) or results of operations of the Company and its subsidiaries, taken as a whole.</w:t>
      </w:r>
    </w:p>
    <w:p>
      <w:pPr>
        <w:spacing w:after="0" w:line="181" w:lineRule="exact"/>
        <w:rPr>
          <w:sz w:val="20"/>
          <w:szCs w:val="20"/>
          <w:color w:val="auto"/>
        </w:rPr>
      </w:pPr>
    </w:p>
    <w:p>
      <w:pPr>
        <w:ind w:right="3259" w:firstLine="793"/>
        <w:spacing w:after="0" w:line="256" w:lineRule="auto"/>
        <w:rPr>
          <w:sz w:val="20"/>
          <w:szCs w:val="20"/>
          <w:color w:val="auto"/>
        </w:rPr>
      </w:pPr>
      <w:r>
        <w:rPr>
          <w:rFonts w:ascii="Courier New" w:cs="Courier New" w:eastAsia="Courier New" w:hAnsi="Courier New"/>
          <w:sz w:val="14"/>
          <w:szCs w:val="14"/>
          <w:color w:val="auto"/>
        </w:rPr>
        <w:t>SECTION 5.15. ENVIRONMENTAL MATTERS. Except as set forth in the Company SEC Reports, (i) the Company and its subsidiaries have conducted their respective businesses in compliance with all applicable Environmental Laws, including, without limitation, having all permits, licenses and other approvals and authorizations necessary for the operation of their respective businesses as presently conducted, (ii) none of the properties owned by the Company or any of its subsidiaries contain any Hazardous Substance as a result of any activity of the Company or any of its subsidiaries in amounts exceeding the levels permitted by applicable Environmental Laws, (iii) neither the Company nor any of its subsidiaries has received any notices, demand letters or requests for information from any Federal, state, local or foreign governmental entity or third party indicating that the Company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the Company or any of its subsidiaries relating to any violation, or alleged violation, of any Environmental Law, (v) no reports have been filed, or are required to be filed, by the Company or any of its subsidiaries concerning the release of any Hazardous Substance or the threatened or actual violation of any Environmental Law, (vi) no Hazardous Substance has been disposed of, released or transported in violation of any applicable Environmental Law from any properties owned by the Company or any of its subsidiaries as a result of any activity of the Company or any of its subsidiaries during the time such properties were owned, leased or operated by the Company or any of its subsidiaries, (vii) there have been no environmental investigations, studies, audits, tests, reviews or other analyses regarding compliance or noncompliance with any applicable Environmental Law conducted by or which are in the possession of the Company or its subsidiaries relating to the activities of the Company or its subsidiaries which have not been delivered to Parent prior to the date hereof, (viii) there are no underground storage tanks on, in or under any properties owned by the Company or any of its subsidiaries and no underground storage tanks have been closed or removed from any of such properties during the time such properties were owned, leased or operated by the Company or any of its subsidiaries, (ix) there is no asbestos or asbestos containing material present in any of the properties owned by the Company and its subsidiaries, and no asbestos has been removed from any of such properties during the time such properties were owned, leased or operated by the Company or any of its subsidiaries, and (x) neither the Company, its subsidiaries nor any of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19</w:t>
      </w:r>
    </w:p>
    <w:p>
      <w:pPr>
        <w:sectPr>
          <w:pgSz w:w="11900" w:h="16838" w:orient="portrait"/>
          <w:cols w:equalWidth="0" w:num="1">
            <w:col w:w="10219"/>
          </w:cols>
          <w:pgMar w:left="240" w:top="283"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21</w:t>
      </w:r>
    </w:p>
    <w:p>
      <w:pPr>
        <w:spacing w:after="0" w:line="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respective properties are subject to any material liabilities or expenditures (fixed or contingent) relating to any suit, settlement, court order, administrative order, regulatory requirement, judgment or claim asserted or arising under any Environmental Law, except for violations of the foregoing clauses (i) through (x) that, singly or in the aggregate, would not reasonably be expected to have a material adverse effect on the business, operations, properties, assets, condition (financial or other) or results of operations of the Company and its subsidiaries considered as one enterprise.</w:t>
      </w:r>
    </w:p>
    <w:p>
      <w:pPr>
        <w:spacing w:after="0" w:line="167"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SECTION 5.16. NON-COMPETITION AGREEMENTS. Neither the Company nor any subsidiary of the Company is a party to any agreement which purports to restrict or prohibit in any material respect any of them from, directly or indirectly, engaging in any business involving the collection, interim storage, transfer, recovery, processing, recycling, marketing or disposal of rubbish, garbage, paper, textile wastes, chemical or hazardous wastes, liquid and other wastes or any other material business currently engaged in by the Parent or the Company, or any corporations affiliated with either of them. None of the Company's officers, directors or key employees is a party to any agreement which, by virtue of such person's relationship with the Company, restricts in any material respect the Company or any subsidiary of the Company from, directly or indirectly, engaging in any of the businesses described above.</w:t>
      </w:r>
    </w:p>
    <w:p>
      <w:pPr>
        <w:spacing w:after="0" w:line="166" w:lineRule="exact"/>
        <w:rPr>
          <w:sz w:val="20"/>
          <w:szCs w:val="20"/>
          <w:color w:val="auto"/>
        </w:rPr>
      </w:pPr>
    </w:p>
    <w:p>
      <w:pPr>
        <w:ind w:right="3259" w:firstLine="793"/>
        <w:spacing w:after="0" w:line="256" w:lineRule="auto"/>
        <w:rPr>
          <w:sz w:val="20"/>
          <w:szCs w:val="20"/>
          <w:color w:val="auto"/>
        </w:rPr>
      </w:pPr>
      <w:r>
        <w:rPr>
          <w:rFonts w:ascii="Courier New" w:cs="Courier New" w:eastAsia="Courier New" w:hAnsi="Courier New"/>
          <w:sz w:val="14"/>
          <w:szCs w:val="14"/>
          <w:color w:val="auto"/>
        </w:rPr>
        <w:t>SECTION 5.17. TITLE TO ASSETS. The Company and each of its subsidiaries has good and marketable title in fee simple to all its real property and good title to all its leasehold interests and other properties, as reflected in the most recent balance sheet included in the Company Financial Statements, except for properties and assets that have been disposed of in the ordinary course of business since the date of such balance sheet, free and clear of all mortgages, liens, pledges, charges or encumbrances of any nature whatsoever, except (i) the lien of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Company's business operations (in the manner presently carried on by the Company) or (iii) as disclosed in the Company SEC Reports, and except for such matters which, singly or in the aggregate, could not reasonably be expected to materially and adversely affect the business, operations, properties, assets, condition (financial or other) or results of operations of the Company and its subsidiaries, taken as a whole. All leases under which the Company leases any substantial amount of real or personal property have been delivered to Parent and are in good standing, valid and effective in accordance with their respective terms, and there is not, under any of such leases, any existing default or event which with notice or lapse of time or both would become a default other than defaults under such leases which in the aggregate will not materially and adversely affect the condition of the Company.</w:t>
      </w:r>
    </w:p>
    <w:p>
      <w:pPr>
        <w:spacing w:after="0" w:line="347" w:lineRule="exact"/>
        <w:rPr>
          <w:sz w:val="20"/>
          <w:szCs w:val="20"/>
          <w:color w:val="auto"/>
        </w:rPr>
      </w:pPr>
    </w:p>
    <w:p>
      <w:pPr>
        <w:ind w:right="3259" w:firstLine="793"/>
        <w:spacing w:after="0" w:line="258" w:lineRule="auto"/>
        <w:rPr>
          <w:sz w:val="20"/>
          <w:szCs w:val="20"/>
          <w:color w:val="auto"/>
        </w:rPr>
      </w:pPr>
      <w:r>
        <w:rPr>
          <w:rFonts w:ascii="Courier New" w:cs="Courier New" w:eastAsia="Courier New" w:hAnsi="Courier New"/>
          <w:sz w:val="14"/>
          <w:szCs w:val="14"/>
          <w:color w:val="auto"/>
        </w:rPr>
        <w:t>SECTION 5.18. POOLING OF INTERESTS. Neither the Company nor, to the knowledge of the Company, any of its affiliates has taken or agreed to take any action that would prevent the Merger from (a) constituting a reorganization qualifying under the provisions of Section 368(a) of the Code or (b) being treated for financial accounting purposes as a Pooling Transaction.</w:t>
      </w:r>
    </w:p>
    <w:p>
      <w:pPr>
        <w:spacing w:after="0" w:line="16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5.19. COMPANY STOCKHOLDERS' APPROVAL. The affirmative vote of stockholders of the Company required for approval and adoption of this Agreement and the Merger is (i) a majority of the shares of Company Common Stock present in person or by proxy at a meeting of such stockholders and entitled to vote thereat.</w:t>
      </w:r>
    </w:p>
    <w:p>
      <w:pPr>
        <w:spacing w:after="0" w:line="17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5.20. BROKERS AND FINDERS. Except for the fees and expenses payable to Merrill Lynch, Pierce, Fenner &amp; Smith Incorporated ("Merrill"), which fees are reflected in its agreement with the Company (a copy of which has been delivered to Parent), the Company has not entered into any contract, arrangement or understanding with any person or firm which may result in the obligation of the Company to pay any finder's fees, brokerage or agent commissions or other like payments in connection with the transactions contemplated hereby. Except for the fees and expenses paid or payable to Merrill, there is no claim for payment by the Company of any investment banking fees, finder's fees, brokerage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20</w:t>
      </w:r>
    </w:p>
    <w:p>
      <w:pPr>
        <w:sectPr>
          <w:pgSz w:w="11900" w:h="16838" w:orient="portrait"/>
          <w:cols w:equalWidth="0" w:num="1">
            <w:col w:w="10219"/>
          </w:cols>
          <w:pgMar w:left="240" w:top="283"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22</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or agent commissions or other like payments in connection with the negotiations leading to this Agreement or the consummation of the transactions contemplated hereby.</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5.21. OPINION OF FINANCIAL ADVISOR. The financial advisor of the Company, Merrill, has rendered a written opinion to the Company to the effect that the Exchange Ratio is fair from a financial point of view to the shareholders of the Company (other than Parent and its affiliates).</w:t>
      </w:r>
    </w:p>
    <w:p>
      <w:pPr>
        <w:spacing w:after="0" w:line="34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VI</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CONDUCT OF BUSINESS PENDING THE MERGER</w:t>
      </w:r>
    </w:p>
    <w:p>
      <w:pPr>
        <w:spacing w:after="0" w:line="175"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SECTION 6.1. CONDUCT OF BUSINESS BY THE COMPANY PENDING THE MERGER. Except as otherwise contemplated by this Agreement or disclosed in Section 6.1 of the Company Disclosure Schedule, after the date hereof and prior to the Closing Date or earlier termination of this Agreement, unless Parent shall otherwise agree in writing, the Company shall, and shall cause its subsidiaries, to:</w:t>
      </w:r>
    </w:p>
    <w:p>
      <w:pPr>
        <w:spacing w:after="0" w:line="176" w:lineRule="exact"/>
        <w:rPr>
          <w:sz w:val="20"/>
          <w:szCs w:val="20"/>
          <w:color w:val="auto"/>
        </w:rPr>
      </w:pPr>
    </w:p>
    <w:p>
      <w:pPr>
        <w:ind w:left="780" w:right="3359" w:firstLine="356"/>
        <w:spacing w:after="0" w:line="235" w:lineRule="auto"/>
        <w:tabs>
          <w:tab w:leader="none" w:pos="148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their respective businesses in the ordinary and usual course of business and consistent with past practice;</w:t>
      </w:r>
    </w:p>
    <w:p>
      <w:pPr>
        <w:spacing w:after="0" w:line="175" w:lineRule="exact"/>
        <w:rPr>
          <w:rFonts w:ascii="Courier New" w:cs="Courier New" w:eastAsia="Courier New" w:hAnsi="Courier New"/>
          <w:sz w:val="15"/>
          <w:szCs w:val="15"/>
          <w:color w:val="auto"/>
        </w:rPr>
      </w:pPr>
    </w:p>
    <w:p>
      <w:pPr>
        <w:ind w:left="780" w:right="3259" w:firstLine="356"/>
        <w:spacing w:after="0" w:line="238" w:lineRule="auto"/>
        <w:tabs>
          <w:tab w:leader="none" w:pos="148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 amend or propose to amend their respective charters or by-laws, (ii) split, combine or reclassify their outstanding capital stock or (iii) declare, set aside or pay any dividend or distribution payable in cash, stock, property or otherwise, except for the payment of dividends or distributions by a wholly-owned subsidiary of the Company;</w:t>
      </w:r>
    </w:p>
    <w:p>
      <w:pPr>
        <w:spacing w:after="0" w:line="175" w:lineRule="exact"/>
        <w:rPr>
          <w:rFonts w:ascii="Courier New" w:cs="Courier New" w:eastAsia="Courier New" w:hAnsi="Courier New"/>
          <w:sz w:val="15"/>
          <w:szCs w:val="15"/>
          <w:color w:val="auto"/>
        </w:rPr>
      </w:pPr>
    </w:p>
    <w:p>
      <w:pPr>
        <w:ind w:left="780" w:right="3259" w:firstLine="356"/>
        <w:spacing w:after="0" w:line="238" w:lineRule="auto"/>
        <w:tabs>
          <w:tab w:leader="none" w:pos="148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Company may issue shares upon conversion of convertible securities and exercise of options outstanding on the date hereof and (ii) Company may issue shares and warrants to acquire shares pursuant to the proviso of Section 6.1(d) below;</w:t>
      </w:r>
    </w:p>
    <w:p>
      <w:pPr>
        <w:spacing w:after="0" w:line="178" w:lineRule="exact"/>
        <w:rPr>
          <w:rFonts w:ascii="Courier New" w:cs="Courier New" w:eastAsia="Courier New" w:hAnsi="Courier New"/>
          <w:sz w:val="15"/>
          <w:szCs w:val="15"/>
          <w:color w:val="auto"/>
        </w:rPr>
      </w:pPr>
    </w:p>
    <w:p>
      <w:pPr>
        <w:ind w:left="780" w:right="3259" w:firstLine="356"/>
        <w:spacing w:after="0" w:line="256" w:lineRule="auto"/>
        <w:tabs>
          <w:tab w:leader="none" w:pos="1485"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(i) incur or become contingently liable with respect to any indebtedness for borrowed money other than (A) borrowings in the ordinary course of business or (B) borrowings to refinance existing indebtedness on terms which are reasonably acceptable to Parent or (C) except as set forth in this Section 6.1(d), (ii) redeem, purchase, acquire or offer to purchase or acquire any shares of its capital stock or any options, warrants or rights to acquire any of its capital stock or any security convertible into or exchangeable for its capital stock, (iii) take any action which would jeopardize the treatment of the Merger as a pooling of interests under Opinion No. 16 of the Accounting Principles Board ("APB No. 16"), (iv) take or fail to take any action which action or failure to take action would cause the Company or its stockholders (except to the extent that any stockholders receive cash in lieu of fractional shares) to recognize gain or loss for federal income tax purposes as a result of the consummation of the Merger, (v) make any acquisition of any assets or businesses other than expenditures for fixed or capital assets in the ordinary course of business and consistent with the Company's capital budget disclosed in Section 6.1 of the Company Disclosure Schedule and other than as set forth in the proviso in this Section 6.1(d), (vi) sell, pledge, dispose of or encumber any assets or businesses other than sales in the ordinary course of business or (vii) enter into any contract, agreement, commitment or arrangement with respect to any of the foregoing; provided, however, notwithstanding the foregoing, the Company shall not be prohibited from acquiring any assets or businesses or issuing capital stock (or warrants or options to acquire capital stock) or incurring or assuming indebtedness in connection with such acquisitions so long as (x) the aggregate value of consideration paid or payable in connection with all such acquisitions, including any funded indebtedness assumed and any Company Common Stock does not exceed $40 million, (y) the aggregate value of consideration paid or payable for</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Page 21</w:t>
      </w:r>
    </w:p>
    <w:p>
      <w:pPr>
        <w:sectPr>
          <w:pgSz w:w="11900" w:h="16838" w:orient="portrait"/>
          <w:cols w:equalWidth="0" w:num="1">
            <w:col w:w="10219"/>
          </w:cols>
          <w:pgMar w:left="240" w:top="283" w:right="1440" w:bottom="1440" w:gutter="0" w:footer="0" w:header="0"/>
          <w:type w:val="continuous"/>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23</w:t>
      </w:r>
    </w:p>
    <w:p>
      <w:pPr>
        <w:spacing w:after="0" w:line="5" w:lineRule="exact"/>
        <w:rPr>
          <w:sz w:val="20"/>
          <w:szCs w:val="20"/>
          <w:color w:val="auto"/>
        </w:rPr>
      </w:pPr>
    </w:p>
    <w:p>
      <w:pPr>
        <w:ind w:left="780" w:right="3259"/>
        <w:spacing w:after="0" w:line="237" w:lineRule="auto"/>
        <w:rPr>
          <w:sz w:val="20"/>
          <w:szCs w:val="20"/>
          <w:color w:val="auto"/>
        </w:rPr>
      </w:pPr>
      <w:r>
        <w:rPr>
          <w:rFonts w:ascii="Courier New" w:cs="Courier New" w:eastAsia="Courier New" w:hAnsi="Courier New"/>
          <w:sz w:val="15"/>
          <w:szCs w:val="15"/>
          <w:color w:val="auto"/>
        </w:rPr>
        <w:t>any one such acquisition does not exceed $10 million, including any indebtedness assumed and any Common Common Stock issued or issuable and (z) the Company will not acquire or agree to acquire any assets or business if such acquisition or agreement may reasonably be expected to delay the consummation of the Merger;</w:t>
      </w:r>
    </w:p>
    <w:p>
      <w:pPr>
        <w:spacing w:after="0" w:line="348" w:lineRule="exact"/>
        <w:rPr>
          <w:sz w:val="20"/>
          <w:szCs w:val="20"/>
          <w:color w:val="auto"/>
        </w:rPr>
      </w:pPr>
    </w:p>
    <w:p>
      <w:pPr>
        <w:ind w:left="780" w:right="3439" w:firstLine="356"/>
        <w:spacing w:after="0" w:line="257" w:lineRule="auto"/>
        <w:tabs>
          <w:tab w:leader="none" w:pos="2014"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this Agreement;</w:t>
      </w:r>
    </w:p>
    <w:p>
      <w:pPr>
        <w:spacing w:after="0" w:line="167" w:lineRule="exact"/>
        <w:rPr>
          <w:rFonts w:ascii="Courier New" w:cs="Courier New" w:eastAsia="Courier New" w:hAnsi="Courier New"/>
          <w:sz w:val="14"/>
          <w:szCs w:val="14"/>
          <w:color w:val="auto"/>
        </w:rPr>
      </w:pPr>
    </w:p>
    <w:p>
      <w:pPr>
        <w:ind w:left="780" w:right="3259" w:firstLine="356"/>
        <w:spacing w:after="0" w:line="237" w:lineRule="auto"/>
        <w:tabs>
          <w:tab w:leader="none" w:pos="2014"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restrictions imposed by applicable law, confer on a regular and frequent basis with one or more representatives of Parent to report operational matters of materiality and the general status of ongoing operations;</w:t>
      </w:r>
    </w:p>
    <w:p>
      <w:pPr>
        <w:spacing w:after="0" w:line="176" w:lineRule="exact"/>
        <w:rPr>
          <w:rFonts w:ascii="Courier New" w:cs="Courier New" w:eastAsia="Courier New" w:hAnsi="Courier New"/>
          <w:sz w:val="15"/>
          <w:szCs w:val="15"/>
          <w:color w:val="auto"/>
        </w:rPr>
      </w:pPr>
    </w:p>
    <w:p>
      <w:pPr>
        <w:ind w:left="780" w:right="3359" w:firstLine="356"/>
        <w:spacing w:after="0" w:line="238" w:lineRule="auto"/>
        <w:tabs>
          <w:tab w:leader="none" w:pos="2014"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the Company and its subsidiaries shall in no event enter into any written employment agreement;</w:t>
      </w:r>
    </w:p>
    <w:p>
      <w:pPr>
        <w:spacing w:after="0" w:line="176" w:lineRule="exact"/>
        <w:rPr>
          <w:rFonts w:ascii="Courier New" w:cs="Courier New" w:eastAsia="Courier New" w:hAnsi="Courier New"/>
          <w:sz w:val="15"/>
          <w:szCs w:val="15"/>
          <w:color w:val="auto"/>
        </w:rPr>
      </w:pPr>
    </w:p>
    <w:p>
      <w:pPr>
        <w:ind w:left="780" w:right="3359" w:firstLine="356"/>
        <w:spacing w:after="0" w:line="238" w:lineRule="auto"/>
        <w:tabs>
          <w:tab w:leader="none" w:pos="2014"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adopt, enter into or amend any bonus, profit sharing, compensation, stock option, pension, retirement, deferred compensation, health care, employment or other employee benefit plan, agreement, trust, fund or arrangement for the benefit or welfare of any employee or retiree, except as required to comply with changes in applicable law; and</w:t>
      </w:r>
    </w:p>
    <w:p>
      <w:pPr>
        <w:spacing w:after="0" w:line="175" w:lineRule="exact"/>
        <w:rPr>
          <w:rFonts w:ascii="Courier New" w:cs="Courier New" w:eastAsia="Courier New" w:hAnsi="Courier New"/>
          <w:sz w:val="15"/>
          <w:szCs w:val="15"/>
          <w:color w:val="auto"/>
        </w:rPr>
      </w:pPr>
    </w:p>
    <w:p>
      <w:pPr>
        <w:ind w:left="780" w:right="3359" w:firstLine="356"/>
        <w:spacing w:after="0" w:line="237" w:lineRule="auto"/>
        <w:tabs>
          <w:tab w:leader="none" w:pos="2014"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commercially reasonable efforts to maintain with financially responsible insurance companies insurance on its tangible assets and its businesses in such amounts and against such risks and losses as are consistent with past practice.</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6.2. CONDUCT OF BUSINESS BY PARENT AND SUBSIDIARY PENDING THE MERGER. Except as otherwise contemplated by this Agreement, after the date hereof and prior to the Closing Date or earlier termination of this Agreement, unless the Company shall otherwise agree in writing, Parent shall, and shall cause its subsidiaries, to:</w:t>
      </w:r>
    </w:p>
    <w:p>
      <w:pPr>
        <w:spacing w:after="0" w:line="178" w:lineRule="exact"/>
        <w:rPr>
          <w:sz w:val="20"/>
          <w:szCs w:val="20"/>
          <w:color w:val="auto"/>
        </w:rPr>
      </w:pPr>
    </w:p>
    <w:p>
      <w:pPr>
        <w:ind w:left="780" w:right="3359" w:firstLine="356"/>
        <w:spacing w:after="0" w:line="235" w:lineRule="auto"/>
        <w:tabs>
          <w:tab w:leader="none" w:pos="2014"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their respective businesses in the ordinary and usual course of business and consistent with past practice;</w:t>
      </w:r>
    </w:p>
    <w:p>
      <w:pPr>
        <w:spacing w:after="0" w:line="175" w:lineRule="exact"/>
        <w:rPr>
          <w:rFonts w:ascii="Courier New" w:cs="Courier New" w:eastAsia="Courier New" w:hAnsi="Courier New"/>
          <w:sz w:val="15"/>
          <w:szCs w:val="15"/>
          <w:color w:val="auto"/>
        </w:rPr>
      </w:pPr>
    </w:p>
    <w:p>
      <w:pPr>
        <w:ind w:left="780" w:right="3259" w:firstLine="356"/>
        <w:spacing w:after="0" w:line="238" w:lineRule="auto"/>
        <w:tabs>
          <w:tab w:leader="none" w:pos="2014"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 amend or propose to amend their respective charters or by-laws, (ii) split, combine or reclassify (whether by stock dividend or otherwise) their outstanding capital stock, or (iii) declare, set aside or pay any dividend or distribution payable in cash, stock, property or otherwise, except for the payment of dividends or distributions by a wholly-owned subsidiary of Parent;</w:t>
      </w:r>
    </w:p>
    <w:p>
      <w:pPr>
        <w:spacing w:after="0" w:line="175" w:lineRule="exact"/>
        <w:rPr>
          <w:rFonts w:ascii="Courier New" w:cs="Courier New" w:eastAsia="Courier New" w:hAnsi="Courier New"/>
          <w:sz w:val="15"/>
          <w:szCs w:val="15"/>
          <w:color w:val="auto"/>
        </w:rPr>
      </w:pPr>
    </w:p>
    <w:p>
      <w:pPr>
        <w:ind w:left="780" w:right="3259" w:firstLine="356"/>
        <w:spacing w:after="0" w:line="238" w:lineRule="auto"/>
        <w:tabs>
          <w:tab w:leader="none" w:pos="148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Parent may issue shares upon conversion of convertible securities and exercise of options outstanding on the date hereof, (ii) Parent may issue options (and shares upon exercise of such options) pursuant to its employee stock option plans in effect on the date hereof in the ordinary course of business and consistent with past practices and (iii) Parent may issue shares and warrants to acquire shares pursuant to the proviso of Section 6.2(d)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22</w:t>
      </w:r>
    </w:p>
    <w:p>
      <w:pPr>
        <w:sectPr>
          <w:pgSz w:w="11900" w:h="16838" w:orient="portrait"/>
          <w:cols w:equalWidth="0" w:num="1">
            <w:col w:w="10219"/>
          </w:cols>
          <w:pgMar w:left="240" w:top="283"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24</w:t>
      </w:r>
    </w:p>
    <w:p>
      <w:pPr>
        <w:spacing w:after="0" w:line="5" w:lineRule="exact"/>
        <w:rPr>
          <w:sz w:val="20"/>
          <w:szCs w:val="20"/>
          <w:color w:val="auto"/>
        </w:rPr>
      </w:pPr>
    </w:p>
    <w:p>
      <w:pPr>
        <w:ind w:left="1140" w:right="3259" w:firstLine="349"/>
        <w:spacing w:after="0" w:line="256" w:lineRule="auto"/>
        <w:tabs>
          <w:tab w:leader="none" w:pos="1845"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incur or become contingently liable with respect to any indebtedness for borrowed money other than (A) borrowings in the ordinary course of business, (B) borrowings to refinance existing indebtedness on terms which are reasonably acceptable to the Company, or (C) as set forth in Section 6.2(d) below, (ii) redeem, purchase, acquire or offer to purchase or acquire any shares of its capital stock or any options, warrants or rights to acquire any of its capital stock or any security convertible into or exchangeable for its capital stock, (iii) not (A) take any action which would jeopardize the treatment of the Merger as a pooling of interests under APB No. 16, or (B) take or fail to take any action which action or failure to take action would cause Parent or its stockholders (except to the extent that any stockholders receive cash in lieu of fractional shares) to recognize gain or loss for federal income tax purposes as a result of the consummation of the Merger, (iv) make any acquisition of any assets or businesses other than as set forth in the proviso of this Section 6.2(d), (v) sell, pledge, dispose of or encumber any assets or businesses other than sales in the ordinary course of business or (vi) enter into any contract, agreement, commitment or arrangement with respect to any of the foregoing; provided, however, notwithstanding the foregoing, Parent shall not be prohibited from acquiring any assets or businesses or issuing capital stock (or warrants or options to acquire capital stock) or incurring or assuming indebtedness in connection with such acquisitions so long as (w) the number of shares of Parent Common Stock issued or issuable in connection with such transactions does not exceed 6.0 million shares, (x) the aggregate value of consideration paid or payable in connection with all such acquisitions, including any funded indebtedness assumed and any Parent Common Stock (valued for purposes of this limitation at $20 per share) does not exceed $120 million, (y) the aggregate value of consideration paid or payable for any one such acquisition does not exceed $25 million, including any indebtedness assumed and any Parent Common Stock issued or issuable (valued for purposes of this limitation at $20 per share) and (z) the Parent will not acquire or agree to acquire any assets or business is such acquisition or agreement may reasonably be expected to delay the consummation of the Merger;</w:t>
      </w:r>
    </w:p>
    <w:p>
      <w:pPr>
        <w:spacing w:after="0" w:line="200" w:lineRule="exact"/>
        <w:rPr>
          <w:rFonts w:ascii="Courier New" w:cs="Courier New" w:eastAsia="Courier New" w:hAnsi="Courier New"/>
          <w:sz w:val="14"/>
          <w:szCs w:val="14"/>
          <w:color w:val="auto"/>
        </w:rPr>
      </w:pPr>
    </w:p>
    <w:p>
      <w:pPr>
        <w:spacing w:after="0" w:line="320" w:lineRule="exact"/>
        <w:rPr>
          <w:rFonts w:ascii="Courier New" w:cs="Courier New" w:eastAsia="Courier New" w:hAnsi="Courier New"/>
          <w:sz w:val="14"/>
          <w:szCs w:val="14"/>
          <w:color w:val="auto"/>
        </w:rPr>
      </w:pPr>
    </w:p>
    <w:p>
      <w:pPr>
        <w:ind w:left="1140" w:right="3259" w:firstLine="349"/>
        <w:spacing w:after="0" w:line="238" w:lineRule="auto"/>
        <w:tabs>
          <w:tab w:leader="none" w:pos="2374"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this Agreement;</w:t>
      </w:r>
    </w:p>
    <w:p>
      <w:pPr>
        <w:spacing w:after="0" w:line="177" w:lineRule="exact"/>
        <w:rPr>
          <w:rFonts w:ascii="Courier New" w:cs="Courier New" w:eastAsia="Courier New" w:hAnsi="Courier New"/>
          <w:sz w:val="15"/>
          <w:szCs w:val="15"/>
          <w:color w:val="auto"/>
        </w:rPr>
      </w:pPr>
    </w:p>
    <w:p>
      <w:pPr>
        <w:ind w:left="1140" w:right="3439" w:firstLine="349"/>
        <w:spacing w:after="0" w:line="259" w:lineRule="auto"/>
        <w:tabs>
          <w:tab w:leader="none" w:pos="2374"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restrictions imposed by applicable law, confer on a regular and frequent basis with one or more representatives of the Company to report operational matters of materiality and the general status of ongoing operations; and</w:t>
      </w:r>
    </w:p>
    <w:p>
      <w:pPr>
        <w:spacing w:after="0" w:line="162" w:lineRule="exact"/>
        <w:rPr>
          <w:rFonts w:ascii="Courier New" w:cs="Courier New" w:eastAsia="Courier New" w:hAnsi="Courier New"/>
          <w:sz w:val="14"/>
          <w:szCs w:val="14"/>
          <w:color w:val="auto"/>
        </w:rPr>
      </w:pPr>
    </w:p>
    <w:p>
      <w:pPr>
        <w:ind w:left="1140" w:right="3259" w:firstLine="349"/>
        <w:spacing w:after="0" w:line="259" w:lineRule="auto"/>
        <w:tabs>
          <w:tab w:leader="none" w:pos="2374"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commercially reasonable efforts to maintain with financially responsible insurance companies insurance on its tangible assets and its businesses in such amounts and against such risks and losses as are consistent with past practice.</w:t>
      </w:r>
    </w:p>
    <w:p>
      <w:pPr>
        <w:spacing w:after="0" w:line="163"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SECTION 6.3. CONTROL OF THE COMPANY'S OPERATIONS. Nothing contained in this Agreement shall give to Parent, directly or indirectly, rights to control or direct the Company's operations prior to the Effective Time. Prior to the Effective Time, the Company shall exercise, consistent with the terms and conditions of this Agreement, complete control and supervision of its operations.</w:t>
      </w:r>
    </w:p>
    <w:p>
      <w:pPr>
        <w:spacing w:after="0" w:line="176" w:lineRule="exact"/>
        <w:rPr>
          <w:sz w:val="20"/>
          <w:szCs w:val="20"/>
          <w:color w:val="auto"/>
        </w:rPr>
      </w:pPr>
    </w:p>
    <w:p>
      <w:pPr>
        <w:ind w:right="3539" w:firstLine="793"/>
        <w:spacing w:after="0" w:line="238" w:lineRule="auto"/>
        <w:rPr>
          <w:sz w:val="20"/>
          <w:szCs w:val="20"/>
          <w:color w:val="auto"/>
        </w:rPr>
      </w:pPr>
      <w:r>
        <w:rPr>
          <w:rFonts w:ascii="Courier New" w:cs="Courier New" w:eastAsia="Courier New" w:hAnsi="Courier New"/>
          <w:sz w:val="15"/>
          <w:szCs w:val="15"/>
          <w:color w:val="auto"/>
        </w:rPr>
        <w:t>SECTION 6.4. CONTROL OF PARENT'S OPERATIONS. Nothing contained in this Agreement shall give to the Company, directly or indirectly, rights to control or direct Parent's operations prior to the Effective Time. Prior to the Effective Time, Parent shall exercise, consistent with the terms and conditions of this Agreement, complete control and supervision of its operations.</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Page 23</w:t>
      </w:r>
    </w:p>
    <w:p>
      <w:pPr>
        <w:sectPr>
          <w:pgSz w:w="11900" w:h="16838" w:orient="portrait"/>
          <w:cols w:equalWidth="0" w:num="1">
            <w:col w:w="10219"/>
          </w:cols>
          <w:pgMar w:left="240" w:top="283" w:right="1440" w:bottom="1440" w:gutter="0" w:footer="0" w:header="0"/>
          <w:type w:val="continuous"/>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25</w:t>
      </w:r>
    </w:p>
    <w:p>
      <w:pPr>
        <w:spacing w:after="0" w:line="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6.5. ACQUISITION TRANSACTIONS. (a) After the date hereof and prior to the Effective Time or earlier termination of this Agreement, the Company shall not, and shall not permit any of its subsidiaries to, initiate, solicit, negotiate, encourage or provide confidential information to facilitate, and the Company shall, and shall cause each of its subsidiaries to, cause any officer, director or employee of, or any attorney, accountant, investment banker, financial advisor or other agent retained by it, not to initiate, solicit, negotiate, encourage or provide non-public or confidential information to facilitate, any proposal or offer to acquire all or any substantial part of the business and properties of the Company or any capital stock of the Company, whether by merger, purchase of assets, tender offer or otherwise, whether for cash, securities or any other consideration or combination thereof (any such transactions being referred to herein as "Acquisition Transactions").</w:t>
      </w:r>
    </w:p>
    <w:p>
      <w:pPr>
        <w:spacing w:after="0" w:line="184" w:lineRule="exact"/>
        <w:rPr>
          <w:sz w:val="20"/>
          <w:szCs w:val="20"/>
          <w:color w:val="auto"/>
        </w:rPr>
      </w:pPr>
    </w:p>
    <w:p>
      <w:pPr>
        <w:ind w:right="3259" w:firstLine="784"/>
        <w:spacing w:after="0" w:line="257" w:lineRule="auto"/>
        <w:tabs>
          <w:tab w:leader="none" w:pos="1498"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paragraph (a) above, the Company may, in response to an unsolicited written proposal with respect to an Acquisition Transaction ("Acquisition Proposal"), furnish (subject to the execution of a confidentiality agreement and standstill agreement containing provisions substantially similar to the confidentiality and standstill provisions of the Confidentiality Agreement, as hereinafter defined) confidential or non- public information concerning its business, properties or assets to a financially capable corporation, partnership, person or other entity or group (a "Potential Acquirer") and negotiate with such Potential Acquirer if (i) the Board of Directors of the Company after consulting with one or more of its independent financial advisors, concludes that such Acquisition Proposal (if consummated pursuant to its terms) would result in a transaction more favorable to the Company's stockholders than the Merger and (ii) based upon advice of its outside legal counsel, its board of directors determines in good faith that the failure to provide such confidential or non-public information to such Potential Acquirer would constitute a breach of its fiduciary duty to its stockholders (any such Acquisition Proposal meeting the conditions of clauses (i) and (ii) being referred to as a "Superior Proposal.")</w:t>
      </w:r>
    </w:p>
    <w:p>
      <w:pPr>
        <w:spacing w:after="0" w:line="163" w:lineRule="exact"/>
        <w:rPr>
          <w:rFonts w:ascii="Courier New" w:cs="Courier New" w:eastAsia="Courier New" w:hAnsi="Courier New"/>
          <w:sz w:val="14"/>
          <w:szCs w:val="14"/>
          <w:color w:val="auto"/>
        </w:rPr>
      </w:pPr>
    </w:p>
    <w:p>
      <w:pPr>
        <w:ind w:right="3259" w:firstLine="784"/>
        <w:spacing w:after="0" w:line="238" w:lineRule="auto"/>
        <w:tabs>
          <w:tab w:leader="none" w:pos="114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immediately notify Parent after receipt of any Acquisition Proposal or any request for nonpublic information relating to the Company or its subsidiaries in connection with an Acquisition Proposal or for access to the properties, books or records of the Company or any subsidiary by any person or entity that informs the Board of Directors of the Company or such subsidiary that it is considering making, or has made, an Acquisition Proposal. Such notice to Parent shall be made orally and in writing and shall indicate in reasonable detail the identity of the offeror and the terms and conditions of such proposal, inquiry or contact.</w:t>
      </w:r>
    </w:p>
    <w:p>
      <w:pPr>
        <w:spacing w:after="0" w:line="34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VII</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ADDITIONAL AGREEMENTS</w:t>
      </w:r>
    </w:p>
    <w:p>
      <w:pPr>
        <w:spacing w:after="0" w:line="175" w:lineRule="exact"/>
        <w:rPr>
          <w:sz w:val="20"/>
          <w:szCs w:val="20"/>
          <w:color w:val="auto"/>
        </w:rPr>
      </w:pPr>
    </w:p>
    <w:p>
      <w:pPr>
        <w:ind w:right="3259" w:firstLine="793"/>
        <w:spacing w:after="0" w:line="256" w:lineRule="auto"/>
        <w:rPr>
          <w:sz w:val="20"/>
          <w:szCs w:val="20"/>
          <w:color w:val="auto"/>
        </w:rPr>
      </w:pPr>
      <w:r>
        <w:rPr>
          <w:rFonts w:ascii="Courier New" w:cs="Courier New" w:eastAsia="Courier New" w:hAnsi="Courier New"/>
          <w:sz w:val="14"/>
          <w:szCs w:val="14"/>
          <w:color w:val="auto"/>
        </w:rPr>
        <w:t>SECTION 7.1. ACCESS TO INFORMATION. (a) The Company and its subsidiaries shall afford to Parent and Subsidiary and their respective accountants, counsel, financial advisors and other representatives (the "Parent Representatives") and Parent and its subsidiaries shall afford to the Company and its accountants, counsel, financial advisors and other representatives (the "Company Representatives") full access during normal business hours throughout the period prior to the Effective Time to all of their respective properties, books, contracts, commitments and records (including, but not limited to, Tax Returns) and, during such period, shall furnish promptly to one another (i) a copy of each report, schedule and other document filed or received by any of them pursuant to the requirements of federal or state securities laws or filed by any of them with the SEC in connection with the transactions contemplated by this Agreement or which may have a material effect on their respective businesses, properties or personnel and (ii) such other information concerning their respective businesses, properties and personnel as Parent or Subsidiary or the Company, as the case may be, shall reasonably request; provided that no investigation pursuant to this Section 7.1 shall amend or modify any representations or warranties made herein or the conditions to the obligations of the respective parties to consummate the Merger. Parent and its subsidiaries shall hold and shall use their reasonable best efforts to cause the Parent Representatives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24</w:t>
      </w:r>
    </w:p>
    <w:p>
      <w:pPr>
        <w:sectPr>
          <w:pgSz w:w="11900" w:h="16838" w:orient="portrait"/>
          <w:cols w:equalWidth="0" w:num="1">
            <w:col w:w="10219"/>
          </w:cols>
          <w:pgMar w:left="240" w:top="283"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26</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hold, and the Company and its subsidiaries shall hold and shall use their reasonable best efforts to cause the Company Representatives to hold, in strict confidence all non-public documents and information furnished to Parent and Subsidiary or to the Company, as the case may be, in connection with the transactions contemplated by this Agreement, except that (i) Parent, Subsidiary and the Company may disclose such information as may be necessary in connection with seeking the Parent Required Statutory Approvals and Parent Stockholders' Approval, the Company Required Statutory Approvals and the Company Stockholders' Approval and (ii) each of Parent, Subsidiary and the Company may disclose any information that it is required by law or judicial or administrative order to disclose.</w:t>
      </w:r>
    </w:p>
    <w:p>
      <w:pPr>
        <w:spacing w:after="0" w:line="181" w:lineRule="exact"/>
        <w:rPr>
          <w:sz w:val="20"/>
          <w:szCs w:val="20"/>
          <w:color w:val="auto"/>
        </w:rPr>
      </w:pPr>
    </w:p>
    <w:p>
      <w:pPr>
        <w:ind w:right="3259" w:firstLine="784"/>
        <w:spacing w:after="0" w:line="238" w:lineRule="auto"/>
        <w:tabs>
          <w:tab w:leader="none" w:pos="149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this Agreement is terminated in accordance with its terms, each party shall promptly redeliver to the other all non-public written material provided pursuant to this Section 7.1 and shall not retain any copies, extracts or other reproductions in whole or in part of such written material. In such event, all documents, memoranda, notes and other writings prepared by Parent or the Company based on the information in such material shall be destroyed (and Parent and the Company shall use their respective reasonable best efforts to cause their advisors and representatives to similarly destroy their documents, memoranda and notes), and such destruction (and reasonable best efforts) shall be certified in writing by an authorized officer supervising such destruction.</w:t>
      </w:r>
    </w:p>
    <w:p>
      <w:pPr>
        <w:spacing w:after="0" w:line="180" w:lineRule="exact"/>
        <w:rPr>
          <w:rFonts w:ascii="Courier New" w:cs="Courier New" w:eastAsia="Courier New" w:hAnsi="Courier New"/>
          <w:sz w:val="15"/>
          <w:szCs w:val="15"/>
          <w:color w:val="auto"/>
        </w:rPr>
      </w:pPr>
    </w:p>
    <w:p>
      <w:pPr>
        <w:ind w:right="3259" w:firstLine="784"/>
        <w:spacing w:after="0" w:line="238" w:lineRule="auto"/>
        <w:tabs>
          <w:tab w:leader="none" w:pos="149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promptly advise Parent and Parent shall promptly advise the Company in writing of any change or the occurrence of any event after the date of this Agreement having, or which, insofar as can reasonably be foreseen, in the future may have, any material adverse effect on the business, operations, properties, assets, condition (financial or other) or results of operations of the Company and its subsidiaries or Parent and its subsidiaries, as the case may be, taken as a whole.</w:t>
      </w:r>
    </w:p>
    <w:p>
      <w:pPr>
        <w:spacing w:after="0" w:line="177"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7.2. REGISTRATION STATEMENT AND PROXY STATEMENT. Parent and the Company shall file with the SEC as soon as is reasonably practicable after the date hereof the Joint Proxy Statement/Prospectus and shall use all reasonable efforts to have the Registration Statement declared effective by the SEC as promptly as practicable. Parent shall also take any action required to be taken under applicable state blue sky or securities laws in connection with the issuance of Parent Common Stock pursuant hereto. Parent and the Company shall promptly furnish to each other all information, and take such other actions, as may reasonably be requested in connection with any action by any of them in connection with the preceding sentence. The information provided and to be provided by Parent and the Company, respectively, for use in the Joint Proxy Statement/Prospectus shall be true and correct in all material respects without omission of any material fact which is required to make such information not false or misleading as of the date thereof and in light of the circumstances under which given or made.</w:t>
      </w:r>
    </w:p>
    <w:p>
      <w:pPr>
        <w:spacing w:after="0" w:line="18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7.3. STOCKHOLDERS' APPROVALS. (a) The Company shall, as promptly as practicable, submit this Agreement and the transactions contemplated hereby for the approval of its stockholders at a meeting of stockholders and, subject to the fiduciary duties of the Board of Directors of the Company under applicable law, shall use its reasonable best efforts to obtain stockholder approval and adoption (the "Company Stockholders' Approval") of this Agreement and the transactions contemplated hereby. Such meeting of stockholders shall be held as soon as practicable following the date upon which the Registration Statement becomes effective. Subject to the fiduciary duties of the Board of Directors of the Company under applicable law, the Company shall, through its Board of Directors, recommend to its stockholders approval of the transactions contemplated by this Agreement.</w:t>
      </w:r>
    </w:p>
    <w:p>
      <w:pPr>
        <w:spacing w:after="0" w:line="182" w:lineRule="exact"/>
        <w:rPr>
          <w:sz w:val="20"/>
          <w:szCs w:val="20"/>
          <w:color w:val="auto"/>
        </w:rPr>
      </w:pPr>
    </w:p>
    <w:p>
      <w:pPr>
        <w:ind w:right="3359" w:firstLine="784"/>
        <w:spacing w:after="0" w:line="238" w:lineRule="auto"/>
        <w:tabs>
          <w:tab w:leader="none" w:pos="149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as promptly as practicable, submit this Agreement and the transactions contemplated hereby for the approval of its stockholders at a meeting of stockholders and, subject to the fiduciary duties of the Board of Directors of Parent under applicable law, shall use its reasonable best efforts to obtain stockholder approval and adoption (the "Parent Stockholders' Approval") of this Agreement and the transactions contemplated hereby. Such meeting of stockholders shall be held as soon as practicable following the date on which the Registration Statement becomes effective. Parent shall, through its Board of Directors, but subject to the fiduciary duties of the members thereof, (i) recommend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25</w:t>
      </w:r>
    </w:p>
    <w:p>
      <w:pPr>
        <w:sectPr>
          <w:pgSz w:w="11900" w:h="16838" w:orient="portrait"/>
          <w:cols w:equalWidth="0" w:num="1">
            <w:col w:w="10219"/>
          </w:cols>
          <w:pgMar w:left="240" w:top="283"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27</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to its stockholders approval of the transactions contemplated by this Agreement and (ii) authorize and cause an officer of Parent to vote Parent's shares of Subsidiary Common Stock for adoption and approval of this Agreement and the transactions contemplated hereby and shall take all additional actions as the sole stockholder of Subsidiary necessary to adopt and approve this Agreement and the transactions contemplated hereby.</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7.4. COMPLIANCE WITH THE SECURITIES ACT. Parent and the Company shall each use its reasonable best efforts to cause each principal executive officer, each director and each other person who is an "affiliate," as that term is used in paragraphs (c) and (d) of Rule 145 under the Securities Act, of Parent or the Company, as the case may be, to deliver to Parent and the Company on or prior to the Effective Time a written agreement (an "Affiliate Agreement") to the effect that such person will not offer to sell, sell or otherwise dispose of any shares of Parent Common Stock issued in the Merger, except, in each case, pursuant to an effective registration statement or in compliance with Rule 145, as amended from time to time, or in a transaction which, in the opinion of legal counsel satisfactory to Parent, is exempt from the registration requirements of the Securities Act and, in any case, until after the results covering 30 days of post-Merger combined operations of Parent and the Company have been filed with the SEC, sent to stockholders of Parent or otherwise publicly issued.</w:t>
      </w:r>
    </w:p>
    <w:p>
      <w:pPr>
        <w:spacing w:after="0" w:line="18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7.5. EXCHANGE LISTING. Parent shall use its reasonable best efforts to effect, at or before the Effective Time, authorization for listing on the New York Stock Exchange Inc. (the "NYSE"), upon official notice of issuance, of the shares of Parent Common Stock to be issued pursuant to the Merger.</w:t>
      </w:r>
    </w:p>
    <w:p>
      <w:pPr>
        <w:spacing w:after="0" w:line="178"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SECTION 7.6. EXPENSES AND FEES. (a) All costs and expenses incurred in connection with this Agreement and the transactions contemplated hereby shall be paid by the party incurring such expenses, except that those expenses incurred in connection with printing and filing the Joint Proxy Statement/Prospectus shall be shared equally by Parent and the Company.</w:t>
      </w:r>
    </w:p>
    <w:p>
      <w:pPr>
        <w:spacing w:after="0" w:line="178" w:lineRule="exact"/>
        <w:rPr>
          <w:sz w:val="20"/>
          <w:szCs w:val="20"/>
          <w:color w:val="auto"/>
        </w:rPr>
      </w:pPr>
    </w:p>
    <w:p>
      <w:pPr>
        <w:ind w:right="3619" w:firstLine="784"/>
        <w:spacing w:after="0" w:line="259" w:lineRule="auto"/>
        <w:tabs>
          <w:tab w:leader="none" w:pos="1146"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to pay to Parent a fee equal to Eighteen Million Dollars ($18,000,000); (i) if the Company terminates this Agreement pursuant to clause (iii) or (iv) of Section 9.1(a); or (ii) if Parent terminates this Agreement pursuant to clause (iv) of Section 9.1(b).</w:t>
      </w:r>
    </w:p>
    <w:p>
      <w:pPr>
        <w:spacing w:after="0" w:line="162" w:lineRule="exact"/>
        <w:rPr>
          <w:rFonts w:ascii="Courier New" w:cs="Courier New" w:eastAsia="Courier New" w:hAnsi="Courier New"/>
          <w:sz w:val="14"/>
          <w:szCs w:val="14"/>
          <w:color w:val="auto"/>
        </w:rPr>
      </w:pPr>
    </w:p>
    <w:p>
      <w:pPr>
        <w:ind w:right="3259" w:firstLine="784"/>
        <w:spacing w:after="0" w:line="237" w:lineRule="auto"/>
        <w:tabs>
          <w:tab w:leader="none" w:pos="149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agrees to pay to the Company a fee equal to Eighteen Million Dollars ($18,000,000) if the Company terminates this Agreement pursuant to clause (v) of Section 9.1(a).</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7.7. AGREEMENT TO COOPERATE. (a) Subject to the terms and conditions herein provided, each of the parties hereto shall use all reasonable efforts to take, or cause to be taken, all action and to do, or cause to be done, all things necessary, proper or advisable under applicable laws and regulations to consummate and make effective the transactions contemplated by this Agreement, including using its reasonable efforts to obtain all necessary or appropriate waivers, consents or approvals of third parties required in order to preserve material contractual relationships of the Company and its subsidiaries, all necessary or appropriate waivers, consents and approvals and SEC "no-action" letters to effect all necessary registrations, filings and submissions and to lift any injunction or other legal bar to the Merger (and, in such case, to proceed with the Merger as expeditiously as possible), subject, however, to the requisite votes of the stockholders and boards of directors of the Company and Parent.</w:t>
      </w:r>
    </w:p>
    <w:p>
      <w:pPr>
        <w:spacing w:after="0" w:line="184" w:lineRule="exact"/>
        <w:rPr>
          <w:sz w:val="20"/>
          <w:szCs w:val="20"/>
          <w:color w:val="auto"/>
        </w:rPr>
      </w:pPr>
    </w:p>
    <w:p>
      <w:pPr>
        <w:ind w:right="3259" w:firstLine="784"/>
        <w:spacing w:after="0" w:line="238" w:lineRule="auto"/>
        <w:tabs>
          <w:tab w:leader="none" w:pos="149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limitation of the foregoing, each of Parent and the Company undertakes and agrees to file (and, in the case of the Company, shall use its best efforts to cause its principal shareholder to file) as soon as practicable after the date hereof a Notification and Report Form under the HSR Act with the Federal Trade Commission (the "FTC") and the Antitrust Division of the Department of Justice (the "Antitrust Division"). Each of Parent and the Company shall (and the Company shall use its best efforts to cause its principal shareholder to) (i) use its reasonable efforts to comply as expeditiously as possible with all lawful requests of the FTC or the Antitrust Division for additional information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26</w:t>
      </w:r>
    </w:p>
    <w:p>
      <w:pPr>
        <w:sectPr>
          <w:pgSz w:w="11900" w:h="16838" w:orient="portrait"/>
          <w:cols w:equalWidth="0" w:num="1">
            <w:col w:w="10219"/>
          </w:cols>
          <w:pgMar w:left="240" w:top="283"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28</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documents and (ii) not extend any waiting period under the HSR Act or enter into any agreement with the FTC or the Antitrust Division not to consummate the transactions contemplated by this Agreement, except with the prior written consent of the other parties hereto.</w:t>
      </w:r>
    </w:p>
    <w:p>
      <w:pPr>
        <w:spacing w:after="0" w:line="176" w:lineRule="exact"/>
        <w:rPr>
          <w:sz w:val="20"/>
          <w:szCs w:val="20"/>
          <w:color w:val="auto"/>
        </w:rPr>
      </w:pPr>
    </w:p>
    <w:p>
      <w:pPr>
        <w:ind w:right="3259" w:firstLine="784"/>
        <w:spacing w:after="0" w:line="258" w:lineRule="auto"/>
        <w:tabs>
          <w:tab w:leader="none" w:pos="1498"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any litigation is commenced by any person or entity relating to the transactions contemplated by this Agreement, including any Acquisition Transaction, Parent shall have the right, at its own expense, to participate therein, and the Company will not settle any such litigation without the consent of Parent, which consent will not be unreasonably withheld.</w:t>
      </w:r>
    </w:p>
    <w:p>
      <w:pPr>
        <w:spacing w:after="0" w:line="16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7.8. PUBLIC STATEMENTS. The parties shall consult with each other prior to issuing any press release or any written public statement with respect to this Agreement or the transactions contemplated hereby and shall not issue any such press release or written public statement prior to such consultation.</w:t>
      </w:r>
    </w:p>
    <w:p>
      <w:pPr>
        <w:spacing w:after="0" w:line="178"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SECTION 7.9. OPTION PLANS. Prior to the Effective Time, the Company and Parent shall take such action as may be necessary to cause each unexpired and unexercised option (each a "Company Option") to be automatically converted at the Effective Time into an option (each a "Parent Option") to purchase a number of shares of Parent Common Stock equal to the number of shares of Company Common Stock that could have been purchased under the Company Option multiplied by the Exchange Ratio, at a price per share of Parent Common Stock equal to the option exercise price determined pursuant to the Company Option divided by the Exchange Ratio. At the Effective Time, all references in the stock option agreements to the Company shall be deemed to refer to Parent. Parent shall assume all of the Company's obligations with respect to Company Options as so amended and shall, from and after the Effective Time, make available for issuance upon exercise of the Parent Options all shares of Parent Common Stock covered thereby and amend its Registration Statement on Form S-8 to cover the additional shares of Parent Common Stock subject to Parent Options granted in replacement of Company Options.</w:t>
      </w:r>
    </w:p>
    <w:p>
      <w:pPr>
        <w:spacing w:after="0" w:line="334"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SECTION 7.10. NOTIFICATION OF CERTAIN MATTERS. Each of the Company, Parent and Subsidiary agrees to give prompt notice to each other of, and to use their respective reasonable best efforts to prevent or promptly remedy, (i) the occurrence or failure to occur or the impending or threatened occurrence or failure to occur, of any event which occurrence or failure to occur would be likely to cause any of its representations or warranties in this Agreement to be untrue or inaccurate in any material respect at any time from the date hereof to the Effective Time and (ii) any material failure on its part to comply with or satisfy any covenant, condition or agreement to be complied with or satisfied by it hereunder; provided, however, that the delivery of any notice pursuant to this Section 7.10 shall not limit or otherwise affect the remedies available hereunder to the party receiving such notice.</w:t>
      </w:r>
    </w:p>
    <w:p>
      <w:pPr>
        <w:spacing w:after="0" w:line="166"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SECTION 7.11. DIRECTORS' AND OFFICERS' INDEMNIFICATION. (a) The indemnification provisions of the Articles of Incorporation of the Surviving Corporation as in effect at the Effective Time shall not be amended, repealed or otherwise modified for a period of six years from the Effective Time in any manner that would adversely affect the rights thereunder of individuals who at the Effective Time were directors, officers, employees or agents of the Company, unless such modification is required by law.</w:t>
      </w:r>
    </w:p>
    <w:p>
      <w:pPr>
        <w:spacing w:after="0" w:line="177" w:lineRule="exact"/>
        <w:rPr>
          <w:sz w:val="20"/>
          <w:szCs w:val="20"/>
          <w:color w:val="auto"/>
        </w:rPr>
      </w:pPr>
    </w:p>
    <w:p>
      <w:pPr>
        <w:ind w:right="3259" w:firstLine="784"/>
        <w:spacing w:after="0" w:line="238" w:lineRule="auto"/>
        <w:tabs>
          <w:tab w:leader="none" w:pos="114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Effective Time, each of Parent and the Surviving Corporation shall, to the fullest extent permitted under applicable law, indemnify and hold harmless, each present and former director, officer, employee and agent of the Company or any of its subsidiaries (each, together with such person's heirs, executors or administrators, an "indemnified Party" and collectively, the "indemnified Parties") against any costs or expenses (including attorneys fees), judgments, fines, losses, claims, damages, liabilities and amounts paid in settlement in connection with any claim, action, suit, proceeding or investigation, whether civil, criminal, administrative or investigative, arising out of, relating to or in connection with any action or omission occurring prior to the Effective Time (including, without limitation, acts or omissions in connection with such persons serving as an officer, director or other fiduciary in any entity if such service was at the request or for the benefit of the Company) or arising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27</w:t>
      </w:r>
    </w:p>
    <w:p>
      <w:pPr>
        <w:sectPr>
          <w:pgSz w:w="11900" w:h="16838" w:orient="portrait"/>
          <w:cols w:equalWidth="0" w:num="1">
            <w:col w:w="10219"/>
          </w:cols>
          <w:pgMar w:left="240" w:top="283"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29</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of or pertaining to the transactions contemplated by this Agreement. In the event of any such claim, action, suit, proceeding or investigation (whether arising before or after the Effective Time), (i) the Company or Parent and the Surviving Corporation, as the case may be, shall pay the reasonable fees and expenses of counsel selected by the indemnified Parties, which counsel shall be reasonably satisfactory to the Parent and the Surviving Corporation, promptly after statements therefor are received, (ii) the Parent and the Surviving Corporation will cooperate in the defense of any such matter, and (iii) any determination required to be made with respect to whether an indemnified Party's conduct complies with the standards set forth under the CCC and the Parent's or the Surviving Corporation's respective charters or By-Laws shall be made by independent legal counsel acceptable to the Parent or the Surviving Corporation, as the case may be, and the indemnified Party; provided, however, that neither Parent nor the Surviving Corporation shall be liable for any settlement effected without its written consent (which consent shall not be unreasonably withheld).</w:t>
      </w:r>
    </w:p>
    <w:p>
      <w:pPr>
        <w:spacing w:after="0" w:line="186" w:lineRule="exact"/>
        <w:rPr>
          <w:sz w:val="20"/>
          <w:szCs w:val="20"/>
          <w:color w:val="auto"/>
        </w:rPr>
      </w:pPr>
    </w:p>
    <w:p>
      <w:pPr>
        <w:ind w:right="3359" w:firstLine="784"/>
        <w:spacing w:after="0" w:line="238" w:lineRule="auto"/>
        <w:tabs>
          <w:tab w:leader="none" w:pos="149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Surviving Corporation or Parent or any of their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provisions shall be made so that the successors and assigns of the Surviving Corporation or Parent shall assume the obligations set forth in this Section 7.11.</w:t>
      </w:r>
    </w:p>
    <w:p>
      <w:pPr>
        <w:spacing w:after="0" w:line="178" w:lineRule="exact"/>
        <w:rPr>
          <w:sz w:val="20"/>
          <w:szCs w:val="20"/>
          <w:color w:val="auto"/>
        </w:rPr>
      </w:pPr>
    </w:p>
    <w:p>
      <w:pPr>
        <w:ind w:right="3359" w:firstLine="793"/>
        <w:spacing w:after="0" w:line="257" w:lineRule="auto"/>
        <w:rPr>
          <w:sz w:val="20"/>
          <w:szCs w:val="20"/>
          <w:color w:val="auto"/>
        </w:rPr>
      </w:pPr>
      <w:r>
        <w:rPr>
          <w:rFonts w:ascii="Courier New" w:cs="Courier New" w:eastAsia="Courier New" w:hAnsi="Courier New"/>
          <w:sz w:val="14"/>
          <w:szCs w:val="14"/>
          <w:color w:val="auto"/>
        </w:rPr>
        <w:t>SECTION 7.12. CORRECTIONS TO THE JOINT PROXY STATEMENT/PROSPECTUS AND REGISTRATION STATEMENT. Prior to the date of approval of the Merger by their respective stockholders, each of the Company, Parent and Subsidiary shall correct promptly any information provided by it to be used specifically in the Joint Proxy Statement/Prospectus and Registration Statement that shall have become false or misleading in any material respect and shall take all steps necessary to file with the SEC and have declared effective or cleared by the SEC any amendment or supplement to the Joint Proxy Statement/Prospectus or the Registration Statement so as to correct the same and to cause the Joint Proxy Statement/Prospectus as so corrected to be disseminated to the stockholders of the Company and Parent, in each case to the extent required by applicable law.</w:t>
      </w:r>
    </w:p>
    <w:p>
      <w:pPr>
        <w:spacing w:after="0" w:line="16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7.13. CERTAIN OTHER MATTERS. The Board of Directors of the Company has approved the implementation of each of the items on Section 7.13 of the Company Disclosure Schedule (the "Pre-Closing Items"). The Company shall use its best efforts to accomplish and effectuate each of the Pre-Closing Items as promptly as practicable after the date hereof and in any event, no later than the Effective Time. Notwithstanding any other term or provision hereof, the Company may effectuate and consummate the Pre-Closing Items without Parent's consent.</w:t>
      </w:r>
    </w:p>
    <w:p>
      <w:pPr>
        <w:spacing w:after="0" w:line="178"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7.14. EFFECT ON ACCOUNTING TREATMENT. Each of the parties hereto agrees that, notwithstanding anything to the contrary contained in the Agreement, nothing contained in or contemplated by this Agreement shall require any of the parties hereto to take any action which would jeopardize the treatment of the Merger as a pooling of interests under APB No. 16.</w:t>
      </w:r>
    </w:p>
    <w:p>
      <w:pPr>
        <w:spacing w:after="0" w:line="34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VIII</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CONDITIONS</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8.1. CONDITIONS TO EACH PARTY'S OBLIGATION TO EFFECT THE MERGER. The respective obligations of each party to effect the Merger shall be subject to the fulfillment at or prior to the Closing Date of the following conditions:</w:t>
      </w:r>
    </w:p>
    <w:p>
      <w:pPr>
        <w:spacing w:after="0" w:line="176" w:lineRule="exact"/>
        <w:rPr>
          <w:sz w:val="20"/>
          <w:szCs w:val="20"/>
          <w:color w:val="auto"/>
        </w:rPr>
      </w:pPr>
    </w:p>
    <w:p>
      <w:pPr>
        <w:ind w:left="780" w:right="3359" w:firstLine="356"/>
        <w:spacing w:after="0" w:line="237" w:lineRule="auto"/>
        <w:tabs>
          <w:tab w:leader="none" w:pos="148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transactions contemplated hereby shall have been approved and adopted by the requisite vote of the stockholders of the Company and Parent under applicable law and applicable listing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28</w:t>
      </w:r>
    </w:p>
    <w:p>
      <w:pPr>
        <w:sectPr>
          <w:pgSz w:w="11900" w:h="16838" w:orient="portrait"/>
          <w:cols w:equalWidth="0" w:num="1">
            <w:col w:w="10219"/>
          </w:cols>
          <w:pgMar w:left="240" w:top="283"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30</w:t>
      </w:r>
    </w:p>
    <w:p>
      <w:pPr>
        <w:spacing w:after="0" w:line="5" w:lineRule="exact"/>
        <w:rPr>
          <w:sz w:val="20"/>
          <w:szCs w:val="20"/>
          <w:color w:val="auto"/>
        </w:rPr>
      </w:pPr>
    </w:p>
    <w:p>
      <w:pPr>
        <w:ind w:left="780" w:right="3259" w:firstLine="356"/>
        <w:spacing w:after="0" w:line="237" w:lineRule="auto"/>
        <w:tabs>
          <w:tab w:leader="none" w:pos="148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Parent Common Stock issuable in the Merger shall have been authorized for listing on the NYSE upon official notice of issuance;</w:t>
      </w:r>
    </w:p>
    <w:p>
      <w:pPr>
        <w:spacing w:after="0" w:line="174" w:lineRule="exact"/>
        <w:rPr>
          <w:rFonts w:ascii="Courier New" w:cs="Courier New" w:eastAsia="Courier New" w:hAnsi="Courier New"/>
          <w:sz w:val="15"/>
          <w:szCs w:val="15"/>
          <w:color w:val="auto"/>
        </w:rPr>
      </w:pPr>
    </w:p>
    <w:p>
      <w:pPr>
        <w:ind w:left="780" w:right="3259" w:firstLine="356"/>
        <w:spacing w:after="0" w:line="235" w:lineRule="auto"/>
        <w:tabs>
          <w:tab w:leader="none" w:pos="2014"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waiting period applicable to the consummation of the Merger under the HSR Act shall have expired or been terminated;</w:t>
      </w:r>
    </w:p>
    <w:p>
      <w:pPr>
        <w:spacing w:after="0" w:line="175" w:lineRule="exact"/>
        <w:rPr>
          <w:rFonts w:ascii="Courier New" w:cs="Courier New" w:eastAsia="Courier New" w:hAnsi="Courier New"/>
          <w:sz w:val="15"/>
          <w:szCs w:val="15"/>
          <w:color w:val="auto"/>
        </w:rPr>
      </w:pPr>
    </w:p>
    <w:p>
      <w:pPr>
        <w:ind w:left="780" w:right="3359" w:firstLine="356"/>
        <w:spacing w:after="0" w:line="237" w:lineRule="auto"/>
        <w:tabs>
          <w:tab w:leader="none" w:pos="148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shall have become effective in accordance with the provisions of the Securities Act, and no stop order suspending such effectiveness shall have been issued and remain in effect and no proceeding for that purpose shall have been instituted by the SEC or any state regulatory authorities;</w:t>
      </w:r>
    </w:p>
    <w:p>
      <w:pPr>
        <w:spacing w:after="0" w:line="178" w:lineRule="exact"/>
        <w:rPr>
          <w:rFonts w:ascii="Courier New" w:cs="Courier New" w:eastAsia="Courier New" w:hAnsi="Courier New"/>
          <w:sz w:val="15"/>
          <w:szCs w:val="15"/>
          <w:color w:val="auto"/>
        </w:rPr>
      </w:pPr>
    </w:p>
    <w:p>
      <w:pPr>
        <w:ind w:left="780" w:right="3259" w:firstLine="356"/>
        <w:spacing w:after="0" w:line="237" w:lineRule="auto"/>
        <w:tabs>
          <w:tab w:leader="none" w:pos="2014"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preliminary or permanent injunction or other order or decree by any federal or state court which prevents the consummation of the Merger shall have been issued and remain in effect (each party agreeing to use its reasonable efforts to have any such injunction, order or decree lifted);</w:t>
      </w:r>
    </w:p>
    <w:p>
      <w:pPr>
        <w:spacing w:after="0" w:line="178" w:lineRule="exact"/>
        <w:rPr>
          <w:rFonts w:ascii="Courier New" w:cs="Courier New" w:eastAsia="Courier New" w:hAnsi="Courier New"/>
          <w:sz w:val="15"/>
          <w:szCs w:val="15"/>
          <w:color w:val="auto"/>
        </w:rPr>
      </w:pPr>
    </w:p>
    <w:p>
      <w:pPr>
        <w:ind w:left="780" w:right="3259" w:firstLine="356"/>
        <w:spacing w:after="0" w:line="237" w:lineRule="auto"/>
        <w:tabs>
          <w:tab w:leader="none" w:pos="2014"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action shall have been taken, and no statute, rule or regulation shall have been enacted, by any state or federal government or governmental agency in the United States which would prevent the consummation of the Merger or make the consummation of the Merger illegal;</w:t>
      </w:r>
    </w:p>
    <w:p>
      <w:pPr>
        <w:spacing w:after="0" w:line="178" w:lineRule="exact"/>
        <w:rPr>
          <w:rFonts w:ascii="Courier New" w:cs="Courier New" w:eastAsia="Courier New" w:hAnsi="Courier New"/>
          <w:sz w:val="15"/>
          <w:szCs w:val="15"/>
          <w:color w:val="auto"/>
        </w:rPr>
      </w:pPr>
    </w:p>
    <w:p>
      <w:pPr>
        <w:ind w:left="780" w:right="3359" w:firstLine="356"/>
        <w:spacing w:after="0" w:line="237" w:lineRule="auto"/>
        <w:tabs>
          <w:tab w:leader="none" w:pos="148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governmental waivers, consents, orders and approvals legally required for the consummation of the Merger and the transactions contemplated hereby, and all consents from lenders required to consummate the Merger, shall have been obtained and be in effect at the Effective Time;</w:t>
      </w:r>
    </w:p>
    <w:p>
      <w:pPr>
        <w:spacing w:after="0" w:line="178" w:lineRule="exact"/>
        <w:rPr>
          <w:rFonts w:ascii="Courier New" w:cs="Courier New" w:eastAsia="Courier New" w:hAnsi="Courier New"/>
          <w:sz w:val="15"/>
          <w:szCs w:val="15"/>
          <w:color w:val="auto"/>
        </w:rPr>
      </w:pPr>
    </w:p>
    <w:p>
      <w:pPr>
        <w:ind w:left="780" w:right="3259" w:firstLine="356"/>
        <w:spacing w:after="0" w:line="238" w:lineRule="auto"/>
        <w:tabs>
          <w:tab w:leader="none" w:pos="148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Coopers &amp; Lybrand, certified public accountants for Parent, shall have delivered a letter, dated the Closing Date, addressed to Parent, in form and substance reasonably satisfactory to Parent, to the effect that the Merger will qualify for a pooling of interests accounting treatment if consummated in accordance with this Agreement; and</w:t>
      </w:r>
    </w:p>
    <w:p>
      <w:pPr>
        <w:spacing w:after="0" w:line="175" w:lineRule="exact"/>
        <w:rPr>
          <w:rFonts w:ascii="Courier New" w:cs="Courier New" w:eastAsia="Courier New" w:hAnsi="Courier New"/>
          <w:sz w:val="15"/>
          <w:szCs w:val="15"/>
          <w:color w:val="auto"/>
        </w:rPr>
      </w:pPr>
    </w:p>
    <w:p>
      <w:pPr>
        <w:ind w:left="780" w:right="3259" w:firstLine="356"/>
        <w:spacing w:after="0" w:line="238" w:lineRule="auto"/>
        <w:tabs>
          <w:tab w:leader="none" w:pos="148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Ernst &amp; Young LLP, certified public accountants for the Company, shall have delivered a letter dated the Closing Date, addressed to the Company, in form and substance reasonably satisfactory to the Company, stating that the Merger will qualify for a pooling of interests accounting treatment if consummated in accordance with this Agreement.</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SECTION 8.2. CONDITIONS TO OBLIGATION OF THE COMPANY TO EFFECT THE MERGER. Unless waived by the Company, the obligation of the Company to effect the Merger shall be subject to the fulfillment at or prior to the Closing Date of the following additional conditions:</w:t>
      </w:r>
    </w:p>
    <w:p>
      <w:pPr>
        <w:spacing w:after="0" w:line="176" w:lineRule="exact"/>
        <w:rPr>
          <w:sz w:val="20"/>
          <w:szCs w:val="20"/>
          <w:color w:val="auto"/>
        </w:rPr>
      </w:pPr>
    </w:p>
    <w:p>
      <w:pPr>
        <w:ind w:left="780" w:right="3359" w:firstLine="356"/>
        <w:spacing w:after="0" w:line="238" w:lineRule="auto"/>
        <w:tabs>
          <w:tab w:leader="none" w:pos="2014"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and Subsidiary shall have performed in all material respects their agreements contained in this Agreement required to be performed on or prior to the Closing Date and the representations and warranties of Parent and Subsidiary contained in this Agreement shall be true and correct in all material respects on and as of the date made and on and as of the Closing Date as if made at and as of such date, and the Company shall have received a certificate of the Chairman of the Board and Chief Executive Officer, the President or a Vice President of Parent and of the President and Chief Executive Officer or a Vice President of Subsidiary to that effect;</w:t>
      </w:r>
    </w:p>
    <w:p>
      <w:pPr>
        <w:spacing w:after="0" w:line="180" w:lineRule="exact"/>
        <w:rPr>
          <w:rFonts w:ascii="Courier New" w:cs="Courier New" w:eastAsia="Courier New" w:hAnsi="Courier New"/>
          <w:sz w:val="15"/>
          <w:szCs w:val="15"/>
          <w:color w:val="auto"/>
        </w:rPr>
      </w:pPr>
    </w:p>
    <w:p>
      <w:pPr>
        <w:ind w:left="780" w:right="3539" w:firstLine="356"/>
        <w:spacing w:after="0" w:line="238" w:lineRule="auto"/>
        <w:tabs>
          <w:tab w:leader="none" w:pos="1485"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received an opinion of Sheppard, Mullin, Richter &amp; Hampton, in form and substance reasonably satisfactory to the Company, dated the Closing Date, to the effect that the Company and holders of Company Common Stock (except to the extent any stockholders receive cash in lieu of fractional shares) will recognize no gain or loss for federal income tax purposes as a result of consummation of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29</w:t>
      </w:r>
    </w:p>
    <w:p>
      <w:pPr>
        <w:sectPr>
          <w:pgSz w:w="11900" w:h="16838" w:orient="portrait"/>
          <w:cols w:equalWidth="0" w:num="1">
            <w:col w:w="10219"/>
          </w:cols>
          <w:pgMar w:left="240" w:top="283"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31</w:t>
      </w:r>
    </w:p>
    <w:p>
      <w:pPr>
        <w:spacing w:after="0" w:line="5" w:lineRule="exact"/>
        <w:rPr>
          <w:sz w:val="20"/>
          <w:szCs w:val="20"/>
          <w:color w:val="auto"/>
        </w:rPr>
      </w:pPr>
    </w:p>
    <w:p>
      <w:pPr>
        <w:ind w:left="780" w:right="3259" w:firstLine="356"/>
        <w:spacing w:after="0" w:line="238" w:lineRule="auto"/>
        <w:tabs>
          <w:tab w:leader="none" w:pos="2014"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date hereof, there shall have been no changes that constitute, and no event or events shall have occurred which have resulted in or constitute, a material adverse change in the business, operations, properties, assets, condition (financial or other) or results of operations of Parent and its subsidiaries, taken as a whole; and</w:t>
      </w:r>
    </w:p>
    <w:p>
      <w:pPr>
        <w:spacing w:after="0" w:line="175" w:lineRule="exact"/>
        <w:rPr>
          <w:rFonts w:ascii="Courier New" w:cs="Courier New" w:eastAsia="Courier New" w:hAnsi="Courier New"/>
          <w:sz w:val="15"/>
          <w:szCs w:val="15"/>
          <w:color w:val="auto"/>
        </w:rPr>
      </w:pPr>
    </w:p>
    <w:p>
      <w:pPr>
        <w:ind w:left="780" w:right="3259" w:firstLine="356"/>
        <w:spacing w:after="0" w:line="238" w:lineRule="auto"/>
        <w:tabs>
          <w:tab w:leader="none" w:pos="148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governmental waivers, consents, orders, and approvals legally required for the consummation of the Merger and the transactions contemplated hereby shall have been obtained and be in effect at the Closing Date, and no governmental authority shall have promulgated any statute, rule or regulation which, when taken together with all such promulgations, would materially impair the value to Parent of the Merger.</w:t>
      </w:r>
    </w:p>
    <w:p>
      <w:pPr>
        <w:spacing w:after="0" w:line="177" w:lineRule="exact"/>
        <w:rPr>
          <w:sz w:val="20"/>
          <w:szCs w:val="20"/>
          <w:color w:val="auto"/>
        </w:rPr>
      </w:pPr>
    </w:p>
    <w:p>
      <w:pPr>
        <w:ind w:right="3359" w:firstLine="793"/>
        <w:spacing w:after="0" w:line="259" w:lineRule="auto"/>
        <w:rPr>
          <w:sz w:val="20"/>
          <w:szCs w:val="20"/>
          <w:color w:val="auto"/>
        </w:rPr>
      </w:pPr>
      <w:r>
        <w:rPr>
          <w:rFonts w:ascii="Courier New" w:cs="Courier New" w:eastAsia="Courier New" w:hAnsi="Courier New"/>
          <w:sz w:val="14"/>
          <w:szCs w:val="14"/>
          <w:color w:val="auto"/>
        </w:rPr>
        <w:t>SECTION 8.3. CONDITIONS TO OBLIGATIONS OF PARENT AND SUBSIDIARY TO EFFECT THE MERGER. Unless waived by Parent and Subsidiary, the obligations of Parent and Subsidiary to effect the Merger shall be subject to the fulfillment at or prior to the Effective Time of the additional following conditions:</w:t>
      </w:r>
    </w:p>
    <w:p>
      <w:pPr>
        <w:spacing w:after="0" w:line="163" w:lineRule="exact"/>
        <w:rPr>
          <w:sz w:val="20"/>
          <w:szCs w:val="20"/>
          <w:color w:val="auto"/>
        </w:rPr>
      </w:pPr>
    </w:p>
    <w:p>
      <w:pPr>
        <w:ind w:left="780" w:right="3259" w:firstLine="356"/>
        <w:spacing w:after="0" w:line="257" w:lineRule="auto"/>
        <w:tabs>
          <w:tab w:leader="none" w:pos="148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performed in all material respects its agreements contained in this Agreement required to be performed on or prior to the Closing Date and the representations and warranties of the Company contained in this Agreement shall be true and correct in all material respects on and as of the date made and on and as of the Closing Date as if made at and as of such date, and Parent shall have received a Certificate of the President and Chief Executive Officer or of a Vice President of the Company to that effect;</w:t>
      </w:r>
    </w:p>
    <w:p>
      <w:pPr>
        <w:spacing w:after="0" w:line="166" w:lineRule="exact"/>
        <w:rPr>
          <w:rFonts w:ascii="Courier New" w:cs="Courier New" w:eastAsia="Courier New" w:hAnsi="Courier New"/>
          <w:sz w:val="14"/>
          <w:szCs w:val="14"/>
          <w:color w:val="auto"/>
        </w:rPr>
      </w:pPr>
    </w:p>
    <w:p>
      <w:pPr>
        <w:ind w:left="780" w:right="3259" w:firstLine="356"/>
        <w:spacing w:after="0" w:line="237" w:lineRule="auto"/>
        <w:tabs>
          <w:tab w:leader="none" w:pos="148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received an opinion of Andrews &amp; Kurth L.L.P., in form and substance reasonably satisfactory to Parent, dated the Closing Date, to the effect that Parent and Subsidiary will recognize no gain or loss for federal income tax purposes as a result of consummation of the Merger;</w:t>
      </w:r>
    </w:p>
    <w:p>
      <w:pPr>
        <w:spacing w:after="0" w:line="178" w:lineRule="exact"/>
        <w:rPr>
          <w:rFonts w:ascii="Courier New" w:cs="Courier New" w:eastAsia="Courier New" w:hAnsi="Courier New"/>
          <w:sz w:val="15"/>
          <w:szCs w:val="15"/>
          <w:color w:val="auto"/>
        </w:rPr>
      </w:pPr>
    </w:p>
    <w:p>
      <w:pPr>
        <w:ind w:left="780" w:right="3439" w:firstLine="356"/>
        <w:spacing w:after="0" w:line="237" w:lineRule="auto"/>
        <w:tabs>
          <w:tab w:leader="none" w:pos="2014"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Affiliate Agreements required to be delivered to Parent pursuant to Section 7.4 shall have been furnished as required by Section 7.4;</w:t>
      </w:r>
    </w:p>
    <w:p>
      <w:pPr>
        <w:spacing w:after="0" w:line="174" w:lineRule="exact"/>
        <w:rPr>
          <w:rFonts w:ascii="Courier New" w:cs="Courier New" w:eastAsia="Courier New" w:hAnsi="Courier New"/>
          <w:sz w:val="15"/>
          <w:szCs w:val="15"/>
          <w:color w:val="auto"/>
        </w:rPr>
      </w:pPr>
    </w:p>
    <w:p>
      <w:pPr>
        <w:ind w:left="780" w:right="3359" w:firstLine="356"/>
        <w:spacing w:after="0" w:line="238" w:lineRule="auto"/>
        <w:tabs>
          <w:tab w:leader="none" w:pos="148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date hereof, there shall have been no changes that constitute, and no event or events shall have occurred which have resulted in or constitute, a material adverse change in the business, operations, properties, assets, condition (financial or other) or results of operations of the Company and its subsidiaries, taken as a whole; and</w:t>
      </w:r>
    </w:p>
    <w:p>
      <w:pPr>
        <w:spacing w:after="0" w:line="175" w:lineRule="exact"/>
        <w:rPr>
          <w:rFonts w:ascii="Courier New" w:cs="Courier New" w:eastAsia="Courier New" w:hAnsi="Courier New"/>
          <w:sz w:val="15"/>
          <w:szCs w:val="15"/>
          <w:color w:val="auto"/>
        </w:rPr>
      </w:pPr>
    </w:p>
    <w:p>
      <w:pPr>
        <w:ind w:left="780" w:right="3259" w:firstLine="356"/>
        <w:spacing w:after="0" w:line="238" w:lineRule="auto"/>
        <w:tabs>
          <w:tab w:leader="none" w:pos="2014"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governmental waivers, consents, orders and approvals legally required for the consummation of the Merger and the transactions contemplated hereby shall have been obtained and be in effect at the Closing Date, and no governmental authority shall have promulgated any statute, rule or regulation which, when taken together with all such promulgations, would materially impair the value to Parent of the Merger.</w:t>
      </w:r>
    </w:p>
    <w:p>
      <w:pPr>
        <w:spacing w:after="0" w:line="34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IX</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TERMINATION, AMENDMENT AND WAIVER</w:t>
      </w:r>
    </w:p>
    <w:p>
      <w:pPr>
        <w:spacing w:after="0" w:line="175" w:lineRule="exact"/>
        <w:rPr>
          <w:sz w:val="20"/>
          <w:szCs w:val="20"/>
          <w:color w:val="auto"/>
        </w:rPr>
      </w:pPr>
    </w:p>
    <w:p>
      <w:pPr>
        <w:ind w:right="3539" w:firstLine="793"/>
        <w:spacing w:after="0" w:line="237" w:lineRule="auto"/>
        <w:rPr>
          <w:sz w:val="20"/>
          <w:szCs w:val="20"/>
          <w:color w:val="auto"/>
        </w:rPr>
      </w:pPr>
      <w:r>
        <w:rPr>
          <w:rFonts w:ascii="Courier New" w:cs="Courier New" w:eastAsia="Courier New" w:hAnsi="Courier New"/>
          <w:sz w:val="15"/>
          <w:szCs w:val="15"/>
          <w:color w:val="auto"/>
        </w:rPr>
        <w:t>SECTION 9.1. TERMINATION. This Agreement may be terminated at any time prior to the Closing Date, whether before or after approval by the stockholders of the Company or Parent, as follows:</w:t>
      </w:r>
    </w:p>
    <w:p>
      <w:pPr>
        <w:spacing w:after="0" w:line="169" w:lineRule="exact"/>
        <w:rPr>
          <w:sz w:val="20"/>
          <w:szCs w:val="20"/>
          <w:color w:val="auto"/>
        </w:rPr>
      </w:pPr>
    </w:p>
    <w:p>
      <w:pPr>
        <w:ind w:left="1140"/>
        <w:spacing w:after="0"/>
        <w:tabs>
          <w:tab w:leader="none" w:pos="200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The Company shall have the right to terminate this</w:t>
      </w:r>
    </w:p>
    <w:p>
      <w:pPr>
        <w:spacing w:after="0"/>
        <w:rPr>
          <w:sz w:val="20"/>
          <w:szCs w:val="20"/>
          <w:color w:val="auto"/>
        </w:rPr>
      </w:pPr>
      <w:r>
        <w:rPr>
          <w:rFonts w:ascii="Courier New" w:cs="Courier New" w:eastAsia="Courier New" w:hAnsi="Courier New"/>
          <w:sz w:val="15"/>
          <w:szCs w:val="15"/>
          <w:color w:val="auto"/>
        </w:rPr>
        <w:t>Agreement:</w:t>
      </w:r>
    </w:p>
    <w:p>
      <w:pPr>
        <w:spacing w:after="0" w:line="174" w:lineRule="exact"/>
        <w:rPr>
          <w:sz w:val="20"/>
          <w:szCs w:val="20"/>
          <w:color w:val="auto"/>
        </w:rPr>
      </w:pPr>
    </w:p>
    <w:p>
      <w:pPr>
        <w:ind w:left="1140" w:right="3539" w:firstLine="349"/>
        <w:spacing w:after="0" w:line="237" w:lineRule="auto"/>
        <w:tabs>
          <w:tab w:leader="none" w:pos="2021"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not completed by June 30, 1996 (provided that the right to terminate this Agreement under this Section 9.1(a)(i) shall not be available to the Company if the failure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30</w:t>
      </w:r>
    </w:p>
    <w:p>
      <w:pPr>
        <w:sectPr>
          <w:pgSz w:w="11900" w:h="16838" w:orient="portrait"/>
          <w:cols w:equalWidth="0" w:num="1">
            <w:col w:w="10219"/>
          </w:cols>
          <w:pgMar w:left="240" w:top="283"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32</w:t>
      </w:r>
    </w:p>
    <w:p>
      <w:pPr>
        <w:spacing w:after="0" w:line="5" w:lineRule="exact"/>
        <w:rPr>
          <w:sz w:val="20"/>
          <w:szCs w:val="20"/>
          <w:color w:val="auto"/>
        </w:rPr>
      </w:pPr>
    </w:p>
    <w:p>
      <w:pPr>
        <w:ind w:left="880" w:right="3439"/>
        <w:spacing w:after="0" w:line="260" w:lineRule="auto"/>
        <w:rPr>
          <w:sz w:val="20"/>
          <w:szCs w:val="20"/>
          <w:color w:val="auto"/>
        </w:rPr>
      </w:pPr>
      <w:r>
        <w:rPr>
          <w:rFonts w:ascii="Courier New" w:cs="Courier New" w:eastAsia="Courier New" w:hAnsi="Courier New"/>
          <w:sz w:val="14"/>
          <w:szCs w:val="14"/>
          <w:color w:val="auto"/>
        </w:rPr>
        <w:t>of the Company to fulfill any obligation to Parent under or in connection with this Agreement has been the cause of or resulted in the failure of the Merger to occur on or before such date);</w:t>
      </w:r>
    </w:p>
    <w:p>
      <w:pPr>
        <w:spacing w:after="0" w:line="163" w:lineRule="exact"/>
        <w:rPr>
          <w:sz w:val="20"/>
          <w:szCs w:val="20"/>
          <w:color w:val="auto"/>
        </w:rPr>
      </w:pPr>
    </w:p>
    <w:p>
      <w:pPr>
        <w:ind w:left="1760" w:hanging="531"/>
        <w:spacing w:after="0"/>
        <w:tabs>
          <w:tab w:leader="none" w:pos="1760"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Merger is enjoined by a final, unappealable court</w:t>
      </w:r>
    </w:p>
    <w:p>
      <w:pPr>
        <w:spacing w:after="0" w:line="5"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order;</w:t>
      </w:r>
    </w:p>
    <w:p>
      <w:pPr>
        <w:spacing w:after="0" w:line="174" w:lineRule="exact"/>
        <w:rPr>
          <w:rFonts w:ascii="Courier New" w:cs="Courier New" w:eastAsia="Courier New" w:hAnsi="Courier New"/>
          <w:sz w:val="14"/>
          <w:szCs w:val="14"/>
          <w:color w:val="auto"/>
        </w:rPr>
      </w:pPr>
    </w:p>
    <w:p>
      <w:pPr>
        <w:ind w:left="880" w:right="3359" w:firstLine="349"/>
        <w:spacing w:after="0" w:line="257" w:lineRule="auto"/>
        <w:tabs>
          <w:tab w:leader="none" w:pos="2114"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the Company receives an offer from any third party (excluding any affiliate of the Company or any group of which any affiliate of the Company is a member) with respect to a merger, sale of substantial assets or other business combination involving the Company, and (B) the Company's Board of Directors determines, in good faith and after consultation with an independent financial advisor, that such offer constitutes a Superior Proposal and resolves to accept such a Superior Proposal and (C) the Company shall have given Parent two (2) days' prior written notice of its intention to terminate pursuant to this provision, provided that such termination shall not be effective until such time as the payment required by Section 7.6(b) shall have been received by Parent;</w:t>
      </w:r>
    </w:p>
    <w:p>
      <w:pPr>
        <w:spacing w:after="0" w:line="165" w:lineRule="exact"/>
        <w:rPr>
          <w:rFonts w:ascii="Courier New" w:cs="Courier New" w:eastAsia="Courier New" w:hAnsi="Courier New"/>
          <w:sz w:val="14"/>
          <w:szCs w:val="14"/>
          <w:color w:val="auto"/>
        </w:rPr>
      </w:pPr>
    </w:p>
    <w:p>
      <w:pPr>
        <w:ind w:left="880" w:right="3259" w:firstLine="349"/>
        <w:spacing w:after="0" w:line="238" w:lineRule="auto"/>
        <w:tabs>
          <w:tab w:leader="none" w:pos="1761"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a tender or exchange offer is commenced by a third party (excluding any affiliate of the Company or any group of which any affiliate of the Company is a member) for all outstanding shares of Company Common Stock, (B) the Company's Board of Directors determines, in good faith and after consultation with an independent financial advisor, that such offer constitutes a Superior Proposal and resolves to accept such Superior Proposal or recommend to the stockholders that they tender their shares in such tender or exchange offer and (C) the Company shall have given Parent two (2) days' prior written notice of its intention to terminate pursuant to this provision, provided that such termination shall not be effective until such time as the payment required by Section 7.6(b) shall have been received by Parent; or</w:t>
      </w:r>
    </w:p>
    <w:p>
      <w:pPr>
        <w:spacing w:after="0" w:line="183" w:lineRule="exact"/>
        <w:rPr>
          <w:rFonts w:ascii="Courier New" w:cs="Courier New" w:eastAsia="Courier New" w:hAnsi="Courier New"/>
          <w:sz w:val="15"/>
          <w:szCs w:val="15"/>
          <w:color w:val="auto"/>
        </w:rPr>
      </w:pPr>
    </w:p>
    <w:p>
      <w:pPr>
        <w:jc w:val="both"/>
        <w:ind w:left="880" w:right="3439" w:firstLine="349"/>
        <w:spacing w:after="0" w:line="259" w:lineRule="auto"/>
        <w:tabs>
          <w:tab w:leader="none" w:pos="1761"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Parent (A) fails to perform in any material respect any of its material covenants in this Agreement and (B) does not cure such default in all material respects within 30 days after notice of such default is given to Parent by the Company.</w:t>
      </w:r>
    </w:p>
    <w:p>
      <w:pPr>
        <w:spacing w:after="0" w:line="162" w:lineRule="exact"/>
        <w:rPr>
          <w:rFonts w:ascii="Courier New" w:cs="Courier New" w:eastAsia="Courier New" w:hAnsi="Courier New"/>
          <w:sz w:val="14"/>
          <w:szCs w:val="14"/>
          <w:color w:val="auto"/>
        </w:rPr>
      </w:pPr>
    </w:p>
    <w:p>
      <w:pPr>
        <w:ind w:left="1760" w:hanging="884"/>
        <w:spacing w:after="0"/>
        <w:tabs>
          <w:tab w:leader="none" w:pos="17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have the right to terminate this Agreement:</w:t>
      </w:r>
    </w:p>
    <w:p>
      <w:pPr>
        <w:spacing w:after="0" w:line="180" w:lineRule="exact"/>
        <w:rPr>
          <w:rFonts w:ascii="Courier New" w:cs="Courier New" w:eastAsia="Courier New" w:hAnsi="Courier New"/>
          <w:sz w:val="14"/>
          <w:szCs w:val="14"/>
          <w:color w:val="auto"/>
        </w:rPr>
      </w:pPr>
    </w:p>
    <w:p>
      <w:pPr>
        <w:ind w:left="880" w:right="3359" w:firstLine="349"/>
        <w:spacing w:after="0" w:line="258" w:lineRule="auto"/>
        <w:tabs>
          <w:tab w:leader="none" w:pos="1761"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Merger is not completed by June 30, 1996 (provided that the right to terminate this Agreement under this Section 9.1(b)(i) shall not be available to Parent if the failure of Parent to fulfill any obligation to the Company under or in connection with this Agreement has been the cause of or resulted in the failure of the Merger to occur on or before such date);</w:t>
      </w:r>
    </w:p>
    <w:p>
      <w:pPr>
        <w:spacing w:after="0" w:line="163" w:lineRule="exact"/>
        <w:rPr>
          <w:rFonts w:ascii="Courier New" w:cs="Courier New" w:eastAsia="Courier New" w:hAnsi="Courier New"/>
          <w:sz w:val="14"/>
          <w:szCs w:val="14"/>
          <w:color w:val="auto"/>
        </w:rPr>
      </w:pPr>
    </w:p>
    <w:p>
      <w:pPr>
        <w:ind w:left="1760" w:hanging="531"/>
        <w:spacing w:after="0"/>
        <w:tabs>
          <w:tab w:leader="none" w:pos="176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Merger is enjoined by a final, unappealable court</w:t>
      </w:r>
    </w:p>
    <w:p>
      <w:pPr>
        <w:spacing w:after="0" w:line="5"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order;</w:t>
      </w:r>
    </w:p>
    <w:p>
      <w:pPr>
        <w:spacing w:after="0" w:line="174" w:lineRule="exact"/>
        <w:rPr>
          <w:rFonts w:ascii="Courier New" w:cs="Courier New" w:eastAsia="Courier New" w:hAnsi="Courier New"/>
          <w:sz w:val="14"/>
          <w:szCs w:val="14"/>
          <w:color w:val="auto"/>
        </w:rPr>
      </w:pPr>
    </w:p>
    <w:p>
      <w:pPr>
        <w:ind w:left="880" w:right="3359" w:firstLine="349"/>
        <w:spacing w:after="0" w:line="238" w:lineRule="auto"/>
        <w:tabs>
          <w:tab w:leader="none" w:pos="2114"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Board of Directors of the Company shall have resolved to accept a Superior Proposal or shall have recommended to the stockholders of the Company that they tender their shares in a tender or an exchange offer commenced by a third party (excluding any affiliate of Parent or any group of which any affiliate of Parent is a member); or</w:t>
      </w:r>
    </w:p>
    <w:p>
      <w:pPr>
        <w:spacing w:after="0" w:line="175" w:lineRule="exact"/>
        <w:rPr>
          <w:rFonts w:ascii="Courier New" w:cs="Courier New" w:eastAsia="Courier New" w:hAnsi="Courier New"/>
          <w:sz w:val="15"/>
          <w:szCs w:val="15"/>
          <w:color w:val="auto"/>
        </w:rPr>
      </w:pPr>
    </w:p>
    <w:p>
      <w:pPr>
        <w:ind w:left="880" w:right="3259" w:firstLine="349"/>
        <w:spacing w:after="0" w:line="259" w:lineRule="auto"/>
        <w:tabs>
          <w:tab w:leader="none" w:pos="1761"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(A) fails to perform in any material respect any of its material covenants in this Agreement and (B) does not cure such default in all material respects within 30 days after notice of such default is given to the Company by Parent.</w:t>
      </w:r>
    </w:p>
    <w:p>
      <w:pPr>
        <w:spacing w:after="0" w:line="162" w:lineRule="exact"/>
        <w:rPr>
          <w:rFonts w:ascii="Courier New" w:cs="Courier New" w:eastAsia="Courier New" w:hAnsi="Courier New"/>
          <w:sz w:val="14"/>
          <w:szCs w:val="14"/>
          <w:color w:val="auto"/>
        </w:rPr>
      </w:pPr>
    </w:p>
    <w:p>
      <w:pPr>
        <w:ind w:left="520" w:right="3439" w:firstLine="356"/>
        <w:spacing w:after="0" w:line="237" w:lineRule="auto"/>
        <w:tabs>
          <w:tab w:leader="none" w:pos="1225"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Section 9.1, (i) "affiliate" has the meaning assigned to it in Section 7.4 and (ii) "group" has the meaning set forth in Section 13(d) of the Exchange Act and the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Page 31</w:t>
      </w:r>
    </w:p>
    <w:p>
      <w:pPr>
        <w:sectPr>
          <w:pgSz w:w="11900" w:h="16838" w:orient="portrait"/>
          <w:cols w:equalWidth="0" w:num="1">
            <w:col w:w="9959"/>
          </w:cols>
          <w:pgMar w:left="500" w:top="283"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33</w:t>
      </w:r>
    </w:p>
    <w:p>
      <w:pPr>
        <w:spacing w:after="0" w:line="5"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SECTION 9.2. EFFECT OF TERMINATION. In the event of termination of this Agreement by either Parent or the Company pursuant to the provisions of Section 9.1, this Agreement shall forthwith become void and there shall be no further obligation on the part of the Company, Parent, Subsidiary or their respective officers or directors (except as set forth in this Section 9.2 and in Sections 7.1 and 7.6, all of which shall survive the termination). Nothing in this Section 9.2 shall relieve any party from liability for any willful or intentional breach of this Agreement.</w:t>
      </w:r>
    </w:p>
    <w:p>
      <w:pPr>
        <w:spacing w:after="0" w:line="178" w:lineRule="exact"/>
        <w:rPr>
          <w:sz w:val="20"/>
          <w:szCs w:val="20"/>
          <w:color w:val="auto"/>
        </w:rPr>
      </w:pPr>
    </w:p>
    <w:p>
      <w:pPr>
        <w:jc w:val="both"/>
        <w:ind w:right="3359" w:firstLine="793"/>
        <w:spacing w:after="0" w:line="259" w:lineRule="auto"/>
        <w:rPr>
          <w:sz w:val="20"/>
          <w:szCs w:val="20"/>
          <w:color w:val="auto"/>
        </w:rPr>
      </w:pPr>
      <w:r>
        <w:rPr>
          <w:rFonts w:ascii="Courier New" w:cs="Courier New" w:eastAsia="Courier New" w:hAnsi="Courier New"/>
          <w:sz w:val="14"/>
          <w:szCs w:val="14"/>
          <w:color w:val="auto"/>
        </w:rPr>
        <w:t>SECTION 9.3. AMENDMENT. This Agreement may not be amended except by action taken by the parties' respective Boards of Directors or duly authorized committees thereof and then only by an instrument in writing signed on behalf of each of the parties hereto and in compliance with applicable law.</w:t>
      </w:r>
    </w:p>
    <w:p>
      <w:pPr>
        <w:spacing w:after="0" w:line="163"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SECTION 9.4. WAIVER. At any time prior to the Effective Time, the parties hereto may (a) extend the time for the performance of any of the obligations or other acts of the other parties hereto, (b) waive any inaccuracies in the representations and warranties contained herein or in any document delivered pursuant thereto and (c) waive compliance with any of the agreements or conditions contained herein. Any agreement on the part of a party hereto to any such extension or waiver shall be valid if set forth in an instrument in writing signed on behalf of such party.</w:t>
      </w:r>
    </w:p>
    <w:p>
      <w:pPr>
        <w:spacing w:after="0" w:line="34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X</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GENERAL PROVISIONS</w:t>
      </w:r>
    </w:p>
    <w:p>
      <w:pPr>
        <w:spacing w:after="0" w:line="175"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SECTION 10.1. NON-SURVIVAL OF REPRESENTATIONS AND WARRANTIES. All representations and warranties in this Agreement shall not survive the Merger, and after effectiveness of the Merger neither the Company, Parent, Subsidiary or their respective officers or directors shall have any further obligation with respect thereto.</w:t>
      </w:r>
    </w:p>
    <w:p>
      <w:pPr>
        <w:spacing w:after="0" w:line="178"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10.2. NOTICES. All notices and other communications hereunder shall be in writing and shall be deemed given if delivered personally, mailed by registered or certified mail (return receipt requested) or sent via facsimile to the parties at the following addresses (or at such other address for a party as shall be specified by like notice):</w:t>
      </w:r>
    </w:p>
    <w:p>
      <w:pPr>
        <w:spacing w:after="0" w:line="173" w:lineRule="exact"/>
        <w:rPr>
          <w:sz w:val="20"/>
          <w:szCs w:val="20"/>
          <w:color w:val="auto"/>
        </w:rPr>
      </w:pPr>
    </w:p>
    <w:p>
      <w:pPr>
        <w:ind w:left="2380" w:hanging="1244"/>
        <w:spacing w:after="0"/>
        <w:tabs>
          <w:tab w:leader="none" w:pos="23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Parent or Subsidiary to:</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USA Waste Services, Inc.</w:t>
      </w:r>
    </w:p>
    <w:p>
      <w:pPr>
        <w:ind w:left="2020"/>
        <w:spacing w:after="0"/>
        <w:rPr>
          <w:sz w:val="20"/>
          <w:szCs w:val="20"/>
          <w:color w:val="auto"/>
        </w:rPr>
      </w:pPr>
      <w:r>
        <w:rPr>
          <w:rFonts w:ascii="Courier New" w:cs="Courier New" w:eastAsia="Courier New" w:hAnsi="Courier New"/>
          <w:sz w:val="15"/>
          <w:szCs w:val="15"/>
          <w:color w:val="auto"/>
        </w:rPr>
        <w:t>5400 LBJ Freeway</w:t>
      </w:r>
    </w:p>
    <w:p>
      <w:pPr>
        <w:ind w:left="2020"/>
        <w:spacing w:after="0"/>
        <w:rPr>
          <w:sz w:val="20"/>
          <w:szCs w:val="20"/>
          <w:color w:val="auto"/>
        </w:rPr>
      </w:pPr>
      <w:r>
        <w:rPr>
          <w:rFonts w:ascii="Courier New" w:cs="Courier New" w:eastAsia="Courier New" w:hAnsi="Courier New"/>
          <w:sz w:val="15"/>
          <w:szCs w:val="15"/>
          <w:color w:val="auto"/>
        </w:rPr>
        <w:t>Suite 300 - Tower One</w:t>
      </w:r>
    </w:p>
    <w:p>
      <w:pPr>
        <w:ind w:left="2020"/>
        <w:spacing w:after="0" w:line="238" w:lineRule="auto"/>
        <w:rPr>
          <w:sz w:val="20"/>
          <w:szCs w:val="20"/>
          <w:color w:val="auto"/>
        </w:rPr>
      </w:pPr>
      <w:r>
        <w:rPr>
          <w:rFonts w:ascii="Courier New" w:cs="Courier New" w:eastAsia="Courier New" w:hAnsi="Courier New"/>
          <w:sz w:val="15"/>
          <w:szCs w:val="15"/>
          <w:color w:val="auto"/>
        </w:rPr>
        <w:t>Dallas, Texas 75240</w:t>
      </w:r>
    </w:p>
    <w:p>
      <w:pPr>
        <w:ind w:left="2020"/>
        <w:spacing w:after="0"/>
        <w:rPr>
          <w:sz w:val="20"/>
          <w:szCs w:val="20"/>
          <w:color w:val="auto"/>
        </w:rPr>
      </w:pPr>
      <w:r>
        <w:rPr>
          <w:rFonts w:ascii="Courier New" w:cs="Courier New" w:eastAsia="Courier New" w:hAnsi="Courier New"/>
          <w:sz w:val="15"/>
          <w:szCs w:val="15"/>
          <w:color w:val="auto"/>
        </w:rPr>
        <w:t>Attention: Chief Executive Officer</w:t>
      </w:r>
    </w:p>
    <w:p>
      <w:pPr>
        <w:ind w:left="2020"/>
        <w:spacing w:after="0"/>
        <w:rPr>
          <w:sz w:val="20"/>
          <w:szCs w:val="20"/>
          <w:color w:val="auto"/>
        </w:rPr>
      </w:pPr>
      <w:r>
        <w:rPr>
          <w:rFonts w:ascii="Courier New" w:cs="Courier New" w:eastAsia="Courier New" w:hAnsi="Courier New"/>
          <w:sz w:val="15"/>
          <w:szCs w:val="15"/>
          <w:color w:val="auto"/>
        </w:rPr>
        <w:t>Telecopy: 214-383-7919</w:t>
      </w:r>
    </w:p>
    <w:p>
      <w:pPr>
        <w:spacing w:after="0" w:line="168"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with a copy to:</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Gregory T. Sangalis</w:t>
      </w:r>
    </w:p>
    <w:p>
      <w:pPr>
        <w:ind w:left="2020"/>
        <w:spacing w:after="0"/>
        <w:rPr>
          <w:sz w:val="20"/>
          <w:szCs w:val="20"/>
          <w:color w:val="auto"/>
        </w:rPr>
      </w:pPr>
      <w:r>
        <w:rPr>
          <w:rFonts w:ascii="Courier New" w:cs="Courier New" w:eastAsia="Courier New" w:hAnsi="Courier New"/>
          <w:sz w:val="15"/>
          <w:szCs w:val="15"/>
          <w:color w:val="auto"/>
        </w:rPr>
        <w:t>5400 LBJ Freeway</w:t>
      </w:r>
    </w:p>
    <w:p>
      <w:pPr>
        <w:ind w:left="2020"/>
        <w:spacing w:after="0"/>
        <w:rPr>
          <w:sz w:val="20"/>
          <w:szCs w:val="20"/>
          <w:color w:val="auto"/>
        </w:rPr>
      </w:pPr>
      <w:r>
        <w:rPr>
          <w:rFonts w:ascii="Courier New" w:cs="Courier New" w:eastAsia="Courier New" w:hAnsi="Courier New"/>
          <w:sz w:val="15"/>
          <w:szCs w:val="15"/>
          <w:color w:val="auto"/>
        </w:rPr>
        <w:t>Suite 300 - Tower One</w:t>
      </w:r>
    </w:p>
    <w:p>
      <w:pPr>
        <w:ind w:left="2020"/>
        <w:spacing w:after="0" w:line="238" w:lineRule="auto"/>
        <w:rPr>
          <w:sz w:val="20"/>
          <w:szCs w:val="20"/>
          <w:color w:val="auto"/>
        </w:rPr>
      </w:pPr>
      <w:r>
        <w:rPr>
          <w:rFonts w:ascii="Courier New" w:cs="Courier New" w:eastAsia="Courier New" w:hAnsi="Courier New"/>
          <w:sz w:val="15"/>
          <w:szCs w:val="15"/>
          <w:color w:val="auto"/>
        </w:rPr>
        <w:t>Dallas, Texas 75240</w:t>
      </w:r>
    </w:p>
    <w:p>
      <w:pPr>
        <w:ind w:left="2020"/>
        <w:spacing w:after="0"/>
        <w:rPr>
          <w:sz w:val="20"/>
          <w:szCs w:val="20"/>
          <w:color w:val="auto"/>
        </w:rPr>
      </w:pPr>
      <w:r>
        <w:rPr>
          <w:rFonts w:ascii="Courier New" w:cs="Courier New" w:eastAsia="Courier New" w:hAnsi="Courier New"/>
          <w:sz w:val="15"/>
          <w:szCs w:val="15"/>
          <w:color w:val="auto"/>
        </w:rPr>
        <w:t>Telecopy: 214-383-7919</w:t>
      </w:r>
    </w:p>
    <w:p>
      <w:pPr>
        <w:spacing w:after="0" w:line="169" w:lineRule="exact"/>
        <w:rPr>
          <w:sz w:val="20"/>
          <w:szCs w:val="20"/>
          <w:color w:val="auto"/>
        </w:rPr>
      </w:pPr>
    </w:p>
    <w:p>
      <w:pPr>
        <w:ind w:left="2020" w:hanging="884"/>
        <w:spacing w:after="0"/>
        <w:tabs>
          <w:tab w:leader="none" w:pos="20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Company, to:</w:t>
      </w:r>
    </w:p>
    <w:p>
      <w:pPr>
        <w:spacing w:after="0" w:line="174" w:lineRule="exact"/>
        <w:rPr>
          <w:rFonts w:ascii="Courier New" w:cs="Courier New" w:eastAsia="Courier New" w:hAnsi="Courier New"/>
          <w:sz w:val="15"/>
          <w:szCs w:val="15"/>
          <w:color w:val="auto"/>
        </w:rPr>
      </w:pPr>
    </w:p>
    <w:p>
      <w:pPr>
        <w:ind w:left="2020" w:right="591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Western Waste Industries 21061 South Western Avenue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32</w:t>
      </w:r>
    </w:p>
    <w:p>
      <w:pPr>
        <w:sectPr>
          <w:pgSz w:w="11900" w:h="16838" w:orient="portrait"/>
          <w:cols w:equalWidth="0" w:num="1">
            <w:col w:w="10219"/>
          </w:cols>
          <w:pgMar w:left="240" w:top="283"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34</w:t>
      </w:r>
    </w:p>
    <w:p>
      <w:pPr>
        <w:ind w:left="2020"/>
        <w:spacing w:after="0"/>
        <w:rPr>
          <w:sz w:val="20"/>
          <w:szCs w:val="20"/>
          <w:color w:val="auto"/>
        </w:rPr>
      </w:pPr>
      <w:r>
        <w:rPr>
          <w:rFonts w:ascii="Courier New" w:cs="Courier New" w:eastAsia="Courier New" w:hAnsi="Courier New"/>
          <w:sz w:val="15"/>
          <w:szCs w:val="15"/>
          <w:color w:val="auto"/>
        </w:rPr>
        <w:t>Torrance, California 90501</w:t>
      </w:r>
    </w:p>
    <w:p>
      <w:pPr>
        <w:ind w:left="2020"/>
        <w:spacing w:after="0"/>
        <w:rPr>
          <w:sz w:val="20"/>
          <w:szCs w:val="20"/>
          <w:color w:val="auto"/>
        </w:rPr>
      </w:pPr>
      <w:r>
        <w:rPr>
          <w:rFonts w:ascii="Courier New" w:cs="Courier New" w:eastAsia="Courier New" w:hAnsi="Courier New"/>
          <w:sz w:val="15"/>
          <w:szCs w:val="15"/>
          <w:color w:val="auto"/>
        </w:rPr>
        <w:t>Attention: Chief Executive Officer</w:t>
      </w:r>
    </w:p>
    <w:p>
      <w:pPr>
        <w:ind w:left="2020"/>
        <w:spacing w:after="0"/>
        <w:tabs>
          <w:tab w:leader="none" w:pos="2960" w:val="left"/>
        </w:tabs>
        <w:rPr>
          <w:sz w:val="20"/>
          <w:szCs w:val="20"/>
          <w:color w:val="auto"/>
        </w:rPr>
      </w:pPr>
      <w:r>
        <w:rPr>
          <w:rFonts w:ascii="Courier New" w:cs="Courier New" w:eastAsia="Courier New" w:hAnsi="Courier New"/>
          <w:sz w:val="15"/>
          <w:szCs w:val="15"/>
          <w:color w:val="auto"/>
        </w:rPr>
        <w:t>Telecopy:</w:t>
      </w:r>
      <w:r>
        <w:rPr>
          <w:sz w:val="20"/>
          <w:szCs w:val="20"/>
          <w:color w:val="auto"/>
        </w:rPr>
        <w:tab/>
      </w:r>
      <w:r>
        <w:rPr>
          <w:rFonts w:ascii="Courier New" w:cs="Courier New" w:eastAsia="Courier New" w:hAnsi="Courier New"/>
          <w:sz w:val="14"/>
          <w:szCs w:val="14"/>
          <w:color w:val="auto"/>
        </w:rPr>
        <w:t>310-212-7093</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with copies to:</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Arnold Rothlisberger</w:t>
      </w:r>
    </w:p>
    <w:p>
      <w:pPr>
        <w:ind w:left="2020"/>
        <w:spacing w:after="0"/>
        <w:rPr>
          <w:sz w:val="20"/>
          <w:szCs w:val="20"/>
          <w:color w:val="auto"/>
        </w:rPr>
      </w:pPr>
      <w:r>
        <w:rPr>
          <w:rFonts w:ascii="Courier New" w:cs="Courier New" w:eastAsia="Courier New" w:hAnsi="Courier New"/>
          <w:sz w:val="15"/>
          <w:szCs w:val="15"/>
          <w:color w:val="auto"/>
        </w:rPr>
        <w:t>Western Waste Industries</w:t>
      </w:r>
    </w:p>
    <w:p>
      <w:pPr>
        <w:ind w:left="2020"/>
        <w:spacing w:after="0"/>
        <w:rPr>
          <w:sz w:val="20"/>
          <w:szCs w:val="20"/>
          <w:color w:val="auto"/>
        </w:rPr>
      </w:pPr>
      <w:r>
        <w:rPr>
          <w:rFonts w:ascii="Courier New" w:cs="Courier New" w:eastAsia="Courier New" w:hAnsi="Courier New"/>
          <w:sz w:val="15"/>
          <w:szCs w:val="15"/>
          <w:color w:val="auto"/>
        </w:rPr>
        <w:t>21061 South Western Avenue</w:t>
      </w:r>
    </w:p>
    <w:p>
      <w:pPr>
        <w:ind w:left="2020"/>
        <w:spacing w:after="0" w:line="238" w:lineRule="auto"/>
        <w:rPr>
          <w:sz w:val="20"/>
          <w:szCs w:val="20"/>
          <w:color w:val="auto"/>
        </w:rPr>
      </w:pPr>
      <w:r>
        <w:rPr>
          <w:rFonts w:ascii="Courier New" w:cs="Courier New" w:eastAsia="Courier New" w:hAnsi="Courier New"/>
          <w:sz w:val="15"/>
          <w:szCs w:val="15"/>
          <w:color w:val="auto"/>
        </w:rPr>
        <w:t>Torrance, California 90501</w:t>
      </w:r>
    </w:p>
    <w:p>
      <w:pPr>
        <w:ind w:left="2020"/>
        <w:spacing w:after="0"/>
        <w:tabs>
          <w:tab w:leader="none" w:pos="2960" w:val="left"/>
        </w:tabs>
        <w:rPr>
          <w:sz w:val="20"/>
          <w:szCs w:val="20"/>
          <w:color w:val="auto"/>
        </w:rPr>
      </w:pPr>
      <w:r>
        <w:rPr>
          <w:rFonts w:ascii="Courier New" w:cs="Courier New" w:eastAsia="Courier New" w:hAnsi="Courier New"/>
          <w:sz w:val="15"/>
          <w:szCs w:val="15"/>
          <w:color w:val="auto"/>
        </w:rPr>
        <w:t>Telecopy:</w:t>
      </w:r>
      <w:r>
        <w:rPr>
          <w:sz w:val="20"/>
          <w:szCs w:val="20"/>
          <w:color w:val="auto"/>
        </w:rPr>
        <w:tab/>
      </w:r>
      <w:r>
        <w:rPr>
          <w:rFonts w:ascii="Courier New" w:cs="Courier New" w:eastAsia="Courier New" w:hAnsi="Courier New"/>
          <w:sz w:val="14"/>
          <w:szCs w:val="14"/>
          <w:color w:val="auto"/>
        </w:rPr>
        <w:t>310-212-7093</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James J. Slaby</w:t>
      </w:r>
    </w:p>
    <w:p>
      <w:pPr>
        <w:ind w:left="2020"/>
        <w:spacing w:after="0"/>
        <w:rPr>
          <w:sz w:val="20"/>
          <w:szCs w:val="20"/>
          <w:color w:val="auto"/>
        </w:rPr>
      </w:pPr>
      <w:r>
        <w:rPr>
          <w:rFonts w:ascii="Courier New" w:cs="Courier New" w:eastAsia="Courier New" w:hAnsi="Courier New"/>
          <w:sz w:val="15"/>
          <w:szCs w:val="15"/>
          <w:color w:val="auto"/>
        </w:rPr>
        <w:t>Sheppard, Mullin, Richter</w:t>
      </w:r>
    </w:p>
    <w:p>
      <w:pPr>
        <w:ind w:left="2100"/>
        <w:spacing w:after="0"/>
        <w:rPr>
          <w:sz w:val="20"/>
          <w:szCs w:val="20"/>
          <w:color w:val="auto"/>
        </w:rPr>
      </w:pPr>
      <w:r>
        <w:rPr>
          <w:rFonts w:ascii="Courier New" w:cs="Courier New" w:eastAsia="Courier New" w:hAnsi="Courier New"/>
          <w:sz w:val="15"/>
          <w:szCs w:val="15"/>
          <w:color w:val="auto"/>
        </w:rPr>
        <w:t>&amp; Hampton</w:t>
      </w:r>
    </w:p>
    <w:p>
      <w:pPr>
        <w:ind w:left="2020"/>
        <w:spacing w:after="0" w:line="238" w:lineRule="auto"/>
        <w:rPr>
          <w:sz w:val="20"/>
          <w:szCs w:val="20"/>
          <w:color w:val="auto"/>
        </w:rPr>
      </w:pPr>
      <w:r>
        <w:rPr>
          <w:rFonts w:ascii="Courier New" w:cs="Courier New" w:eastAsia="Courier New" w:hAnsi="Courier New"/>
          <w:sz w:val="15"/>
          <w:szCs w:val="15"/>
          <w:color w:val="auto"/>
        </w:rPr>
        <w:t>333 South Hope Street</w:t>
      </w:r>
    </w:p>
    <w:p>
      <w:pPr>
        <w:ind w:left="2020"/>
        <w:spacing w:after="0"/>
        <w:rPr>
          <w:sz w:val="20"/>
          <w:szCs w:val="20"/>
          <w:color w:val="auto"/>
        </w:rPr>
      </w:pPr>
      <w:r>
        <w:rPr>
          <w:rFonts w:ascii="Courier New" w:cs="Courier New" w:eastAsia="Courier New" w:hAnsi="Courier New"/>
          <w:sz w:val="15"/>
          <w:szCs w:val="15"/>
          <w:color w:val="auto"/>
        </w:rPr>
        <w:t>48th Floor</w:t>
      </w:r>
    </w:p>
    <w:p>
      <w:pPr>
        <w:ind w:left="2020"/>
        <w:spacing w:after="0"/>
        <w:rPr>
          <w:sz w:val="20"/>
          <w:szCs w:val="20"/>
          <w:color w:val="auto"/>
        </w:rPr>
      </w:pPr>
      <w:r>
        <w:rPr>
          <w:rFonts w:ascii="Courier New" w:cs="Courier New" w:eastAsia="Courier New" w:hAnsi="Courier New"/>
          <w:sz w:val="15"/>
          <w:szCs w:val="15"/>
          <w:color w:val="auto"/>
        </w:rPr>
        <w:t>Los Angeles,California 90071</w:t>
      </w:r>
    </w:p>
    <w:p>
      <w:pPr>
        <w:spacing w:after="0" w:line="174"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10.3. INTERPRETATION. The headings contained in this Agreement are for reference purposes only and shall not affect in any way the meaning or interpretation of this Agreement. In this Agreement, unless a contrary intention appears, (i) the words "herein", "hereof" and "hereunder" and other words of similar import refer to this Agreement as a whole and not to any particular Article, Section or other subdivision and (ii) reference to any Article or Section means such Article or Section hereof. No provision of this Agreement shall be interpreted or construed against any party hereto solely because such party or its legal representative drafted such provision.</w:t>
      </w:r>
    </w:p>
    <w:p>
      <w:pPr>
        <w:spacing w:after="0" w:line="179" w:lineRule="exact"/>
        <w:rPr>
          <w:sz w:val="20"/>
          <w:szCs w:val="20"/>
          <w:color w:val="auto"/>
        </w:rPr>
      </w:pPr>
    </w:p>
    <w:p>
      <w:pPr>
        <w:ind w:right="3359" w:firstLine="793"/>
        <w:spacing w:after="0" w:line="257" w:lineRule="auto"/>
        <w:rPr>
          <w:sz w:val="20"/>
          <w:szCs w:val="20"/>
          <w:color w:val="auto"/>
        </w:rPr>
      </w:pPr>
      <w:r>
        <w:rPr>
          <w:rFonts w:ascii="Courier New" w:cs="Courier New" w:eastAsia="Courier New" w:hAnsi="Courier New"/>
          <w:sz w:val="14"/>
          <w:szCs w:val="14"/>
          <w:color w:val="auto"/>
        </w:rPr>
        <w:t>SECTION 10.4. MISCELLANEOUS. This Agreement (including the documents and instruments referred to herein) (a) constitutes the entire agreement and supersedes all other prior agreements and understandings, both written and oral, among the parties, or any of them, with respect to the subject matter hereof (including the provisions of that certain Agreement dated December 9, 1995 by and between the Company and Parent concerning confidentiality and related matters (the "Confidentiality Agreement"), except that the provisions of Sections 3 and 4 thereof shall remain in effect), (b) is not intended to confer upon any other person any rights or remedies hereunder, except for rights of indemnified Parties under Section 7.11 and (c) shall not be assigned by operation of law or otherwise, except that Subsidiary may assign this Agreement to any other wholly-owned subsidiary of Parent. THIS AGREEMENT SHALL BE GOVERNED IN ALL RESPECTS, INCLUDING VALIDITY, INTERPRETATION AND EFFECT, BY THE LAWS OF THE STATE OF DELAWARE APPLICABLE TO CONTRACTS EXECUTED AND TO BE PERFORMED WHOLLY WITHIN SUCH STATE, EXCEPT TO THE EXTENT THAT THE LAWS OF THE STATE OF CALIFORNIA MANDATORILY APPLY.</w:t>
      </w:r>
    </w:p>
    <w:p>
      <w:pPr>
        <w:spacing w:after="0" w:line="164" w:lineRule="exact"/>
        <w:rPr>
          <w:sz w:val="20"/>
          <w:szCs w:val="20"/>
          <w:color w:val="auto"/>
        </w:rPr>
      </w:pPr>
    </w:p>
    <w:p>
      <w:pPr>
        <w:jc w:val="both"/>
        <w:ind w:right="3359" w:firstLine="793"/>
        <w:spacing w:after="0" w:line="237" w:lineRule="auto"/>
        <w:rPr>
          <w:sz w:val="20"/>
          <w:szCs w:val="20"/>
          <w:color w:val="auto"/>
        </w:rPr>
      </w:pPr>
      <w:r>
        <w:rPr>
          <w:rFonts w:ascii="Courier New" w:cs="Courier New" w:eastAsia="Courier New" w:hAnsi="Courier New"/>
          <w:sz w:val="15"/>
          <w:szCs w:val="15"/>
          <w:color w:val="auto"/>
        </w:rPr>
        <w:t>SECTION 10.5. COUNTERPARTS. This Agreement may be executed in two or more counterparts, each of which shall be deemed to be an original, but all of which shall constitute one and the same agreement.</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10.6. PARTIES IN INTEREST. This Agreement shall be binding upon and inure solely to the benefit of each party hereto, and except as set forth in Section 7.11, nothing in this Agreement, express or implied, is intended to confer upon any other person any rights or remedies of any nature whatsoever under or by reason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33</w:t>
      </w:r>
    </w:p>
    <w:p>
      <w:pPr>
        <w:sectPr>
          <w:pgSz w:w="11900" w:h="16838" w:orient="portrait"/>
          <w:cols w:equalWidth="0" w:num="1">
            <w:col w:w="10219"/>
          </w:cols>
          <w:pgMar w:left="240" w:top="283"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35</w:t>
      </w:r>
    </w:p>
    <w:p>
      <w:pPr>
        <w:spacing w:after="0" w:line="175"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IN WITNESS WHEREOF, Parent, Subsidiary and the Company have caused this Agreement to be signed by their respective officers and attested to as of the date first written above.</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USA WASTE SERVICES, INC.</w:t>
      </w:r>
    </w:p>
    <w:tbl>
      <w:tblPr>
        <w:tblLayout w:type="fixed"/>
        <w:tblInd w:w="0" w:type="dxa"/>
        <w:tblCellMar>
          <w:top w:w="0" w:type="dxa"/>
          <w:left w:w="0" w:type="dxa"/>
          <w:bottom w:w="0" w:type="dxa"/>
          <w:right w:w="0" w:type="dxa"/>
        </w:tblCellMar>
      </w:tblP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Attest:</w:t>
            </w:r>
          </w:p>
        </w:tc>
        <w:tc>
          <w:tcPr>
            <w:tcW w:w="1000" w:type="dxa"/>
            <w:vAlign w:val="bottom"/>
          </w:tcPr>
          <w:p>
            <w:pPr>
              <w:spacing w:after="0"/>
              <w:rPr>
                <w:sz w:val="14"/>
                <w:szCs w:val="14"/>
                <w:color w:val="auto"/>
              </w:rPr>
            </w:pPr>
          </w:p>
        </w:tc>
        <w:tc>
          <w:tcPr>
            <w:tcW w:w="3620" w:type="dxa"/>
            <w:vAlign w:val="bottom"/>
          </w:tcPr>
          <w:p>
            <w:pPr>
              <w:spacing w:after="0"/>
              <w:rPr>
                <w:sz w:val="14"/>
                <w:szCs w:val="14"/>
                <w:color w:val="auto"/>
              </w:rPr>
            </w:pPr>
          </w:p>
        </w:tc>
      </w:tr>
      <w:tr>
        <w:trPr>
          <w:trHeight w:val="509"/>
        </w:trPr>
        <w:tc>
          <w:tcPr>
            <w:tcW w:w="2600" w:type="dxa"/>
            <w:vAlign w:val="bottom"/>
          </w:tcPr>
          <w:p>
            <w:pPr>
              <w:spacing w:after="0"/>
              <w:rPr>
                <w:sz w:val="20"/>
                <w:szCs w:val="20"/>
                <w:color w:val="auto"/>
              </w:rPr>
            </w:pPr>
            <w:r>
              <w:rPr>
                <w:rFonts w:ascii="Courier New" w:cs="Courier New" w:eastAsia="Courier New" w:hAnsi="Courier New"/>
                <w:sz w:val="15"/>
                <w:szCs w:val="15"/>
                <w:color w:val="auto"/>
              </w:rPr>
              <w:t>/s/ GREGORY T. SANGALIS</w:t>
            </w:r>
          </w:p>
        </w:tc>
        <w:tc>
          <w:tcPr>
            <w:tcW w:w="1000" w:type="dxa"/>
            <w:vAlign w:val="bottom"/>
          </w:tcPr>
          <w:p>
            <w:pPr>
              <w:ind w:left="380"/>
              <w:spacing w:after="0"/>
              <w:rPr>
                <w:sz w:val="20"/>
                <w:szCs w:val="20"/>
                <w:color w:val="auto"/>
              </w:rPr>
            </w:pPr>
            <w:r>
              <w:rPr>
                <w:rFonts w:ascii="Courier New" w:cs="Courier New" w:eastAsia="Courier New" w:hAnsi="Courier New"/>
                <w:sz w:val="15"/>
                <w:szCs w:val="15"/>
                <w:color w:val="auto"/>
              </w:rPr>
              <w:t>By:</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/s/ JOHN E. DRURY</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20" w:type="dxa"/>
            <w:vAlign w:val="bottom"/>
            <w:gridSpan w:val="2"/>
          </w:tcPr>
          <w:p>
            <w:pPr>
              <w:ind w:left="8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Secretary</w:t>
            </w:r>
          </w:p>
        </w:tc>
        <w:tc>
          <w:tcPr>
            <w:tcW w:w="1000" w:type="dxa"/>
            <w:vAlign w:val="bottom"/>
          </w:tcPr>
          <w:p>
            <w:pPr>
              <w:ind w:left="380"/>
              <w:spacing w:after="0"/>
              <w:rPr>
                <w:sz w:val="20"/>
                <w:szCs w:val="20"/>
                <w:color w:val="auto"/>
              </w:rPr>
            </w:pPr>
            <w:r>
              <w:rPr>
                <w:rFonts w:ascii="Courier New" w:cs="Courier New" w:eastAsia="Courier New" w:hAnsi="Courier New"/>
                <w:sz w:val="15"/>
                <w:szCs w:val="15"/>
                <w:color w:val="auto"/>
              </w:rPr>
              <w:t>Name:</w:t>
            </w: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John E. Drury</w:t>
            </w:r>
          </w:p>
        </w:tc>
      </w:tr>
      <w:tr>
        <w:trPr>
          <w:trHeight w:val="170"/>
        </w:trPr>
        <w:tc>
          <w:tcPr>
            <w:tcW w:w="2600" w:type="dxa"/>
            <w:vAlign w:val="bottom"/>
          </w:tcPr>
          <w:p>
            <w:pPr>
              <w:spacing w:after="0"/>
              <w:rPr>
                <w:sz w:val="14"/>
                <w:szCs w:val="14"/>
                <w:color w:val="auto"/>
              </w:rPr>
            </w:pPr>
          </w:p>
        </w:tc>
        <w:tc>
          <w:tcPr>
            <w:tcW w:w="1000" w:type="dxa"/>
            <w:vAlign w:val="bottom"/>
          </w:tcPr>
          <w:p>
            <w:pPr>
              <w:ind w:left="380"/>
              <w:spacing w:after="0"/>
              <w:rPr>
                <w:sz w:val="20"/>
                <w:szCs w:val="20"/>
                <w:color w:val="auto"/>
              </w:rPr>
            </w:pPr>
            <w:r>
              <w:rPr>
                <w:rFonts w:ascii="Courier New" w:cs="Courier New" w:eastAsia="Courier New" w:hAnsi="Courier New"/>
                <w:sz w:val="15"/>
                <w:szCs w:val="15"/>
                <w:color w:val="auto"/>
              </w:rPr>
              <w:t>Title:</w:t>
            </w: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Chief Executive Officer</w:t>
            </w:r>
          </w:p>
        </w:tc>
      </w:tr>
      <w:tr>
        <w:trPr>
          <w:trHeight w:val="509"/>
        </w:trPr>
        <w:tc>
          <w:tcPr>
            <w:tcW w:w="2600" w:type="dxa"/>
            <w:vAlign w:val="bottom"/>
          </w:tcPr>
          <w:p>
            <w:pPr>
              <w:spacing w:after="0"/>
              <w:rPr>
                <w:sz w:val="24"/>
                <w:szCs w:val="24"/>
                <w:color w:val="auto"/>
              </w:rPr>
            </w:pPr>
          </w:p>
        </w:tc>
        <w:tc>
          <w:tcPr>
            <w:tcW w:w="1000" w:type="dxa"/>
            <w:vAlign w:val="bottom"/>
          </w:tcPr>
          <w:p>
            <w:pPr>
              <w:ind w:left="380"/>
              <w:spacing w:after="0"/>
              <w:rPr>
                <w:sz w:val="20"/>
                <w:szCs w:val="20"/>
                <w:color w:val="auto"/>
              </w:rPr>
            </w:pPr>
            <w:r>
              <w:rPr>
                <w:rFonts w:ascii="Courier New" w:cs="Courier New" w:eastAsia="Courier New" w:hAnsi="Courier New"/>
                <w:sz w:val="15"/>
                <w:szCs w:val="15"/>
                <w:color w:val="auto"/>
                <w:w w:val="95"/>
              </w:rPr>
              <w:t>RIVIERA</w:t>
            </w: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ACQUISITION CORPORATION</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Attest:</w:t>
            </w:r>
          </w:p>
        </w:tc>
        <w:tc>
          <w:tcPr>
            <w:tcW w:w="1000" w:type="dxa"/>
            <w:vAlign w:val="bottom"/>
          </w:tcPr>
          <w:p>
            <w:pPr>
              <w:spacing w:after="0"/>
              <w:rPr>
                <w:sz w:val="14"/>
                <w:szCs w:val="14"/>
                <w:color w:val="auto"/>
              </w:rPr>
            </w:pPr>
          </w:p>
        </w:tc>
        <w:tc>
          <w:tcPr>
            <w:tcW w:w="3620" w:type="dxa"/>
            <w:vAlign w:val="bottom"/>
          </w:tcPr>
          <w:p>
            <w:pPr>
              <w:spacing w:after="0"/>
              <w:rPr>
                <w:sz w:val="14"/>
                <w:szCs w:val="14"/>
                <w:color w:val="auto"/>
              </w:rPr>
            </w:pPr>
          </w:p>
        </w:tc>
      </w:tr>
      <w:tr>
        <w:trPr>
          <w:trHeight w:val="509"/>
        </w:trPr>
        <w:tc>
          <w:tcPr>
            <w:tcW w:w="2600" w:type="dxa"/>
            <w:vAlign w:val="bottom"/>
          </w:tcPr>
          <w:p>
            <w:pPr>
              <w:spacing w:after="0"/>
              <w:rPr>
                <w:sz w:val="20"/>
                <w:szCs w:val="20"/>
                <w:color w:val="auto"/>
              </w:rPr>
            </w:pPr>
            <w:r>
              <w:rPr>
                <w:rFonts w:ascii="Courier New" w:cs="Courier New" w:eastAsia="Courier New" w:hAnsi="Courier New"/>
                <w:sz w:val="15"/>
                <w:szCs w:val="15"/>
                <w:color w:val="auto"/>
              </w:rPr>
              <w:t>/s/ GREGORY T. SANGALIS</w:t>
            </w:r>
          </w:p>
        </w:tc>
        <w:tc>
          <w:tcPr>
            <w:tcW w:w="1000" w:type="dxa"/>
            <w:vAlign w:val="bottom"/>
          </w:tcPr>
          <w:p>
            <w:pPr>
              <w:ind w:left="380"/>
              <w:spacing w:after="0"/>
              <w:rPr>
                <w:sz w:val="20"/>
                <w:szCs w:val="20"/>
                <w:color w:val="auto"/>
              </w:rPr>
            </w:pPr>
            <w:r>
              <w:rPr>
                <w:rFonts w:ascii="Courier New" w:cs="Courier New" w:eastAsia="Courier New" w:hAnsi="Courier New"/>
                <w:sz w:val="15"/>
                <w:szCs w:val="15"/>
                <w:color w:val="auto"/>
              </w:rPr>
              <w:t>By:</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/s/ JOHN E. DRURY</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20" w:type="dxa"/>
            <w:vAlign w:val="bottom"/>
            <w:gridSpan w:val="2"/>
          </w:tcPr>
          <w:p>
            <w:pPr>
              <w:ind w:left="8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Secretary</w:t>
            </w:r>
          </w:p>
        </w:tc>
        <w:tc>
          <w:tcPr>
            <w:tcW w:w="1000" w:type="dxa"/>
            <w:vAlign w:val="bottom"/>
          </w:tcPr>
          <w:p>
            <w:pPr>
              <w:ind w:left="380"/>
              <w:spacing w:after="0"/>
              <w:rPr>
                <w:sz w:val="20"/>
                <w:szCs w:val="20"/>
                <w:color w:val="auto"/>
              </w:rPr>
            </w:pPr>
            <w:r>
              <w:rPr>
                <w:rFonts w:ascii="Courier New" w:cs="Courier New" w:eastAsia="Courier New" w:hAnsi="Courier New"/>
                <w:sz w:val="15"/>
                <w:szCs w:val="15"/>
                <w:color w:val="auto"/>
              </w:rPr>
              <w:t>Name:</w:t>
            </w: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John E. Drury</w:t>
            </w:r>
          </w:p>
        </w:tc>
      </w:tr>
      <w:tr>
        <w:trPr>
          <w:trHeight w:val="170"/>
        </w:trPr>
        <w:tc>
          <w:tcPr>
            <w:tcW w:w="2600" w:type="dxa"/>
            <w:vAlign w:val="bottom"/>
          </w:tcPr>
          <w:p>
            <w:pPr>
              <w:spacing w:after="0"/>
              <w:rPr>
                <w:sz w:val="14"/>
                <w:szCs w:val="14"/>
                <w:color w:val="auto"/>
              </w:rPr>
            </w:pPr>
          </w:p>
        </w:tc>
        <w:tc>
          <w:tcPr>
            <w:tcW w:w="1000" w:type="dxa"/>
            <w:vAlign w:val="bottom"/>
          </w:tcPr>
          <w:p>
            <w:pPr>
              <w:ind w:left="380"/>
              <w:spacing w:after="0"/>
              <w:rPr>
                <w:sz w:val="20"/>
                <w:szCs w:val="20"/>
                <w:color w:val="auto"/>
              </w:rPr>
            </w:pPr>
            <w:r>
              <w:rPr>
                <w:rFonts w:ascii="Courier New" w:cs="Courier New" w:eastAsia="Courier New" w:hAnsi="Courier New"/>
                <w:sz w:val="15"/>
                <w:szCs w:val="15"/>
                <w:color w:val="auto"/>
              </w:rPr>
              <w:t>Title:</w:t>
            </w: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Chief Executive Officer</w:t>
            </w:r>
          </w:p>
        </w:tc>
      </w:tr>
      <w:tr>
        <w:trPr>
          <w:trHeight w:val="509"/>
        </w:trPr>
        <w:tc>
          <w:tcPr>
            <w:tcW w:w="2600" w:type="dxa"/>
            <w:vAlign w:val="bottom"/>
          </w:tcPr>
          <w:p>
            <w:pPr>
              <w:spacing w:after="0"/>
              <w:rPr>
                <w:sz w:val="24"/>
                <w:szCs w:val="24"/>
                <w:color w:val="auto"/>
              </w:rPr>
            </w:pPr>
          </w:p>
        </w:tc>
        <w:tc>
          <w:tcPr>
            <w:tcW w:w="1000" w:type="dxa"/>
            <w:vAlign w:val="bottom"/>
          </w:tcPr>
          <w:p>
            <w:pPr>
              <w:ind w:left="380"/>
              <w:spacing w:after="0"/>
              <w:rPr>
                <w:sz w:val="20"/>
                <w:szCs w:val="20"/>
                <w:color w:val="auto"/>
              </w:rPr>
            </w:pPr>
            <w:r>
              <w:rPr>
                <w:rFonts w:ascii="Courier New" w:cs="Courier New" w:eastAsia="Courier New" w:hAnsi="Courier New"/>
                <w:sz w:val="15"/>
                <w:szCs w:val="15"/>
                <w:color w:val="auto"/>
                <w:w w:val="95"/>
              </w:rPr>
              <w:t>WESTERN</w:t>
            </w: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WASTE INDUSTRIES</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Attest:</w:t>
            </w:r>
          </w:p>
        </w:tc>
        <w:tc>
          <w:tcPr>
            <w:tcW w:w="1000" w:type="dxa"/>
            <w:vAlign w:val="bottom"/>
          </w:tcPr>
          <w:p>
            <w:pPr>
              <w:spacing w:after="0"/>
              <w:rPr>
                <w:sz w:val="14"/>
                <w:szCs w:val="14"/>
                <w:color w:val="auto"/>
              </w:rPr>
            </w:pPr>
          </w:p>
        </w:tc>
        <w:tc>
          <w:tcPr>
            <w:tcW w:w="3620" w:type="dxa"/>
            <w:vAlign w:val="bottom"/>
          </w:tcPr>
          <w:p>
            <w:pPr>
              <w:spacing w:after="0"/>
              <w:rPr>
                <w:sz w:val="14"/>
                <w:szCs w:val="14"/>
                <w:color w:val="auto"/>
              </w:rPr>
            </w:pPr>
          </w:p>
        </w:tc>
      </w:tr>
      <w:tr>
        <w:trPr>
          <w:trHeight w:val="509"/>
        </w:trPr>
        <w:tc>
          <w:tcPr>
            <w:tcW w:w="2600" w:type="dxa"/>
            <w:vAlign w:val="bottom"/>
          </w:tcPr>
          <w:p>
            <w:pPr>
              <w:spacing w:after="0"/>
              <w:rPr>
                <w:sz w:val="20"/>
                <w:szCs w:val="20"/>
                <w:color w:val="auto"/>
              </w:rPr>
            </w:pPr>
            <w:r>
              <w:rPr>
                <w:rFonts w:ascii="Courier New" w:cs="Courier New" w:eastAsia="Courier New" w:hAnsi="Courier New"/>
                <w:sz w:val="15"/>
                <w:szCs w:val="15"/>
                <w:color w:val="auto"/>
              </w:rPr>
              <w:t>/s/ SAVEY TUFENKIAN</w:t>
            </w:r>
          </w:p>
        </w:tc>
        <w:tc>
          <w:tcPr>
            <w:tcW w:w="1000" w:type="dxa"/>
            <w:vAlign w:val="bottom"/>
          </w:tcPr>
          <w:p>
            <w:pPr>
              <w:ind w:left="380"/>
              <w:spacing w:after="0"/>
              <w:rPr>
                <w:sz w:val="20"/>
                <w:szCs w:val="20"/>
                <w:color w:val="auto"/>
              </w:rPr>
            </w:pPr>
            <w:r>
              <w:rPr>
                <w:rFonts w:ascii="Courier New" w:cs="Courier New" w:eastAsia="Courier New" w:hAnsi="Courier New"/>
                <w:sz w:val="15"/>
                <w:szCs w:val="15"/>
                <w:color w:val="auto"/>
              </w:rPr>
              <w:t>By:</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/s/ KOSTI SHIRVANIAN</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20" w:type="dxa"/>
            <w:vAlign w:val="bottom"/>
            <w:gridSpan w:val="2"/>
          </w:tcPr>
          <w:p>
            <w:pPr>
              <w:ind w:left="8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Secretary</w:t>
            </w:r>
          </w:p>
        </w:tc>
        <w:tc>
          <w:tcPr>
            <w:tcW w:w="1000" w:type="dxa"/>
            <w:vAlign w:val="bottom"/>
          </w:tcPr>
          <w:p>
            <w:pPr>
              <w:ind w:left="380"/>
              <w:spacing w:after="0"/>
              <w:rPr>
                <w:sz w:val="20"/>
                <w:szCs w:val="20"/>
                <w:color w:val="auto"/>
              </w:rPr>
            </w:pPr>
            <w:r>
              <w:rPr>
                <w:rFonts w:ascii="Courier New" w:cs="Courier New" w:eastAsia="Courier New" w:hAnsi="Courier New"/>
                <w:sz w:val="15"/>
                <w:szCs w:val="15"/>
                <w:color w:val="auto"/>
              </w:rPr>
              <w:t>Name:</w:t>
            </w: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Kosti Shirvanian</w:t>
            </w:r>
          </w:p>
        </w:tc>
      </w:tr>
      <w:tr>
        <w:trPr>
          <w:trHeight w:val="170"/>
        </w:trPr>
        <w:tc>
          <w:tcPr>
            <w:tcW w:w="2600" w:type="dxa"/>
            <w:vAlign w:val="bottom"/>
          </w:tcPr>
          <w:p>
            <w:pPr>
              <w:spacing w:after="0"/>
              <w:rPr>
                <w:sz w:val="14"/>
                <w:szCs w:val="14"/>
                <w:color w:val="auto"/>
              </w:rPr>
            </w:pPr>
          </w:p>
        </w:tc>
        <w:tc>
          <w:tcPr>
            <w:tcW w:w="1000" w:type="dxa"/>
            <w:vAlign w:val="bottom"/>
          </w:tcPr>
          <w:p>
            <w:pPr>
              <w:ind w:left="380"/>
              <w:spacing w:after="0"/>
              <w:rPr>
                <w:sz w:val="20"/>
                <w:szCs w:val="20"/>
                <w:color w:val="auto"/>
              </w:rPr>
            </w:pPr>
            <w:r>
              <w:rPr>
                <w:rFonts w:ascii="Courier New" w:cs="Courier New" w:eastAsia="Courier New" w:hAnsi="Courier New"/>
                <w:sz w:val="15"/>
                <w:szCs w:val="15"/>
                <w:color w:val="auto"/>
              </w:rPr>
              <w:t>Title:</w:t>
            </w:r>
          </w:p>
        </w:tc>
        <w:tc>
          <w:tcPr>
            <w:tcW w:w="3620" w:type="dxa"/>
            <w:vAlign w:val="bottom"/>
          </w:tcPr>
          <w:p>
            <w:pPr>
              <w:ind w:left="100"/>
              <w:spacing w:after="0"/>
              <w:rPr>
                <w:sz w:val="20"/>
                <w:szCs w:val="20"/>
                <w:color w:val="auto"/>
              </w:rPr>
            </w:pPr>
            <w:r>
              <w:rPr>
                <w:rFonts w:ascii="Courier New" w:cs="Courier New" w:eastAsia="Courier New" w:hAnsi="Courier New"/>
                <w:sz w:val="15"/>
                <w:szCs w:val="15"/>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Page 34</w:t>
      </w:r>
    </w:p>
    <w:p>
      <w:pPr>
        <w:sectPr>
          <w:pgSz w:w="11900" w:h="16838" w:orient="portrait"/>
          <w:cols w:equalWidth="0" w:num="1">
            <w:col w:w="10219"/>
          </w:cols>
          <w:pgMar w:left="240" w:top="283"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1</w:t>
      </w:r>
    </w:p>
    <w:p>
      <w:pPr>
        <w:spacing w:after="0" w:line="33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VOTING AGREEMENT</w:t>
      </w:r>
    </w:p>
    <w:p>
      <w:pPr>
        <w:spacing w:after="0" w:line="175" w:lineRule="exact"/>
        <w:rPr>
          <w:sz w:val="20"/>
          <w:szCs w:val="20"/>
          <w:color w:val="auto"/>
        </w:rPr>
      </w:pPr>
    </w:p>
    <w:p>
      <w:pPr>
        <w:ind w:right="3259" w:firstLine="1498"/>
        <w:spacing w:after="0" w:line="237" w:lineRule="auto"/>
        <w:rPr>
          <w:sz w:val="20"/>
          <w:szCs w:val="20"/>
          <w:color w:val="auto"/>
        </w:rPr>
      </w:pPr>
      <w:r>
        <w:rPr>
          <w:rFonts w:ascii="Courier New" w:cs="Courier New" w:eastAsia="Courier New" w:hAnsi="Courier New"/>
          <w:sz w:val="15"/>
          <w:szCs w:val="15"/>
          <w:color w:val="auto"/>
        </w:rPr>
        <w:t>VOTING AGREEMENT, dated as of December 18, 1995 (this "Agreement"), among USA Waste Services, Inc., a Delaware corporation ("Parent"), Western Waste Industries, a California corporation (the "Company"), and Kosti Shirvanian (the "Holder") of shares of the common stock, no par value (the "Company Common Stock"), of the Company:</w:t>
      </w:r>
    </w:p>
    <w:p>
      <w:pPr>
        <w:spacing w:after="0" w:line="17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WITNESSETH:</w:t>
      </w:r>
    </w:p>
    <w:p>
      <w:pPr>
        <w:spacing w:after="0" w:line="175" w:lineRule="exact"/>
        <w:rPr>
          <w:sz w:val="20"/>
          <w:szCs w:val="20"/>
          <w:color w:val="auto"/>
        </w:rPr>
      </w:pPr>
    </w:p>
    <w:p>
      <w:pPr>
        <w:ind w:right="3439" w:firstLine="1498"/>
        <w:spacing w:after="0" w:line="238" w:lineRule="auto"/>
        <w:rPr>
          <w:sz w:val="20"/>
          <w:szCs w:val="20"/>
          <w:color w:val="auto"/>
        </w:rPr>
      </w:pPr>
      <w:r>
        <w:rPr>
          <w:rFonts w:ascii="Courier New" w:cs="Courier New" w:eastAsia="Courier New" w:hAnsi="Courier New"/>
          <w:sz w:val="15"/>
          <w:szCs w:val="15"/>
          <w:color w:val="auto"/>
        </w:rPr>
        <w:t>WHEREAS, the Company, Parent and Riviera Acquisition Corporation, a California corporation and wholly- owned subsidiary of Parent ("Sub"), propose to enter into an Agreement and Plan of Merger and Reorganization, dated as of the date hereof (the "Merger Agreement"; capitalized terms used herein and not otherwise defined are used herein as defined in the Merger Agreement), pursuant to which Sub will be merged (the "Merger") with and into the Company, and each outstanding share of Company Common Stock will be converted into the right to receive shares of the common stock, $.01 par value, of Parent, on the basis described in the Merger Agreement.</w:t>
      </w:r>
    </w:p>
    <w:p>
      <w:pPr>
        <w:spacing w:after="0" w:line="180" w:lineRule="exact"/>
        <w:rPr>
          <w:sz w:val="20"/>
          <w:szCs w:val="20"/>
          <w:color w:val="auto"/>
        </w:rPr>
      </w:pPr>
    </w:p>
    <w:p>
      <w:pPr>
        <w:ind w:right="3259" w:firstLine="1498"/>
        <w:spacing w:after="0" w:line="260" w:lineRule="auto"/>
        <w:rPr>
          <w:sz w:val="20"/>
          <w:szCs w:val="20"/>
          <w:color w:val="auto"/>
        </w:rPr>
      </w:pPr>
      <w:r>
        <w:rPr>
          <w:rFonts w:ascii="Courier New" w:cs="Courier New" w:eastAsia="Courier New" w:hAnsi="Courier New"/>
          <w:sz w:val="14"/>
          <w:szCs w:val="14"/>
          <w:color w:val="auto"/>
        </w:rPr>
        <w:t>WHEREAS, the Holder, individually or as trustee or custodian, is the owner of the number of shares of Company Common Stock set forth opposite the Holder's name on Schedule I to this Agreement (the "Subject Shares");</w:t>
      </w:r>
    </w:p>
    <w:p>
      <w:pPr>
        <w:spacing w:after="0" w:line="163" w:lineRule="exact"/>
        <w:rPr>
          <w:sz w:val="20"/>
          <w:szCs w:val="20"/>
          <w:color w:val="auto"/>
        </w:rPr>
      </w:pPr>
    </w:p>
    <w:p>
      <w:pPr>
        <w:ind w:right="3259" w:firstLine="1498"/>
        <w:spacing w:after="0" w:line="237" w:lineRule="auto"/>
        <w:rPr>
          <w:sz w:val="20"/>
          <w:szCs w:val="20"/>
          <w:color w:val="auto"/>
        </w:rPr>
      </w:pPr>
      <w:r>
        <w:rPr>
          <w:rFonts w:ascii="Courier New" w:cs="Courier New" w:eastAsia="Courier New" w:hAnsi="Courier New"/>
          <w:sz w:val="15"/>
          <w:szCs w:val="15"/>
          <w:color w:val="auto"/>
        </w:rPr>
        <w:t>WHEREAS, as a condition of its entering into the Merger Agreement, Parent has requested that the Holder agree, and the Holder has agreed, to vote the Subject Shares and to grant Parent an irrevocable proxy to vote the Subject Shares upon the terms and subject to the conditions set forth herein; and</w:t>
      </w:r>
    </w:p>
    <w:p>
      <w:pPr>
        <w:spacing w:after="0" w:line="178" w:lineRule="exact"/>
        <w:rPr>
          <w:sz w:val="20"/>
          <w:szCs w:val="20"/>
          <w:color w:val="auto"/>
        </w:rPr>
      </w:pPr>
    </w:p>
    <w:p>
      <w:pPr>
        <w:ind w:right="3699" w:firstLine="1498"/>
        <w:spacing w:after="0" w:line="237" w:lineRule="auto"/>
        <w:rPr>
          <w:sz w:val="20"/>
          <w:szCs w:val="20"/>
          <w:color w:val="auto"/>
        </w:rPr>
      </w:pPr>
      <w:r>
        <w:rPr>
          <w:rFonts w:ascii="Courier New" w:cs="Courier New" w:eastAsia="Courier New" w:hAnsi="Courier New"/>
          <w:sz w:val="15"/>
          <w:szCs w:val="15"/>
          <w:color w:val="auto"/>
        </w:rPr>
        <w:t>NOW, THEREFORE, in consideration of the premises and the mutual agreements and covenants hereinafter set forth, and intending to be legally bound hereby, the parties hereto hereby agree as follows:</w:t>
      </w:r>
    </w:p>
    <w:p>
      <w:pPr>
        <w:spacing w:after="0" w:line="175" w:lineRule="exact"/>
        <w:rPr>
          <w:sz w:val="20"/>
          <w:szCs w:val="20"/>
          <w:color w:val="auto"/>
        </w:rPr>
      </w:pPr>
    </w:p>
    <w:p>
      <w:pPr>
        <w:ind w:left="2280" w:hanging="791"/>
        <w:spacing w:after="0"/>
        <w:tabs>
          <w:tab w:leader="none" w:pos="22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to Vote Shares.  At every annual or special</w:t>
      </w:r>
    </w:p>
    <w:p>
      <w:pPr>
        <w:spacing w:after="0" w:line="10" w:lineRule="exact"/>
        <w:rPr>
          <w:rFonts w:ascii="Courier New" w:cs="Courier New" w:eastAsia="Courier New" w:hAnsi="Courier New"/>
          <w:sz w:val="14"/>
          <w:szCs w:val="14"/>
          <w:color w:val="auto"/>
        </w:rPr>
      </w:pPr>
    </w:p>
    <w:p>
      <w:pPr>
        <w:ind w:right="335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meeting of the shareholders of the Company and at every continuation or adjournment thereof, and on every action or approval by written consent of the shareholders of the Company in lieu of any such meeting, the Holder (i) shall vote the Subject Shares in favor of approval of the Merger Agreement and the Merger and any matter that could reasonably be expected to facilitate the Merger, (ii) shall vote the Subject Shares against any proposal made in opposition to or competition with consummation of the Merger, (iii) shall not vote the Subject Shares in favor of any merger (including, without limitation, a Superior Proposal), consolidation, sale of assets, reorganization or recapitalization of the Company with any party other than Parent or its affiliates and (iv) shall vote the Subject Shares against any liquidation or winding up of the Company or any amendment of the Company's Articles of Incorporation or By-laws or any other transaction</w:t>
      </w:r>
    </w:p>
    <w:p>
      <w:pPr>
        <w:sectPr>
          <w:pgSz w:w="11900" w:h="16838" w:orient="portrait"/>
          <w:cols w:equalWidth="0" w:num="1">
            <w:col w:w="10219"/>
          </w:cols>
          <w:pgMar w:left="240" w:top="136"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or action which is intended to frustrate or impair the right or ability of Parent or Subsidiary, on the one hand, or the Company, on the other hand, to consummate the Merger.</w:t>
      </w:r>
    </w:p>
    <w:p>
      <w:pPr>
        <w:spacing w:after="0" w:line="169" w:lineRule="exact"/>
        <w:rPr>
          <w:sz w:val="20"/>
          <w:szCs w:val="20"/>
          <w:color w:val="auto"/>
        </w:rPr>
      </w:pPr>
    </w:p>
    <w:p>
      <w:pPr>
        <w:ind w:left="2280" w:hanging="791"/>
        <w:spacing w:after="0"/>
        <w:tabs>
          <w:tab w:leader="none" w:pos="22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Irrevocable Proxy.  Concurrently with the execution</w:t>
      </w:r>
    </w:p>
    <w:p>
      <w:pPr>
        <w:spacing w:after="0" w:line="5" w:lineRule="exact"/>
        <w:rPr>
          <w:rFonts w:ascii="Courier New" w:cs="Courier New" w:eastAsia="Courier New" w:hAnsi="Courier New"/>
          <w:sz w:val="15"/>
          <w:szCs w:val="15"/>
          <w:color w:val="auto"/>
        </w:rPr>
      </w:pPr>
    </w:p>
    <w:p>
      <w:pPr>
        <w:ind w:right="36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this Agreement, the Holder is delivering to Parent a proxy in the form attached hereto as Exhibit A, which shall be irrevocable to the full extent permitted by law, with respect to the Subject Shares.</w:t>
      </w:r>
    </w:p>
    <w:p>
      <w:pPr>
        <w:spacing w:after="0" w:line="169" w:lineRule="exact"/>
        <w:rPr>
          <w:rFonts w:ascii="Courier New" w:cs="Courier New" w:eastAsia="Courier New" w:hAnsi="Courier New"/>
          <w:sz w:val="15"/>
          <w:szCs w:val="15"/>
          <w:color w:val="auto"/>
        </w:rPr>
      </w:pPr>
    </w:p>
    <w:p>
      <w:pPr>
        <w:ind w:left="2280" w:hanging="791"/>
        <w:spacing w:after="0"/>
        <w:tabs>
          <w:tab w:leader="none" w:pos="22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the Holder.  The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Holder hereby represents and warrants to Parent that:</w:t>
      </w:r>
    </w:p>
    <w:p>
      <w:pPr>
        <w:spacing w:after="0" w:line="174" w:lineRule="exact"/>
        <w:rPr>
          <w:sz w:val="20"/>
          <w:szCs w:val="20"/>
          <w:color w:val="auto"/>
        </w:rPr>
      </w:pPr>
    </w:p>
    <w:p>
      <w:pPr>
        <w:jc w:val="both"/>
        <w:ind w:left="780" w:right="3439" w:firstLine="709"/>
        <w:spacing w:after="0" w:line="237" w:lineRule="auto"/>
        <w:tabs>
          <w:tab w:leader="none" w:pos="227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executed and delivered by the Holder, and is the legal, valid and binding obligation of the Holder;</w:t>
      </w:r>
    </w:p>
    <w:p>
      <w:pPr>
        <w:spacing w:after="0" w:line="174" w:lineRule="exact"/>
        <w:rPr>
          <w:rFonts w:ascii="Courier New" w:cs="Courier New" w:eastAsia="Courier New" w:hAnsi="Courier New"/>
          <w:sz w:val="15"/>
          <w:szCs w:val="15"/>
          <w:color w:val="auto"/>
        </w:rPr>
      </w:pPr>
    </w:p>
    <w:p>
      <w:pPr>
        <w:ind w:left="780" w:right="3439" w:firstLine="709"/>
        <w:spacing w:after="0" w:line="260" w:lineRule="auto"/>
        <w:tabs>
          <w:tab w:leader="none" w:pos="2279"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of any court, governmental authority, beneficiary, co-trustee or other person is necessary for the execution, delivery and performance of this Agreement by the Holder;</w:t>
      </w:r>
    </w:p>
    <w:p>
      <w:pPr>
        <w:spacing w:after="0" w:line="162" w:lineRule="exact"/>
        <w:rPr>
          <w:rFonts w:ascii="Courier New" w:cs="Courier New" w:eastAsia="Courier New" w:hAnsi="Courier New"/>
          <w:sz w:val="14"/>
          <w:szCs w:val="14"/>
          <w:color w:val="auto"/>
        </w:rPr>
      </w:pPr>
    </w:p>
    <w:p>
      <w:pPr>
        <w:ind w:left="780" w:right="3439" w:firstLine="709"/>
        <w:spacing w:after="0" w:line="259" w:lineRule="auto"/>
        <w:tabs>
          <w:tab w:leader="none" w:pos="2279"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Subject Shares have been duly authorized and validly issued, are fully paid and nonassessable, and are owned free and clear of any pledge, lien, security interest, charge, claim, equity or encumbrance of any kind, other than this Agreement;</w:t>
      </w:r>
    </w:p>
    <w:p>
      <w:pPr>
        <w:spacing w:after="0" w:line="162" w:lineRule="exact"/>
        <w:rPr>
          <w:rFonts w:ascii="Courier New" w:cs="Courier New" w:eastAsia="Courier New" w:hAnsi="Courier New"/>
          <w:sz w:val="14"/>
          <w:szCs w:val="14"/>
          <w:color w:val="auto"/>
        </w:rPr>
      </w:pPr>
    </w:p>
    <w:p>
      <w:pPr>
        <w:ind w:left="780" w:right="3539" w:firstLine="709"/>
        <w:spacing w:after="0" w:line="235" w:lineRule="auto"/>
        <w:tabs>
          <w:tab w:leader="none" w:pos="227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has the present power and right to vote all of the Subject Shares; and</w:t>
      </w:r>
    </w:p>
    <w:p>
      <w:pPr>
        <w:spacing w:after="0" w:line="175" w:lineRule="exact"/>
        <w:rPr>
          <w:rFonts w:ascii="Courier New" w:cs="Courier New" w:eastAsia="Courier New" w:hAnsi="Courier New"/>
          <w:sz w:val="15"/>
          <w:szCs w:val="15"/>
          <w:color w:val="auto"/>
        </w:rPr>
      </w:pPr>
    </w:p>
    <w:p>
      <w:pPr>
        <w:ind w:left="780" w:right="3259" w:firstLine="709"/>
        <w:spacing w:after="0" w:line="238" w:lineRule="auto"/>
        <w:tabs>
          <w:tab w:leader="none" w:pos="227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herein, the Holder has not (i) granted any proxy, power-of-attorney or other authorization or interest with respect to any of the Subject Shares, (ii) deposited any of the Subject Shares into a voting trust or (iii) entered into any voting agreement or other arrangement with respect to the voting of any of the Subject Shares.</w:t>
      </w:r>
    </w:p>
    <w:p>
      <w:pPr>
        <w:spacing w:after="0" w:line="170" w:lineRule="exact"/>
        <w:rPr>
          <w:sz w:val="20"/>
          <w:szCs w:val="20"/>
          <w:color w:val="auto"/>
        </w:rPr>
      </w:pPr>
    </w:p>
    <w:p>
      <w:pPr>
        <w:ind w:left="2280" w:hanging="791"/>
        <w:spacing w:after="0"/>
        <w:tabs>
          <w:tab w:leader="none" w:pos="22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the Company.  The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Company hereby represents and warrants to Parent that:</w:t>
      </w:r>
    </w:p>
    <w:p>
      <w:pPr>
        <w:spacing w:after="0" w:line="174" w:lineRule="exact"/>
        <w:rPr>
          <w:sz w:val="20"/>
          <w:szCs w:val="20"/>
          <w:color w:val="auto"/>
        </w:rPr>
      </w:pPr>
    </w:p>
    <w:p>
      <w:pPr>
        <w:ind w:left="780" w:right="3359" w:firstLine="709"/>
        <w:spacing w:after="0" w:line="237" w:lineRule="auto"/>
        <w:tabs>
          <w:tab w:leader="none" w:pos="227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executed and delivered by the Company, and is the legal, valid and binding obligation of the Company.</w:t>
      </w:r>
    </w:p>
    <w:p>
      <w:pPr>
        <w:spacing w:after="0" w:line="174" w:lineRule="exact"/>
        <w:rPr>
          <w:rFonts w:ascii="Courier New" w:cs="Courier New" w:eastAsia="Courier New" w:hAnsi="Courier New"/>
          <w:sz w:val="15"/>
          <w:szCs w:val="15"/>
          <w:color w:val="auto"/>
        </w:rPr>
      </w:pPr>
    </w:p>
    <w:p>
      <w:pPr>
        <w:ind w:left="780" w:right="3359" w:firstLine="709"/>
        <w:spacing w:after="0" w:line="237" w:lineRule="auto"/>
        <w:tabs>
          <w:tab w:leader="none" w:pos="227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consent of any court, governmental authority, beneficiary, co-trustee or other person is necessary for the execution, delivery and performance of this Agreement by the Company; and</w:t>
      </w:r>
    </w:p>
    <w:p>
      <w:pPr>
        <w:spacing w:after="0" w:line="176" w:lineRule="exact"/>
        <w:rPr>
          <w:rFonts w:ascii="Courier New" w:cs="Courier New" w:eastAsia="Courier New" w:hAnsi="Courier New"/>
          <w:sz w:val="15"/>
          <w:szCs w:val="15"/>
          <w:color w:val="auto"/>
        </w:rPr>
      </w:pPr>
    </w:p>
    <w:p>
      <w:pPr>
        <w:ind w:left="780" w:right="3439" w:firstLine="709"/>
        <w:spacing w:after="0" w:line="265" w:lineRule="auto"/>
        <w:tabs>
          <w:tab w:leader="none" w:pos="2279"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Subject Shares have been duly authorized and validly issued and are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left="780" w:right="3539" w:firstLine="709"/>
        <w:spacing w:after="0" w:line="235" w:lineRule="auto"/>
        <w:tabs>
          <w:tab w:leader="none" w:pos="227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of the Holder. The Holder hereby agrees and covenants that:</w:t>
      </w:r>
    </w:p>
    <w:p>
      <w:pPr>
        <w:spacing w:after="0" w:line="176" w:lineRule="exact"/>
        <w:rPr>
          <w:sz w:val="20"/>
          <w:szCs w:val="20"/>
          <w:color w:val="auto"/>
        </w:rPr>
      </w:pPr>
    </w:p>
    <w:p>
      <w:pPr>
        <w:ind w:left="780" w:right="3359" w:firstLine="709"/>
        <w:spacing w:after="0" w:line="238" w:lineRule="auto"/>
        <w:tabs>
          <w:tab w:leader="none" w:pos="227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termination of this Agreement pursuant to Section 8 hereof, the Holder will not, in the Holder's capacity as a stockholder, directly or indirectly, encourage, initiate or engage in discussions or negotiations with, or provide any information to, any corporation, partnership, person or other entity or group, other than Parent and its affiliates, concerning the sale of the Subject Shares, or the issuance and sale of Company Common Stock by the Company or, with respect to any merger or other business combination, any disposition or grant of an interest in a substantial asset or any similar transaction involving the Company;</w:t>
      </w:r>
    </w:p>
    <w:p>
      <w:pPr>
        <w:spacing w:after="0" w:line="179" w:lineRule="exact"/>
        <w:rPr>
          <w:rFonts w:ascii="Courier New" w:cs="Courier New" w:eastAsia="Courier New" w:hAnsi="Courier New"/>
          <w:sz w:val="15"/>
          <w:szCs w:val="15"/>
          <w:color w:val="auto"/>
        </w:rPr>
      </w:pPr>
    </w:p>
    <w:p>
      <w:pPr>
        <w:jc w:val="both"/>
        <w:ind w:left="780" w:right="3359" w:firstLine="709"/>
        <w:spacing w:after="0" w:line="259" w:lineRule="auto"/>
        <w:tabs>
          <w:tab w:leader="none" w:pos="2279"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 will not transfer, sell, exchange, pledge or otherwise dispose of or encumber any of the Subject Shares or make any offer or agreement relating thereto at any time prior to the termination of this Agreement pursuant to Section 8 hereof; and</w:t>
      </w:r>
    </w:p>
    <w:p>
      <w:pPr>
        <w:spacing w:after="0" w:line="162" w:lineRule="exact"/>
        <w:rPr>
          <w:rFonts w:ascii="Courier New" w:cs="Courier New" w:eastAsia="Courier New" w:hAnsi="Courier New"/>
          <w:sz w:val="14"/>
          <w:szCs w:val="14"/>
          <w:color w:val="auto"/>
        </w:rPr>
      </w:pPr>
    </w:p>
    <w:p>
      <w:pPr>
        <w:ind w:left="780" w:right="3259" w:firstLine="709"/>
        <w:spacing w:after="0" w:line="238" w:lineRule="auto"/>
        <w:tabs>
          <w:tab w:leader="none" w:pos="227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agrees that any shares of capital stock of the Company (including Company Common Stock) that the Holder purchases or with respect to which the Holder otherwise acquires beneficial ownership after the date of this Agreement and prior to the termination of this Agreement pursuant to Section 8 shall be considered "Subject Shares" and subject to each of the terms and conditions of this Agreement.</w:t>
      </w:r>
    </w:p>
    <w:p>
      <w:pPr>
        <w:spacing w:after="0" w:line="177" w:lineRule="exact"/>
        <w:rPr>
          <w:sz w:val="20"/>
          <w:szCs w:val="20"/>
          <w:color w:val="auto"/>
        </w:rPr>
      </w:pPr>
    </w:p>
    <w:p>
      <w:pPr>
        <w:ind w:left="780" w:right="3359" w:firstLine="709"/>
        <w:spacing w:after="0" w:line="235" w:lineRule="auto"/>
        <w:tabs>
          <w:tab w:leader="none" w:pos="227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of the Company. The Company hereby agrees and covenants that:</w:t>
      </w:r>
    </w:p>
    <w:p>
      <w:pPr>
        <w:spacing w:after="0" w:line="176" w:lineRule="exact"/>
        <w:rPr>
          <w:sz w:val="20"/>
          <w:szCs w:val="20"/>
          <w:color w:val="auto"/>
        </w:rPr>
      </w:pPr>
    </w:p>
    <w:p>
      <w:pPr>
        <w:ind w:left="780" w:right="3439" w:firstLine="709"/>
        <w:spacing w:after="0" w:line="259" w:lineRule="auto"/>
        <w:tabs>
          <w:tab w:leader="none" w:pos="2279"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and will cause its stock transfer agent not to, register the transfer of any of the Subject Shares on the stock transfer ledger of the Company at any time prior to the termination of this Agreement pursuant to Section 8; and</w:t>
      </w:r>
    </w:p>
    <w:p>
      <w:pPr>
        <w:spacing w:after="0" w:line="162" w:lineRule="exact"/>
        <w:rPr>
          <w:rFonts w:ascii="Courier New" w:cs="Courier New" w:eastAsia="Courier New" w:hAnsi="Courier New"/>
          <w:sz w:val="14"/>
          <w:szCs w:val="14"/>
          <w:color w:val="auto"/>
        </w:rPr>
      </w:pPr>
    </w:p>
    <w:p>
      <w:pPr>
        <w:ind w:left="780" w:right="3259" w:firstLine="709"/>
        <w:spacing w:after="0" w:line="238" w:lineRule="auto"/>
        <w:tabs>
          <w:tab w:leader="none" w:pos="227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that any shares of capital stock of the Company (including Company Common Stock) that the Holder purchases or with respect to which the Holder otherwise acquires beneficial ownership after the date of this Agreement and prior to the termination of this Agreement pursuant to Section 8 shall be considered "Subject Shares" and subject to each of the terms and conditions of this Agreement.</w:t>
      </w:r>
    </w:p>
    <w:p>
      <w:pPr>
        <w:spacing w:after="0" w:line="177" w:lineRule="exact"/>
        <w:rPr>
          <w:sz w:val="20"/>
          <w:szCs w:val="20"/>
          <w:color w:val="auto"/>
        </w:rPr>
      </w:pPr>
    </w:p>
    <w:p>
      <w:pPr>
        <w:ind w:right="3439" w:firstLine="1489"/>
        <w:spacing w:after="0" w:line="237" w:lineRule="auto"/>
        <w:tabs>
          <w:tab w:leader="none" w:pos="2292"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Upon Changes in Capitalization. In the event of any change in the Company Common Stock by reason of stock dividends, split-ups, recapitalizations, combinations, exchanges of shares or the like, the number of Subject Shares shall be adjusted appropriately.</w:t>
      </w:r>
    </w:p>
    <w:p>
      <w:pPr>
        <w:spacing w:after="0" w:line="170" w:lineRule="exact"/>
        <w:rPr>
          <w:rFonts w:ascii="Courier New" w:cs="Courier New" w:eastAsia="Courier New" w:hAnsi="Courier New"/>
          <w:sz w:val="15"/>
          <w:szCs w:val="15"/>
          <w:color w:val="auto"/>
        </w:rPr>
      </w:pPr>
    </w:p>
    <w:p>
      <w:pPr>
        <w:ind w:left="2280" w:hanging="791"/>
        <w:spacing w:after="0"/>
        <w:tabs>
          <w:tab w:leader="none" w:pos="228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This Agreement shall terminate on the</w:t>
      </w:r>
    </w:p>
    <w:p>
      <w:pPr>
        <w:spacing w:after="0" w:line="5" w:lineRule="exact"/>
        <w:rPr>
          <w:rFonts w:ascii="Courier New" w:cs="Courier New" w:eastAsia="Courier New" w:hAnsi="Courier New"/>
          <w:sz w:val="15"/>
          <w:szCs w:val="15"/>
          <w:color w:val="auto"/>
        </w:rPr>
      </w:pPr>
    </w:p>
    <w:p>
      <w:pPr>
        <w:ind w:right="34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earlier of (a) the Effective Time, (b) at any time upon written notice by Parent to the Holder terminating this Agreement and (c) the later of June 30, 1996 and 30 calendar days after the date on which the Merger Agreement is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260" w:right="3359" w:firstLine="1489"/>
        <w:spacing w:after="0" w:line="257" w:lineRule="auto"/>
        <w:tabs>
          <w:tab w:leader="none" w:pos="2032"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and other communications given or made pursuant hereto shall be in writing and shall be deemed to have been duly given or made as of the date delivered, mailed or transmitted, and shall be effective upon receipt, if delivered personally or mailed by registered or certified mail (postage prepaid, return receipt requested) to the parties at the following addresses (or to such other address for a party as shall be specified by like change of address), or sent by electronic transmission with confirmation received, to the telecopy number specified below, if any:</w:t>
      </w:r>
    </w:p>
    <w:p>
      <w:pPr>
        <w:spacing w:after="0" w:line="161" w:lineRule="exact"/>
        <w:rPr>
          <w:sz w:val="20"/>
          <w:szCs w:val="20"/>
          <w:color w:val="auto"/>
        </w:rPr>
      </w:pPr>
    </w:p>
    <w:p>
      <w:pPr>
        <w:ind w:left="2020" w:hanging="791"/>
        <w:spacing w:after="0"/>
        <w:tabs>
          <w:tab w:leader="none" w:pos="20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Holder:</w:t>
      </w:r>
    </w:p>
    <w:p>
      <w:pPr>
        <w:spacing w:after="0" w:line="169" w:lineRule="exact"/>
        <w:rPr>
          <w:rFonts w:ascii="Courier New" w:cs="Courier New" w:eastAsia="Courier New" w:hAnsi="Courier New"/>
          <w:sz w:val="15"/>
          <w:szCs w:val="15"/>
          <w:color w:val="auto"/>
        </w:rPr>
      </w:pPr>
    </w:p>
    <w:p>
      <w:pPr>
        <w:ind w:left="20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Kosti Shirvanian</w:t>
      </w:r>
    </w:p>
    <w:p>
      <w:pPr>
        <w:spacing w:after="0" w:line="5" w:lineRule="exact"/>
        <w:rPr>
          <w:rFonts w:ascii="Courier New" w:cs="Courier New" w:eastAsia="Courier New" w:hAnsi="Courier New"/>
          <w:sz w:val="15"/>
          <w:szCs w:val="15"/>
          <w:color w:val="auto"/>
        </w:rPr>
      </w:pPr>
    </w:p>
    <w:p>
      <w:pPr>
        <w:ind w:left="2020" w:right="563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21061 South Western Avenue Torrance, California Telecopy: 310-212-7093</w:t>
      </w:r>
    </w:p>
    <w:p>
      <w:pPr>
        <w:spacing w:after="0" w:line="157" w:lineRule="exact"/>
        <w:rPr>
          <w:rFonts w:ascii="Courier New" w:cs="Courier New" w:eastAsia="Courier New" w:hAnsi="Courier New"/>
          <w:sz w:val="15"/>
          <w:szCs w:val="15"/>
          <w:color w:val="auto"/>
        </w:rPr>
      </w:pPr>
    </w:p>
    <w:p>
      <w:pPr>
        <w:ind w:left="20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with a copy to:</w:t>
      </w:r>
    </w:p>
    <w:p>
      <w:pPr>
        <w:spacing w:after="0" w:line="169" w:lineRule="exact"/>
        <w:rPr>
          <w:rFonts w:ascii="Courier New" w:cs="Courier New" w:eastAsia="Courier New" w:hAnsi="Courier New"/>
          <w:sz w:val="15"/>
          <w:szCs w:val="15"/>
          <w:color w:val="auto"/>
        </w:rPr>
      </w:pPr>
    </w:p>
    <w:p>
      <w:pPr>
        <w:ind w:left="20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Robert C. Kopple</w:t>
      </w:r>
    </w:p>
    <w:p>
      <w:pPr>
        <w:spacing w:after="0" w:line="5" w:lineRule="exact"/>
        <w:rPr>
          <w:rFonts w:ascii="Courier New" w:cs="Courier New" w:eastAsia="Courier New" w:hAnsi="Courier New"/>
          <w:sz w:val="15"/>
          <w:szCs w:val="15"/>
          <w:color w:val="auto"/>
        </w:rPr>
      </w:pPr>
    </w:p>
    <w:p>
      <w:pPr>
        <w:ind w:left="2020" w:right="59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2029 Century Park East Suite 1040</w:t>
      </w:r>
    </w:p>
    <w:p>
      <w:pPr>
        <w:spacing w:after="0" w:line="6" w:lineRule="exact"/>
        <w:rPr>
          <w:rFonts w:ascii="Courier New" w:cs="Courier New" w:eastAsia="Courier New" w:hAnsi="Courier New"/>
          <w:sz w:val="15"/>
          <w:szCs w:val="15"/>
          <w:color w:val="auto"/>
        </w:rPr>
      </w:pPr>
    </w:p>
    <w:p>
      <w:pPr>
        <w:ind w:left="2020" w:right="53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Los Angeles, California 90067 Telecopy: 310-553-7335</w:t>
      </w:r>
    </w:p>
    <w:p>
      <w:pPr>
        <w:spacing w:after="0" w:line="170" w:lineRule="exact"/>
        <w:rPr>
          <w:rFonts w:ascii="Courier New" w:cs="Courier New" w:eastAsia="Courier New" w:hAnsi="Courier New"/>
          <w:sz w:val="15"/>
          <w:szCs w:val="15"/>
          <w:color w:val="auto"/>
        </w:rPr>
      </w:pPr>
    </w:p>
    <w:p>
      <w:pPr>
        <w:ind w:left="2020" w:hanging="791"/>
        <w:spacing w:after="0"/>
        <w:tabs>
          <w:tab w:leader="none" w:pos="20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Company:</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Western Waste Industries</w:t>
      </w:r>
    </w:p>
    <w:p>
      <w:pPr>
        <w:ind w:left="2020"/>
        <w:spacing w:after="0"/>
        <w:rPr>
          <w:sz w:val="20"/>
          <w:szCs w:val="20"/>
          <w:color w:val="auto"/>
        </w:rPr>
      </w:pPr>
      <w:r>
        <w:rPr>
          <w:rFonts w:ascii="Courier New" w:cs="Courier New" w:eastAsia="Courier New" w:hAnsi="Courier New"/>
          <w:sz w:val="15"/>
          <w:szCs w:val="15"/>
          <w:color w:val="auto"/>
        </w:rPr>
        <w:t>21061 South Western Avenue</w:t>
      </w:r>
    </w:p>
    <w:p>
      <w:pPr>
        <w:ind w:left="2020"/>
        <w:spacing w:after="0"/>
        <w:rPr>
          <w:sz w:val="20"/>
          <w:szCs w:val="20"/>
          <w:color w:val="auto"/>
        </w:rPr>
      </w:pPr>
      <w:r>
        <w:rPr>
          <w:rFonts w:ascii="Courier New" w:cs="Courier New" w:eastAsia="Courier New" w:hAnsi="Courier New"/>
          <w:sz w:val="15"/>
          <w:szCs w:val="15"/>
          <w:color w:val="auto"/>
        </w:rPr>
        <w:t>Torrance, California</w:t>
      </w:r>
    </w:p>
    <w:p>
      <w:pPr>
        <w:ind w:left="2020"/>
        <w:spacing w:after="0" w:line="238" w:lineRule="auto"/>
        <w:rPr>
          <w:sz w:val="20"/>
          <w:szCs w:val="20"/>
          <w:color w:val="auto"/>
        </w:rPr>
      </w:pPr>
      <w:r>
        <w:rPr>
          <w:rFonts w:ascii="Courier New" w:cs="Courier New" w:eastAsia="Courier New" w:hAnsi="Courier New"/>
          <w:sz w:val="15"/>
          <w:szCs w:val="15"/>
          <w:color w:val="auto"/>
        </w:rPr>
        <w:t>Attention: President</w:t>
      </w:r>
    </w:p>
    <w:p>
      <w:pPr>
        <w:ind w:left="2020"/>
        <w:spacing w:after="0"/>
        <w:rPr>
          <w:sz w:val="20"/>
          <w:szCs w:val="20"/>
          <w:color w:val="auto"/>
        </w:rPr>
      </w:pPr>
      <w:r>
        <w:rPr>
          <w:rFonts w:ascii="Courier New" w:cs="Courier New" w:eastAsia="Courier New" w:hAnsi="Courier New"/>
          <w:sz w:val="15"/>
          <w:szCs w:val="15"/>
          <w:color w:val="auto"/>
        </w:rPr>
        <w:t>Telecopy: 310-212-7093</w:t>
      </w:r>
    </w:p>
    <w:p>
      <w:pPr>
        <w:spacing w:after="0" w:line="169" w:lineRule="exact"/>
        <w:rPr>
          <w:sz w:val="20"/>
          <w:szCs w:val="20"/>
          <w:color w:val="auto"/>
        </w:rPr>
      </w:pPr>
    </w:p>
    <w:p>
      <w:pPr>
        <w:ind w:left="2720" w:hanging="698"/>
        <w:spacing w:after="0"/>
        <w:tabs>
          <w:tab w:leader="none" w:pos="27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Parent:</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USA Waste Services, Inc.</w:t>
      </w:r>
    </w:p>
    <w:p>
      <w:pPr>
        <w:ind w:left="2020"/>
        <w:spacing w:after="0"/>
        <w:rPr>
          <w:sz w:val="20"/>
          <w:szCs w:val="20"/>
          <w:color w:val="auto"/>
        </w:rPr>
      </w:pPr>
      <w:r>
        <w:rPr>
          <w:rFonts w:ascii="Courier New" w:cs="Courier New" w:eastAsia="Courier New" w:hAnsi="Courier New"/>
          <w:sz w:val="15"/>
          <w:szCs w:val="15"/>
          <w:color w:val="auto"/>
        </w:rPr>
        <w:t>5400 LBJ Freeway</w:t>
      </w:r>
    </w:p>
    <w:p>
      <w:pPr>
        <w:ind w:left="2020"/>
        <w:spacing w:after="0"/>
        <w:rPr>
          <w:sz w:val="20"/>
          <w:szCs w:val="20"/>
          <w:color w:val="auto"/>
        </w:rPr>
      </w:pPr>
      <w:r>
        <w:rPr>
          <w:rFonts w:ascii="Courier New" w:cs="Courier New" w:eastAsia="Courier New" w:hAnsi="Courier New"/>
          <w:sz w:val="15"/>
          <w:szCs w:val="15"/>
          <w:color w:val="auto"/>
        </w:rPr>
        <w:t>Suite 300 - Tower One</w:t>
      </w:r>
    </w:p>
    <w:p>
      <w:pPr>
        <w:ind w:left="2020"/>
        <w:spacing w:after="0" w:line="238" w:lineRule="auto"/>
        <w:rPr>
          <w:sz w:val="20"/>
          <w:szCs w:val="20"/>
          <w:color w:val="auto"/>
        </w:rPr>
      </w:pPr>
      <w:r>
        <w:rPr>
          <w:rFonts w:ascii="Courier New" w:cs="Courier New" w:eastAsia="Courier New" w:hAnsi="Courier New"/>
          <w:sz w:val="15"/>
          <w:szCs w:val="15"/>
          <w:color w:val="auto"/>
        </w:rPr>
        <w:t>Dallas, Texas 75240</w:t>
      </w:r>
    </w:p>
    <w:p>
      <w:pPr>
        <w:ind w:left="2020"/>
        <w:spacing w:after="0"/>
        <w:rPr>
          <w:sz w:val="20"/>
          <w:szCs w:val="20"/>
          <w:color w:val="auto"/>
        </w:rPr>
      </w:pPr>
      <w:r>
        <w:rPr>
          <w:rFonts w:ascii="Courier New" w:cs="Courier New" w:eastAsia="Courier New" w:hAnsi="Courier New"/>
          <w:sz w:val="15"/>
          <w:szCs w:val="15"/>
          <w:color w:val="auto"/>
        </w:rPr>
        <w:t>Attention: Chief Executive Officer</w:t>
      </w:r>
    </w:p>
    <w:p>
      <w:pPr>
        <w:ind w:left="2020"/>
        <w:spacing w:after="0"/>
        <w:rPr>
          <w:sz w:val="20"/>
          <w:szCs w:val="20"/>
          <w:color w:val="auto"/>
        </w:rPr>
      </w:pPr>
      <w:r>
        <w:rPr>
          <w:rFonts w:ascii="Courier New" w:cs="Courier New" w:eastAsia="Courier New" w:hAnsi="Courier New"/>
          <w:sz w:val="15"/>
          <w:szCs w:val="15"/>
          <w:color w:val="auto"/>
        </w:rPr>
        <w:t>Telecopy: 214-383-7942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3"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5</w:t>
      </w:r>
    </w:p>
    <w:p>
      <w:pPr>
        <w:ind w:left="2280"/>
        <w:spacing w:after="0"/>
        <w:rPr>
          <w:sz w:val="20"/>
          <w:szCs w:val="20"/>
          <w:color w:val="auto"/>
        </w:rPr>
      </w:pPr>
      <w:r>
        <w:rPr>
          <w:rFonts w:ascii="Courier New" w:cs="Courier New" w:eastAsia="Courier New" w:hAnsi="Courier New"/>
          <w:sz w:val="15"/>
          <w:szCs w:val="15"/>
          <w:color w:val="auto"/>
        </w:rPr>
        <w:t>with a copy to:</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Gregory T. Sangalis USA Waste Services, Inc.</w:t>
      </w:r>
    </w:p>
    <w:p>
      <w:pPr>
        <w:ind w:left="2280"/>
        <w:spacing w:after="0"/>
        <w:rPr>
          <w:sz w:val="20"/>
          <w:szCs w:val="20"/>
          <w:color w:val="auto"/>
        </w:rPr>
      </w:pPr>
      <w:r>
        <w:rPr>
          <w:rFonts w:ascii="Courier New" w:cs="Courier New" w:eastAsia="Courier New" w:hAnsi="Courier New"/>
          <w:sz w:val="15"/>
          <w:szCs w:val="15"/>
          <w:color w:val="auto"/>
        </w:rPr>
        <w:t>5400 LBJ Freeway</w:t>
      </w:r>
    </w:p>
    <w:p>
      <w:pPr>
        <w:ind w:left="2280"/>
        <w:spacing w:after="0"/>
        <w:rPr>
          <w:sz w:val="20"/>
          <w:szCs w:val="20"/>
          <w:color w:val="auto"/>
        </w:rPr>
      </w:pPr>
      <w:r>
        <w:rPr>
          <w:rFonts w:ascii="Courier New" w:cs="Courier New" w:eastAsia="Courier New" w:hAnsi="Courier New"/>
          <w:sz w:val="15"/>
          <w:szCs w:val="15"/>
          <w:color w:val="auto"/>
        </w:rPr>
        <w:t>Suite 300 - Tower One</w:t>
      </w:r>
    </w:p>
    <w:p>
      <w:pPr>
        <w:ind w:left="2280"/>
        <w:spacing w:after="0" w:line="238" w:lineRule="auto"/>
        <w:rPr>
          <w:sz w:val="20"/>
          <w:szCs w:val="20"/>
          <w:color w:val="auto"/>
        </w:rPr>
      </w:pPr>
      <w:r>
        <w:rPr>
          <w:rFonts w:ascii="Courier New" w:cs="Courier New" w:eastAsia="Courier New" w:hAnsi="Courier New"/>
          <w:sz w:val="15"/>
          <w:szCs w:val="15"/>
          <w:color w:val="auto"/>
        </w:rPr>
        <w:t>Dallas, Texas 75240</w:t>
      </w:r>
    </w:p>
    <w:p>
      <w:pPr>
        <w:ind w:left="2280"/>
        <w:spacing w:after="0"/>
        <w:rPr>
          <w:sz w:val="20"/>
          <w:szCs w:val="20"/>
          <w:color w:val="auto"/>
        </w:rPr>
      </w:pPr>
      <w:r>
        <w:rPr>
          <w:rFonts w:ascii="Courier New" w:cs="Courier New" w:eastAsia="Courier New" w:hAnsi="Courier New"/>
          <w:sz w:val="15"/>
          <w:szCs w:val="15"/>
          <w:color w:val="auto"/>
        </w:rPr>
        <w:t>Telecopy: 214-383-7942</w:t>
      </w:r>
    </w:p>
    <w:p>
      <w:pPr>
        <w:spacing w:after="0" w:line="344" w:lineRule="exact"/>
        <w:rPr>
          <w:sz w:val="20"/>
          <w:szCs w:val="20"/>
          <w:color w:val="auto"/>
        </w:rPr>
      </w:pPr>
    </w:p>
    <w:p>
      <w:pPr>
        <w:ind w:right="3359" w:firstLine="1489"/>
        <w:spacing w:after="0" w:line="237" w:lineRule="auto"/>
        <w:tabs>
          <w:tab w:leader="none" w:pos="2292"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contained in this Agreement are for reference purposes only and shall not affect in any way the meaning or interpretation of this Agreement.</w:t>
      </w:r>
    </w:p>
    <w:p>
      <w:pPr>
        <w:spacing w:after="0" w:line="174" w:lineRule="exact"/>
        <w:rPr>
          <w:rFonts w:ascii="Courier New" w:cs="Courier New" w:eastAsia="Courier New" w:hAnsi="Courier New"/>
          <w:sz w:val="15"/>
          <w:szCs w:val="15"/>
          <w:color w:val="auto"/>
        </w:rPr>
      </w:pPr>
    </w:p>
    <w:p>
      <w:pPr>
        <w:ind w:right="3259" w:firstLine="1489"/>
        <w:spacing w:after="0" w:line="238" w:lineRule="auto"/>
        <w:tabs>
          <w:tab w:leader="none" w:pos="2292"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term or other provision of this Agreement is invalid, illegal on incapable of being enforced by any rule of law, or public policy, all other conditions and provisions of this Agreement shall nevertheless remain in full force and effect so long as the economic or legal substance of the transactions contemplated hereby is not affect in any manner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extent possible.</w:t>
      </w:r>
    </w:p>
    <w:p>
      <w:pPr>
        <w:spacing w:after="0" w:line="180" w:lineRule="exact"/>
        <w:rPr>
          <w:rFonts w:ascii="Courier New" w:cs="Courier New" w:eastAsia="Courier New" w:hAnsi="Courier New"/>
          <w:sz w:val="15"/>
          <w:szCs w:val="15"/>
          <w:color w:val="auto"/>
        </w:rPr>
      </w:pPr>
    </w:p>
    <w:p>
      <w:pPr>
        <w:ind w:right="3359" w:firstLine="1489"/>
        <w:spacing w:after="0" w:line="258" w:lineRule="auto"/>
        <w:tabs>
          <w:tab w:leader="none" w:pos="2292"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constitutes the entire agreement and supersedes all prior agreements and undertakings, both written and oral, among the parties, or any of them, with respect to the subject matter hereof and, except as otherwise expressly provided herein, are not intended to confer upon any other person any rights or remedies hereunder.</w:t>
      </w:r>
    </w:p>
    <w:p>
      <w:pPr>
        <w:spacing w:after="0" w:line="164" w:lineRule="exact"/>
        <w:rPr>
          <w:rFonts w:ascii="Courier New" w:cs="Courier New" w:eastAsia="Courier New" w:hAnsi="Courier New"/>
          <w:sz w:val="14"/>
          <w:szCs w:val="14"/>
          <w:color w:val="auto"/>
        </w:rPr>
      </w:pPr>
    </w:p>
    <w:p>
      <w:pPr>
        <w:ind w:left="2280" w:right="3359" w:hanging="791"/>
        <w:spacing w:after="0" w:line="235" w:lineRule="auto"/>
        <w:tabs>
          <w:tab w:leader="none" w:pos="22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This Agreement shall not be assigned by operation of law or otherwise.</w:t>
      </w:r>
    </w:p>
    <w:p>
      <w:pPr>
        <w:spacing w:after="0" w:line="175" w:lineRule="exact"/>
        <w:rPr>
          <w:rFonts w:ascii="Courier New" w:cs="Courier New" w:eastAsia="Courier New" w:hAnsi="Courier New"/>
          <w:sz w:val="15"/>
          <w:szCs w:val="15"/>
          <w:color w:val="auto"/>
        </w:rPr>
      </w:pPr>
    </w:p>
    <w:p>
      <w:pPr>
        <w:ind w:right="3259" w:firstLine="1489"/>
        <w:spacing w:after="0" w:line="238" w:lineRule="auto"/>
        <w:tabs>
          <w:tab w:leader="none" w:pos="2292"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This Agreement may not be modified, amended or waived in any manner except by an instrument in writing signed by each of the parties hereto. Except as is provided in Section 8, this Agreement may only be terminated in a writing signed by each of the parties hereto. The waiver by any party of compliance with any provision of this Agreement by any other party shall not operate or be construed as a waiver of any other provision of this Agreement, or of any subsequent breach by such party of a provision of this Agreement.</w:t>
      </w:r>
    </w:p>
    <w:p>
      <w:pPr>
        <w:spacing w:after="0" w:line="177" w:lineRule="exact"/>
        <w:rPr>
          <w:rFonts w:ascii="Courier New" w:cs="Courier New" w:eastAsia="Courier New" w:hAnsi="Courier New"/>
          <w:sz w:val="15"/>
          <w:szCs w:val="15"/>
          <w:color w:val="auto"/>
        </w:rPr>
      </w:pPr>
    </w:p>
    <w:p>
      <w:pPr>
        <w:ind w:left="2280" w:hanging="791"/>
        <w:spacing w:after="0"/>
        <w:tabs>
          <w:tab w:leader="none" w:pos="22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shall be governed by,</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and construed in accordance with, the laws of the State of California.</w:t>
      </w:r>
    </w:p>
    <w:p>
      <w:pPr>
        <w:spacing w:after="0" w:line="174" w:lineRule="exact"/>
        <w:rPr>
          <w:rFonts w:ascii="Courier New" w:cs="Courier New" w:eastAsia="Courier New" w:hAnsi="Courier New"/>
          <w:sz w:val="14"/>
          <w:szCs w:val="14"/>
          <w:color w:val="auto"/>
        </w:rPr>
      </w:pPr>
    </w:p>
    <w:p>
      <w:pPr>
        <w:ind w:right="3359" w:firstLine="1489"/>
        <w:spacing w:after="0" w:line="258" w:lineRule="auto"/>
        <w:tabs>
          <w:tab w:leader="none" w:pos="2292"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Performance.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and to enforce specifically the terms and provisions hereof in any court of the United States or any state thereof having jurisdiction, this being in addition to any other remedy to which they are entitled at law or in equity.</w:t>
      </w:r>
    </w:p>
    <w:p>
      <w:pPr>
        <w:spacing w:after="0" w:line="169" w:lineRule="exact"/>
        <w:rPr>
          <w:sz w:val="20"/>
          <w:szCs w:val="20"/>
          <w:color w:val="auto"/>
        </w:rPr>
      </w:pPr>
    </w:p>
    <w:p>
      <w:pPr>
        <w:ind w:left="2280" w:hanging="791"/>
        <w:spacing w:after="0"/>
        <w:tabs>
          <w:tab w:leader="none" w:pos="22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one</w:t>
      </w:r>
    </w:p>
    <w:p>
      <w:pPr>
        <w:spacing w:after="0" w:line="5" w:lineRule="exact"/>
        <w:rPr>
          <w:rFonts w:ascii="Courier New" w:cs="Courier New" w:eastAsia="Courier New" w:hAnsi="Courier New"/>
          <w:sz w:val="15"/>
          <w:szCs w:val="15"/>
          <w:color w:val="auto"/>
        </w:rPr>
      </w:pPr>
    </w:p>
    <w:p>
      <w:pPr>
        <w:ind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 more counterparts, and by the different parties hereto in separate counterparts, each of which when executed shall be deemed to be an original but all of which taken together shall constitute one and the same agreement.</w:t>
      </w:r>
    </w:p>
    <w:p>
      <w:pPr>
        <w:spacing w:after="0" w:line="344" w:lineRule="exact"/>
        <w:rPr>
          <w:sz w:val="20"/>
          <w:szCs w:val="20"/>
          <w:color w:val="auto"/>
        </w:rPr>
      </w:pPr>
    </w:p>
    <w:p>
      <w:pPr>
        <w:ind w:right="3439" w:firstLine="1498"/>
        <w:spacing w:after="0" w:line="237" w:lineRule="auto"/>
        <w:rPr>
          <w:sz w:val="20"/>
          <w:szCs w:val="20"/>
          <w:color w:val="auto"/>
        </w:rPr>
      </w:pPr>
      <w:r>
        <w:rPr>
          <w:rFonts w:ascii="Courier New" w:cs="Courier New" w:eastAsia="Courier New" w:hAnsi="Courier New"/>
          <w:sz w:val="15"/>
          <w:szCs w:val="15"/>
          <w:color w:val="auto"/>
        </w:rPr>
        <w:t>IN WITNESS WHEREOF, this Agreement has been executed by each of the parties hereto individually, by its duly authorized officer or in its capacity as a duly authorized trustee or custodian, all as of the date first above written.</w:t>
      </w:r>
    </w:p>
    <w:p>
      <w:pPr>
        <w:spacing w:after="0" w:line="17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USA WASTE SERVICES, INC.</w:t>
      </w:r>
    </w:p>
    <w:p>
      <w:pPr>
        <w:spacing w:after="0" w:line="200" w:lineRule="exact"/>
        <w:rPr>
          <w:sz w:val="20"/>
          <w:szCs w:val="20"/>
          <w:color w:val="auto"/>
        </w:rPr>
      </w:pPr>
    </w:p>
    <w:p>
      <w:pPr>
        <w:spacing w:after="0" w:line="308" w:lineRule="exact"/>
        <w:rPr>
          <w:sz w:val="20"/>
          <w:szCs w:val="20"/>
          <w:color w:val="auto"/>
        </w:rPr>
      </w:pPr>
    </w:p>
    <w:p>
      <w:pPr>
        <w:ind w:left="3520"/>
        <w:spacing w:after="0"/>
        <w:tabs>
          <w:tab w:leader="none" w:pos="42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JOHN E. DRURY</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Name:</w:t>
      </w:r>
    </w:p>
    <w:p>
      <w:pPr>
        <w:ind w:left="3520"/>
        <w:spacing w:after="0"/>
        <w:rPr>
          <w:sz w:val="20"/>
          <w:szCs w:val="20"/>
          <w:color w:val="auto"/>
        </w:rPr>
      </w:pPr>
      <w:r>
        <w:rPr>
          <w:rFonts w:ascii="Courier New" w:cs="Courier New" w:eastAsia="Courier New" w:hAnsi="Courier New"/>
          <w:sz w:val="15"/>
          <w:szCs w:val="15"/>
          <w:color w:val="auto"/>
        </w:rPr>
        <w:t>Title</w:t>
      </w:r>
    </w:p>
    <w:p>
      <w:pPr>
        <w:spacing w:after="0" w:line="33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WESTERN WASTE INDUSTRIES</w:t>
      </w:r>
    </w:p>
    <w:p>
      <w:pPr>
        <w:spacing w:after="0" w:line="200" w:lineRule="exact"/>
        <w:rPr>
          <w:sz w:val="20"/>
          <w:szCs w:val="20"/>
          <w:color w:val="auto"/>
        </w:rPr>
      </w:pPr>
    </w:p>
    <w:p>
      <w:pPr>
        <w:spacing w:after="0" w:line="308" w:lineRule="exact"/>
        <w:rPr>
          <w:sz w:val="20"/>
          <w:szCs w:val="20"/>
          <w:color w:val="auto"/>
        </w:rPr>
      </w:pPr>
    </w:p>
    <w:p>
      <w:pPr>
        <w:ind w:left="3520"/>
        <w:spacing w:after="0"/>
        <w:tabs>
          <w:tab w:leader="none" w:pos="42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SAVEY TUFENKINAN</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Name:</w:t>
      </w:r>
    </w:p>
    <w:p>
      <w:pPr>
        <w:ind w:left="3520"/>
        <w:spacing w:after="0"/>
        <w:rPr>
          <w:sz w:val="20"/>
          <w:szCs w:val="20"/>
          <w:color w:val="auto"/>
        </w:rPr>
      </w:pPr>
      <w:r>
        <w:rPr>
          <w:rFonts w:ascii="Courier New" w:cs="Courier New" w:eastAsia="Courier New" w:hAnsi="Courier New"/>
          <w:sz w:val="15"/>
          <w:szCs w:val="15"/>
          <w:color w:val="auto"/>
        </w:rPr>
        <w:t>Title</w:t>
      </w:r>
    </w:p>
    <w:p>
      <w:pPr>
        <w:spacing w:after="0" w:line="33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THE HOLDER:</w:t>
      </w:r>
    </w:p>
    <w:p>
      <w:pPr>
        <w:spacing w:after="0" w:line="200" w:lineRule="exact"/>
        <w:rPr>
          <w:sz w:val="20"/>
          <w:szCs w:val="20"/>
          <w:color w:val="auto"/>
        </w:rPr>
      </w:pPr>
    </w:p>
    <w:p>
      <w:pPr>
        <w:spacing w:after="0" w:line="30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/s/ KOSTI SHIRVANIAN</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Kosti Shirvanian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3" w:right="1440" w:bottom="1440" w:gutter="0" w:footer="0" w:header="0"/>
        </w:sectPr>
      </w:pPr>
    </w:p>
    <w:bookmarkStart w:id="53" w:name="page54"/>
    <w:bookmarkEnd w:id="53"/>
    <w:p>
      <w:pPr>
        <w:ind w:left="18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SCHEDULE I</w:t>
      </w:r>
    </w:p>
    <w:p>
      <w:pPr>
        <w:sectPr>
          <w:pgSz w:w="11900" w:h="16838" w:orient="portrait"/>
          <w:cols w:equalWidth="0" w:num="1">
            <w:col w:w="10139"/>
          </w:cols>
          <w:pgMar w:left="320" w:top="283"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SHARES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4740" w:space="720"/>
            <w:col w:w="4679"/>
          </w:cols>
          <w:pgMar w:left="32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Kosti Shirvanian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 . . . . . . . . . . . . . . . .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4,516,413</w:t>
      </w:r>
    </w:p>
    <w:p>
      <w:pPr>
        <w:sectPr>
          <w:pgSz w:w="11900" w:h="16838" w:orient="portrait"/>
          <w:cols w:equalWidth="0" w:num="3">
            <w:col w:w="1400" w:space="180"/>
            <w:col w:w="3620" w:space="620"/>
            <w:col w:w="4319"/>
          </w:cols>
          <w:pgMar w:left="320" w:top="283" w:right="1440" w:bottom="1440" w:gutter="0" w:footer="0" w:header="0"/>
          <w:type w:val="continuous"/>
        </w:sectPr>
      </w:pPr>
    </w:p>
    <w:bookmarkStart w:id="54" w:name="page55"/>
    <w:bookmarkEnd w:id="54"/>
    <w:p>
      <w:pPr>
        <w:ind w:left="270"/>
        <w:spacing w:after="0"/>
        <w:rPr>
          <w:sz w:val="20"/>
          <w:szCs w:val="20"/>
          <w:color w:val="auto"/>
        </w:rPr>
      </w:pPr>
      <w:r>
        <w:rPr>
          <w:rFonts w:ascii="Courier New" w:cs="Courier New" w:eastAsia="Courier New" w:hAnsi="Courier New"/>
          <w:sz w:val="15"/>
          <w:szCs w:val="15"/>
          <w:color w:val="auto"/>
        </w:rPr>
        <w:t>8</w:t>
      </w:r>
    </w:p>
    <w:p>
      <w:pPr>
        <w:ind w:left="2730"/>
        <w:spacing w:after="0"/>
        <w:rPr>
          <w:sz w:val="20"/>
          <w:szCs w:val="20"/>
          <w:color w:val="auto"/>
        </w:rPr>
      </w:pPr>
      <w:r>
        <w:rPr>
          <w:rFonts w:ascii="Courier New" w:cs="Courier New" w:eastAsia="Courier New" w:hAnsi="Courier New"/>
          <w:sz w:val="15"/>
          <w:szCs w:val="15"/>
          <w:color w:val="auto"/>
        </w:rPr>
        <w:t>IRREVOCABLE PROXY</w:t>
      </w:r>
    </w:p>
    <w:p>
      <w:pPr>
        <w:spacing w:after="0" w:line="174" w:lineRule="exact"/>
        <w:rPr>
          <w:sz w:val="20"/>
          <w:szCs w:val="20"/>
          <w:color w:val="auto"/>
        </w:rPr>
      </w:pPr>
    </w:p>
    <w:p>
      <w:pPr>
        <w:ind w:left="10" w:right="3259" w:firstLine="1498"/>
        <w:spacing w:after="0" w:line="256" w:lineRule="auto"/>
        <w:rPr>
          <w:sz w:val="20"/>
          <w:szCs w:val="20"/>
          <w:color w:val="auto"/>
        </w:rPr>
      </w:pPr>
      <w:r>
        <w:rPr>
          <w:rFonts w:ascii="Courier New" w:cs="Courier New" w:eastAsia="Courier New" w:hAnsi="Courier New"/>
          <w:sz w:val="14"/>
          <w:szCs w:val="14"/>
          <w:color w:val="auto"/>
        </w:rPr>
        <w:t>The undersigned shareholder of Western Waste Industries, a California corporation (the "Company"), hereby irrevocably (to the full extent permitted by law) appoints and constitutes John E. Drury, Chairman of the Board and Chief Executive Officer of Parent, and Donald F. Moorehead, Jr., Vice Chairman of the Board of Parent, in their respective capacities and officers of Parent, and any individual or individuals, who shall hereafter succeed to the office of Chairman of the Board or Chief Executive Officer of Parent, and Parent, and each of them, the attorneys and proxies of the undersigned with full power of substitution and resubstitution, to the full extent of the undersigned's rights with respect to the shares of capital stock of the Company beneficially owned by the undersigned, which shares are listed on the final page of this Proxy (the "Shares"), and any and all other shares or securities issued or issuable in respect thereof on or after the date hereof, until such time as the Voting Agreement, dated as of December 18, 1995 (the "Voting Agreement"), among Parent, the Company and the undersigned, shall be terminated in accordance with its terms. Upon the execution hereof, all prior proxies given by the undersigned with respect to the Shares and any and all other shares or securities issued or issuable in respect thereof on or after the date hereof are hereby revoked and no subsequent proxies will be given.</w:t>
      </w:r>
    </w:p>
    <w:p>
      <w:pPr>
        <w:spacing w:after="0" w:line="176" w:lineRule="exact"/>
        <w:rPr>
          <w:sz w:val="20"/>
          <w:szCs w:val="20"/>
          <w:color w:val="auto"/>
        </w:rPr>
      </w:pPr>
    </w:p>
    <w:p>
      <w:pPr>
        <w:ind w:left="10" w:right="3439" w:firstLine="1498"/>
        <w:spacing w:after="0" w:line="238" w:lineRule="auto"/>
        <w:rPr>
          <w:sz w:val="20"/>
          <w:szCs w:val="20"/>
          <w:color w:val="auto"/>
        </w:rPr>
      </w:pPr>
      <w:r>
        <w:rPr>
          <w:rFonts w:ascii="Courier New" w:cs="Courier New" w:eastAsia="Courier New" w:hAnsi="Courier New"/>
          <w:sz w:val="15"/>
          <w:szCs w:val="15"/>
          <w:color w:val="auto"/>
        </w:rPr>
        <w:t>This proxy is irrevocable (to the full extent permitted by law) and is granted in connection with the Voting Agreement and is granted in consideration of Parent entering into the Agreement and Plan of Merger, dated as of December 18, 1995 (the "Merger Agreement"), among Parent, Riviera Acquisition Corporation, a California corporation and wholly-owned subsidiary of Parent, and the Company.</w:t>
      </w:r>
    </w:p>
    <w:p>
      <w:pPr>
        <w:spacing w:after="0" w:line="176" w:lineRule="exact"/>
        <w:rPr>
          <w:sz w:val="20"/>
          <w:szCs w:val="20"/>
          <w:color w:val="auto"/>
        </w:rPr>
      </w:pPr>
    </w:p>
    <w:p>
      <w:pPr>
        <w:ind w:left="10" w:right="3259" w:firstLine="1498"/>
        <w:spacing w:after="0" w:line="256" w:lineRule="auto"/>
        <w:rPr>
          <w:sz w:val="20"/>
          <w:szCs w:val="20"/>
          <w:color w:val="auto"/>
        </w:rPr>
      </w:pPr>
      <w:r>
        <w:rPr>
          <w:rFonts w:ascii="Courier New" w:cs="Courier New" w:eastAsia="Courier New" w:hAnsi="Courier New"/>
          <w:sz w:val="14"/>
          <w:szCs w:val="14"/>
          <w:color w:val="auto"/>
        </w:rPr>
        <w:t>The attorneys and proxies named above will be empowered at any time prior to termination of the Voting Agreement to exercise all voting and other rights (including, without limitation, the power to execute and deliver written consents with respect to the Shares) of the undersigned at every annual or special meeting of the shareholders of the Company and at every continuation or adjournment thereof, and on every action or approval by written consent of the shareholders of the Company in lieu of any such meeting, (i) in favor of approval of the Merger Agreement and the Merger and any matter that could reasonably be expected to facilitate the Merger, (ii) against approval of any proposal made in opposition to or competition with consummation of the Merger,</w:t>
      </w:r>
    </w:p>
    <w:p>
      <w:pPr>
        <w:spacing w:after="0" w:line="3" w:lineRule="exact"/>
        <w:rPr>
          <w:sz w:val="20"/>
          <w:szCs w:val="20"/>
          <w:color w:val="auto"/>
        </w:rPr>
      </w:pPr>
    </w:p>
    <w:p>
      <w:pPr>
        <w:ind w:left="10" w:right="3259" w:hanging="10"/>
        <w:spacing w:after="0" w:line="238" w:lineRule="auto"/>
        <w:tabs>
          <w:tab w:leader="none" w:pos="53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against, or so as to abstain with regard to, any merger, consolidation, sale of assets, reorganization or recapitalization of the Company with any party other than Parent or it affiliates, and (iv) against any liquidation or winding up of the Company or any amendment of the Company's Articles of Incorporation or By-laws or any other transaction or action which is intended to frustrate or impair the right or ability of Parent or Subsidiary, on the one hand, or the Company, on the other hand, to consummate the Merger.</w:t>
      </w:r>
    </w:p>
    <w:p>
      <w:pPr>
        <w:sectPr>
          <w:pgSz w:w="11900" w:h="16838" w:orient="portrait"/>
          <w:cols w:equalWidth="0" w:num="1">
            <w:col w:w="10229"/>
          </w:cols>
          <w:pgMar w:left="230" w:top="283"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3259" w:firstLine="1498"/>
        <w:spacing w:after="0" w:line="239" w:lineRule="auto"/>
        <w:rPr>
          <w:sz w:val="20"/>
          <w:szCs w:val="20"/>
          <w:color w:val="auto"/>
        </w:rPr>
      </w:pPr>
      <w:r>
        <w:rPr>
          <w:rFonts w:ascii="Courier New" w:cs="Courier New" w:eastAsia="Courier New" w:hAnsi="Courier New"/>
          <w:sz w:val="15"/>
          <w:szCs w:val="15"/>
          <w:color w:val="auto"/>
        </w:rPr>
        <w:t>The attorneys and proxies named above may only exercise this proxy to vote the Shares subject hereto at any time prior to termination of the Voting Agreement at every annual or special meeting of the shareholders of the Company and at every continuation or adjournment thereof, and on every action or approval by written consent of the shareholders of the Company in lieu of any such meeting, (i) in favor of approval of the Merger Agreement and the Merger and any matter that could reasonably be expected to facilitate the Merger, (ii) against approval of any proposal made in opposition to or competition with consummation of the Merger, (iii) against, or so as to abstain with regard to, any merger, consolidation, sale of assets, reorganization or recapitalization of the Company with any party other than Parent or it affiliates and (iv) against any liquidation or winding up of the Company or any amendment of the Company's Articles of Incorporation or By-laws or any other transaction or action which is intended to frustrate or impair the right or ability of Parent or Subsidiary, on the one hand, or the Company, on the other hand, to consummate the Merger, and may not exercise this proxy on any other matter. The undersigned shareholder may vote the Shares on all other matters.</w:t>
      </w:r>
    </w:p>
    <w:p>
      <w:pPr>
        <w:spacing w:after="0" w:line="175" w:lineRule="exact"/>
        <w:rPr>
          <w:sz w:val="20"/>
          <w:szCs w:val="20"/>
          <w:color w:val="auto"/>
        </w:rPr>
      </w:pPr>
    </w:p>
    <w:p>
      <w:pPr>
        <w:ind w:right="3439" w:firstLine="1498"/>
        <w:spacing w:after="0" w:line="235" w:lineRule="auto"/>
        <w:rPr>
          <w:sz w:val="20"/>
          <w:szCs w:val="20"/>
          <w:color w:val="auto"/>
        </w:rPr>
      </w:pPr>
      <w:r>
        <w:rPr>
          <w:rFonts w:ascii="Courier New" w:cs="Courier New" w:eastAsia="Courier New" w:hAnsi="Courier New"/>
          <w:sz w:val="15"/>
          <w:szCs w:val="15"/>
          <w:color w:val="auto"/>
        </w:rPr>
        <w:t>Any obligation of the undersigned hereunder shall be binding upon the successors and assigns of the undersigned.</w:t>
      </w:r>
    </w:p>
    <w:p>
      <w:pPr>
        <w:spacing w:after="0" w:line="170"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This proxy is irrevocable.</w:t>
      </w:r>
    </w:p>
    <w:p>
      <w:pPr>
        <w:sectPr>
          <w:pgSz w:w="11900" w:h="16838" w:orient="portrait"/>
          <w:cols w:equalWidth="0" w:num="1">
            <w:col w:w="10219"/>
          </w:cols>
          <w:pgMar w:left="240" w:top="283"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18, 1995</w:t>
      </w:r>
    </w:p>
    <w:p>
      <w:pPr>
        <w:spacing w:after="0" w:line="175" w:lineRule="exact"/>
        <w:rPr>
          <w:sz w:val="20"/>
          <w:szCs w:val="20"/>
          <w:color w:val="auto"/>
        </w:rPr>
      </w:pPr>
    </w:p>
    <w:p>
      <w:pPr>
        <w:sectPr>
          <w:pgSz w:w="11900" w:h="16838" w:orient="portrait"/>
          <w:cols w:equalWidth="0" w:num="2">
            <w:col w:w="520" w:space="260"/>
            <w:col w:w="9439"/>
          </w:cols>
          <w:pgMar w:left="240" w:top="283" w:right="1440" w:bottom="1440" w:gutter="0" w:footer="0" w:header="0"/>
          <w:type w:val="continuous"/>
        </w:sectPr>
      </w:pPr>
    </w:p>
    <w:p>
      <w:pPr>
        <w:ind w:left="1480"/>
        <w:spacing w:after="0"/>
        <w:tabs>
          <w:tab w:leader="none" w:pos="4460" w:val="left"/>
        </w:tabs>
        <w:rPr>
          <w:sz w:val="20"/>
          <w:szCs w:val="20"/>
          <w:color w:val="auto"/>
        </w:rPr>
      </w:pPr>
      <w:r>
        <w:rPr>
          <w:rFonts w:ascii="Courier New" w:cs="Courier New" w:eastAsia="Courier New" w:hAnsi="Courier New"/>
          <w:sz w:val="15"/>
          <w:szCs w:val="15"/>
          <w:color w:val="auto"/>
        </w:rPr>
        <w:t>Signature of Shareholder:</w:t>
      </w:r>
      <w:r>
        <w:rPr>
          <w:sz w:val="20"/>
          <w:szCs w:val="20"/>
          <w:color w:val="auto"/>
        </w:rPr>
        <w:tab/>
      </w:r>
      <w:r>
        <w:rPr>
          <w:rFonts w:ascii="Courier New" w:cs="Courier New" w:eastAsia="Courier New" w:hAnsi="Courier New"/>
          <w:sz w:val="14"/>
          <w:szCs w:val="14"/>
          <w:color w:val="auto"/>
        </w:rPr>
        <w:t>/s/ KOSTI SHIRVANIAN</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480"/>
        <w:spacing w:after="0"/>
        <w:tabs>
          <w:tab w:leader="none" w:pos="4120" w:val="left"/>
        </w:tabs>
        <w:rPr>
          <w:sz w:val="20"/>
          <w:szCs w:val="20"/>
          <w:color w:val="auto"/>
        </w:rPr>
      </w:pPr>
      <w:r>
        <w:rPr>
          <w:rFonts w:ascii="Courier New" w:cs="Courier New" w:eastAsia="Courier New" w:hAnsi="Courier New"/>
          <w:sz w:val="15"/>
          <w:szCs w:val="15"/>
          <w:color w:val="auto"/>
        </w:rPr>
        <w:t>Print name of Shareholder:</w:t>
      </w:r>
      <w:r>
        <w:rPr>
          <w:sz w:val="20"/>
          <w:szCs w:val="20"/>
          <w:color w:val="auto"/>
        </w:rPr>
        <w:tab/>
      </w:r>
      <w:r>
        <w:rPr>
          <w:rFonts w:ascii="Courier New" w:cs="Courier New" w:eastAsia="Courier New" w:hAnsi="Courier New"/>
          <w:sz w:val="14"/>
          <w:szCs w:val="14"/>
          <w:color w:val="auto"/>
        </w:rPr>
        <w:t>Kosti Shirvanian</w:t>
      </w:r>
    </w:p>
    <w:p>
      <w:pPr>
        <w:sectPr>
          <w:pgSz w:w="11900" w:h="16838" w:orient="portrait"/>
          <w:cols w:equalWidth="0" w:num="1">
            <w:col w:w="10219"/>
          </w:cols>
          <w:pgMar w:left="240" w:top="283" w:right="1440" w:bottom="1440" w:gutter="0" w:footer="0" w:header="0"/>
          <w:type w:val="continuous"/>
        </w:sectPr>
      </w:pPr>
    </w:p>
    <w:p>
      <w:pPr>
        <w:spacing w:after="0" w:line="169" w:lineRule="exact"/>
        <w:rPr>
          <w:sz w:val="20"/>
          <w:szCs w:val="20"/>
          <w:color w:val="auto"/>
        </w:rPr>
      </w:pPr>
    </w:p>
    <w:p>
      <w:pPr>
        <w:ind w:left="1480"/>
        <w:spacing w:after="0"/>
        <w:tabs>
          <w:tab w:leader="none" w:pos="3940" w:val="left"/>
        </w:tabs>
        <w:rPr>
          <w:sz w:val="20"/>
          <w:szCs w:val="20"/>
          <w:color w:val="auto"/>
        </w:rPr>
      </w:pPr>
      <w:r>
        <w:rPr>
          <w:rFonts w:ascii="Courier New" w:cs="Courier New" w:eastAsia="Courier New" w:hAnsi="Courier New"/>
          <w:sz w:val="15"/>
          <w:szCs w:val="15"/>
          <w:color w:val="auto"/>
        </w:rPr>
        <w:t>Shares beneficially owned:</w:t>
      </w:r>
      <w:r>
        <w:rPr>
          <w:sz w:val="20"/>
          <w:szCs w:val="20"/>
          <w:color w:val="auto"/>
        </w:rPr>
        <w:tab/>
      </w:r>
      <w:r>
        <w:rPr>
          <w:rFonts w:ascii="Courier New" w:cs="Courier New" w:eastAsia="Courier New" w:hAnsi="Courier New"/>
          <w:sz w:val="14"/>
          <w:szCs w:val="14"/>
          <w:color w:val="auto"/>
        </w:rPr>
        <w:t>4,516,413 shares of Company</w:t>
      </w:r>
    </w:p>
    <w:p>
      <w:pPr>
        <w:spacing w:after="0"/>
        <w:rPr>
          <w:sz w:val="20"/>
          <w:szCs w:val="20"/>
          <w:color w:val="auto"/>
        </w:rPr>
      </w:pPr>
      <w:r>
        <w:rPr>
          <w:rFonts w:ascii="Courier New" w:cs="Courier New" w:eastAsia="Courier New" w:hAnsi="Courier New"/>
          <w:sz w:val="15"/>
          <w:szCs w:val="15"/>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-2-</w:t>
      </w:r>
    </w:p>
    <w:sectPr>
      <w:pgSz w:w="11900" w:h="16838" w:orient="portrait"/>
      <w:cols w:equalWidth="0" w:num="1">
        <w:col w:w="10219"/>
      </w:cols>
      <w:pgMar w:left="240" w:top="28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
    <w:nsid w:val="440BADFC"/>
    <w:multiLevelType w:val="hybridMultilevel"/>
    <w:lvl w:ilvl="0">
      <w:lvlJc w:val="left"/>
      <w:lvlText w:val="%1"/>
      <w:numFmt w:val="decimal"/>
      <w:start w:val="1"/>
    </w:lvl>
    <w:lvl w:ilvl="1">
      <w:lvlJc w:val="left"/>
      <w:lvlText w:val="*"/>
      <w:numFmt w:val="bullet"/>
      <w:start w:val="1"/>
    </w:lvl>
    <w:lvl w:ilvl="2">
      <w:lvlJc w:val="left"/>
      <w:lvlText w:val="%3."/>
      <w:numFmt w:val="decimal"/>
      <w:start w:val="10"/>
    </w:lvl>
  </w:abstractNum>
  <w:abstractNum w:abstractNumId="2">
    <w:nsid w:val="5072367"/>
    <w:multiLevelType w:val="hybridMultilevel"/>
    <w:lvl w:ilvl="0">
      <w:lvlJc w:val="left"/>
      <w:lvlText w:val="%1."/>
      <w:numFmt w:val="decimal"/>
      <w:start w:val="11"/>
    </w:lvl>
    <w:lvl w:ilvl="1">
      <w:lvlJc w:val="left"/>
      <w:lvlText w:val="*"/>
      <w:numFmt w:val="bullet"/>
      <w:start w:val="1"/>
    </w:lvl>
    <w:lvl w:ilvl="2">
      <w:lvlJc w:val="left"/>
      <w:lvlText w:val="%3"/>
      <w:numFmt w:val="decimal"/>
      <w:start w:val="1"/>
    </w:lvl>
  </w:abstractNum>
  <w:abstractNum w:abstractNumId="3">
    <w:nsid w:val="3804823E"/>
    <w:multiLevelType w:val="hybridMultilevel"/>
    <w:lvl w:ilvl="0">
      <w:lvlJc w:val="left"/>
      <w:lvlText w:val="(%1)"/>
      <w:numFmt w:val="lowerLetter"/>
      <w:start w:val="1"/>
    </w:lvl>
  </w:abstractNum>
  <w:abstractNum w:abstractNumId="4">
    <w:nsid w:val="77465F01"/>
    <w:multiLevelType w:val="hybridMultilevel"/>
    <w:lvl w:ilvl="0">
      <w:lvlJc w:val="left"/>
      <w:lvlText w:val="(%1)"/>
      <w:numFmt w:val="lowerLetter"/>
      <w:start w:val="1"/>
    </w:lvl>
  </w:abstractNum>
  <w:abstractNum w:abstractNumId="5">
    <w:nsid w:val="7724C67E"/>
    <w:multiLevelType w:val="hybridMultilevel"/>
    <w:lvl w:ilvl="0">
      <w:lvlJc w:val="left"/>
      <w:lvlText w:val="(%1)"/>
      <w:numFmt w:val="lowerLetter"/>
      <w:start w:val="2"/>
    </w:lvl>
  </w:abstractNum>
  <w:abstractNum w:abstractNumId="6">
    <w:nsid w:val="5C482A97"/>
    <w:multiLevelType w:val="hybridMultilevel"/>
    <w:lvl w:ilvl="0">
      <w:lvlJc w:val="left"/>
      <w:lvlText w:val="(%1)"/>
      <w:numFmt w:val="lowerLetter"/>
      <w:start w:val="1"/>
    </w:lvl>
  </w:abstractNum>
  <w:abstractNum w:abstractNumId="7">
    <w:nsid w:val="2463B9EA"/>
    <w:multiLevelType w:val="hybridMultilevel"/>
    <w:lvl w:ilvl="0">
      <w:lvlJc w:val="left"/>
      <w:lvlText w:val="(%1)"/>
      <w:numFmt w:val="lowerLetter"/>
      <w:start w:val="2"/>
    </w:lvl>
  </w:abstractNum>
  <w:abstractNum w:abstractNumId="8">
    <w:nsid w:val="5E884ADC"/>
    <w:multiLevelType w:val="hybridMultilevel"/>
    <w:lvl w:ilvl="0">
      <w:lvlJc w:val="left"/>
      <w:lvlText w:val="%1."/>
      <w:numFmt w:val="upperLetter"/>
      <w:start w:val="1"/>
    </w:lvl>
  </w:abstractNum>
  <w:abstractNum w:abstractNumId="9">
    <w:nsid w:val="51EAD36B"/>
    <w:multiLevelType w:val="hybridMultilevel"/>
    <w:lvl w:ilvl="0">
      <w:lvlJc w:val="left"/>
      <w:lvlText w:val="(%1)"/>
      <w:numFmt w:val="lowerLetter"/>
      <w:start w:val="1"/>
    </w:lvl>
  </w:abstractNum>
  <w:abstractNum w:abstractNumId="10">
    <w:nsid w:val="2D517796"/>
    <w:multiLevelType w:val="hybridMultilevel"/>
    <w:lvl w:ilvl="0">
      <w:lvlJc w:val="left"/>
      <w:lvlText w:val="(%1)"/>
      <w:numFmt w:val="lowerLetter"/>
      <w:start w:val="3"/>
    </w:lvl>
  </w:abstractNum>
  <w:abstractNum w:abstractNumId="11">
    <w:nsid w:val="580BD78F"/>
    <w:multiLevelType w:val="hybridMultilevel"/>
    <w:lvl w:ilvl="0">
      <w:lvlJc w:val="left"/>
      <w:lvlText w:val="(%1)"/>
      <w:numFmt w:val="lowerLetter"/>
      <w:start w:val="2"/>
    </w:lvl>
  </w:abstractNum>
  <w:abstractNum w:abstractNumId="12">
    <w:nsid w:val="153EA438"/>
    <w:multiLevelType w:val="hybridMultilevel"/>
    <w:lvl w:ilvl="0">
      <w:lvlJc w:val="left"/>
      <w:lvlText w:val="(%1)"/>
      <w:numFmt w:val="lowerLetter"/>
      <w:start w:val="5"/>
    </w:lvl>
  </w:abstractNum>
  <w:abstractNum w:abstractNumId="13">
    <w:nsid w:val="3855585C"/>
    <w:multiLevelType w:val="hybridMultilevel"/>
    <w:lvl w:ilvl="0">
      <w:lvlJc w:val="left"/>
      <w:lvlText w:val="(%1)"/>
      <w:numFmt w:val="lowerLetter"/>
      <w:start w:val="2"/>
    </w:lvl>
  </w:abstractNum>
  <w:abstractNum w:abstractNumId="14">
    <w:nsid w:val="70A64E2A"/>
    <w:multiLevelType w:val="hybridMultilevel"/>
    <w:lvl w:ilvl="0">
      <w:lvlJc w:val="left"/>
      <w:lvlText w:val="(%1)"/>
      <w:numFmt w:val="lowerLetter"/>
      <w:start w:val="2"/>
    </w:lvl>
  </w:abstractNum>
  <w:abstractNum w:abstractNumId="15">
    <w:nsid w:val="6A2342EC"/>
    <w:multiLevelType w:val="hybridMultilevel"/>
    <w:lvl w:ilvl="0">
      <w:lvlJc w:val="left"/>
      <w:lvlText w:val="(%1)"/>
      <w:numFmt w:val="lowerLetter"/>
      <w:start w:val="3"/>
    </w:lvl>
  </w:abstractNum>
  <w:abstractNum w:abstractNumId="16">
    <w:nsid w:val="2A487CB0"/>
    <w:multiLevelType w:val="hybridMultilevel"/>
    <w:lvl w:ilvl="0">
      <w:lvlJc w:val="left"/>
      <w:lvlText w:val="(%1)"/>
      <w:numFmt w:val="lowerLetter"/>
      <w:start w:val="2"/>
    </w:lvl>
  </w:abstractNum>
  <w:abstractNum w:abstractNumId="17">
    <w:nsid w:val="1D4ED43B"/>
    <w:multiLevelType w:val="hybridMultilevel"/>
    <w:lvl w:ilvl="0">
      <w:lvlJc w:val="left"/>
      <w:lvlText w:val="(%1)"/>
      <w:numFmt w:val="lowerLetter"/>
      <w:start w:val="3"/>
    </w:lvl>
  </w:abstractNum>
  <w:abstractNum w:abstractNumId="18">
    <w:nsid w:val="725A06FB"/>
    <w:multiLevelType w:val="hybridMultilevel"/>
    <w:lvl w:ilvl="0">
      <w:lvlJc w:val="left"/>
      <w:lvlText w:val="%1"/>
      <w:numFmt w:val="lowerRoman"/>
      <w:start w:val="1"/>
    </w:lvl>
    <w:lvl w:ilvl="1">
      <w:lvlJc w:val="left"/>
      <w:lvlText w:val="(%2)"/>
      <w:numFmt w:val="lowerLetter"/>
      <w:start w:val="2"/>
    </w:lvl>
  </w:abstractNum>
  <w:abstractNum w:abstractNumId="19">
    <w:nsid w:val="2CD89A32"/>
    <w:multiLevelType w:val="hybridMultilevel"/>
    <w:lvl w:ilvl="0">
      <w:lvlJc w:val="left"/>
      <w:lvlText w:val="(%1)"/>
      <w:numFmt w:val="lowerRoman"/>
      <w:start w:val="8"/>
    </w:lvl>
    <w:lvl w:ilvl="1">
      <w:lvlJc w:val="left"/>
      <w:lvlText w:val="%2"/>
      <w:numFmt w:val="lowerLetter"/>
      <w:start w:val="1"/>
    </w:lvl>
  </w:abstractNum>
  <w:abstractNum w:abstractNumId="20">
    <w:nsid w:val="57E4CCAF"/>
    <w:multiLevelType w:val="hybridMultilevel"/>
    <w:lvl w:ilvl="0">
      <w:lvlJc w:val="left"/>
      <w:lvlText w:val="(%1)"/>
      <w:numFmt w:val="lowerLetter"/>
      <w:start w:val="3"/>
    </w:lvl>
  </w:abstractNum>
  <w:abstractNum w:abstractNumId="21">
    <w:nsid w:val="7A6D8D3C"/>
    <w:multiLevelType w:val="hybridMultilevel"/>
    <w:lvl w:ilvl="0">
      <w:lvlJc w:val="left"/>
      <w:lvlText w:val="(%1)"/>
      <w:numFmt w:val="lowerLetter"/>
      <w:start w:val="2"/>
    </w:lvl>
  </w:abstractNum>
  <w:abstractNum w:abstractNumId="22">
    <w:nsid w:val="4B588F54"/>
    <w:multiLevelType w:val="hybridMultilevel"/>
    <w:lvl w:ilvl="0">
      <w:lvlJc w:val="left"/>
      <w:lvlText w:val="(%1)"/>
      <w:numFmt w:val="lowerLetter"/>
      <w:start w:val="2"/>
    </w:lvl>
  </w:abstractNum>
  <w:abstractNum w:abstractNumId="23">
    <w:nsid w:val="542289EC"/>
    <w:multiLevelType w:val="hybridMultilevel"/>
    <w:lvl w:ilvl="0">
      <w:lvlJc w:val="left"/>
      <w:lvlText w:val="(%1)"/>
      <w:numFmt w:val="lowerLetter"/>
      <w:start w:val="2"/>
    </w:lvl>
  </w:abstractNum>
  <w:abstractNum w:abstractNumId="24">
    <w:nsid w:val="6DE91B18"/>
    <w:multiLevelType w:val="hybridMultilevel"/>
    <w:lvl w:ilvl="0">
      <w:lvlJc w:val="left"/>
      <w:lvlText w:val="(%1)"/>
      <w:numFmt w:val="lowerLetter"/>
      <w:start w:val="9"/>
    </w:lvl>
    <w:lvl w:ilvl="1">
      <w:lvlJc w:val="left"/>
      <w:lvlText w:val="(%2)"/>
      <w:numFmt w:val="lowerLetter"/>
      <w:start w:val="3"/>
    </w:lvl>
  </w:abstractNum>
  <w:abstractNum w:abstractNumId="25">
    <w:nsid w:val="38437FDB"/>
    <w:multiLevelType w:val="hybridMultilevel"/>
    <w:lvl w:ilvl="0">
      <w:lvlJc w:val="left"/>
      <w:lvlText w:val="(%1)"/>
      <w:numFmt w:val="lowerLetter"/>
      <w:start w:val="9"/>
    </w:lvl>
    <w:lvl w:ilvl="1">
      <w:lvlJc w:val="left"/>
      <w:lvlText w:val="%2"/>
      <w:numFmt w:val="lowerLetter"/>
      <w:start w:val="1"/>
    </w:lvl>
  </w:abstractNum>
  <w:abstractNum w:abstractNumId="26">
    <w:nsid w:val="7644A45C"/>
    <w:multiLevelType w:val="hybridMultilevel"/>
    <w:lvl w:ilvl="0">
      <w:lvlJc w:val="left"/>
      <w:lvlText w:val="(%1)"/>
      <w:numFmt w:val="lowerLetter"/>
      <w:start w:val="2"/>
    </w:lvl>
  </w:abstractNum>
  <w:abstractNum w:abstractNumId="27">
    <w:nsid w:val="32FFF902"/>
    <w:multiLevelType w:val="hybridMultilevel"/>
    <w:lvl w:ilvl="0">
      <w:lvlJc w:val="left"/>
      <w:lvlText w:val="(%1)"/>
      <w:numFmt w:val="lowerLetter"/>
      <w:start w:val="1"/>
    </w:lvl>
  </w:abstractNum>
  <w:abstractNum w:abstractNumId="28">
    <w:nsid w:val="684A481A"/>
    <w:multiLevelType w:val="hybridMultilevel"/>
    <w:lvl w:ilvl="0">
      <w:lvlJc w:val="left"/>
      <w:lvlText w:val="%1"/>
      <w:numFmt w:val="lowerRoman"/>
      <w:start w:val="1"/>
    </w:lvl>
    <w:lvl w:ilvl="1">
      <w:lvlJc w:val="left"/>
      <w:lvlText w:val="(%2)"/>
      <w:numFmt w:val="lowerLetter"/>
      <w:start w:val="2"/>
    </w:lvl>
  </w:abstractNum>
  <w:abstractNum w:abstractNumId="29">
    <w:nsid w:val="579478FE"/>
    <w:multiLevelType w:val="hybridMultilevel"/>
    <w:lvl w:ilvl="0">
      <w:lvlJc w:val="left"/>
      <w:lvlText w:val="(%1)"/>
      <w:numFmt w:val="lowerRoman"/>
      <w:start w:val="8"/>
    </w:lvl>
    <w:lvl w:ilvl="1">
      <w:lvlJc w:val="left"/>
      <w:lvlText w:val="%2"/>
      <w:numFmt w:val="lowerLetter"/>
      <w:start w:val="1"/>
    </w:lvl>
  </w:abstractNum>
  <w:abstractNum w:abstractNumId="30">
    <w:nsid w:val="749ABB43"/>
    <w:multiLevelType w:val="hybridMultilevel"/>
    <w:lvl w:ilvl="0">
      <w:lvlJc w:val="left"/>
      <w:lvlText w:val="(%1)"/>
      <w:numFmt w:val="lowerLetter"/>
      <w:start w:val="3"/>
    </w:lvl>
  </w:abstractNum>
  <w:abstractNum w:abstractNumId="31">
    <w:nsid w:val="3DC240FB"/>
    <w:multiLevelType w:val="hybridMultilevel"/>
    <w:lvl w:ilvl="0">
      <w:lvlJc w:val="left"/>
      <w:lvlText w:val="(%1)"/>
      <w:numFmt w:val="lowerLetter"/>
      <w:start w:val="1"/>
    </w:lvl>
  </w:abstractNum>
  <w:abstractNum w:abstractNumId="32">
    <w:nsid w:val="1BA026FA"/>
    <w:multiLevelType w:val="hybridMultilevel"/>
    <w:lvl w:ilvl="0">
      <w:lvlJc w:val="left"/>
      <w:lvlText w:val="(%1)"/>
      <w:numFmt w:val="lowerLetter"/>
      <w:start w:val="5"/>
    </w:lvl>
  </w:abstractNum>
  <w:abstractNum w:abstractNumId="33">
    <w:nsid w:val="79A1DEAA"/>
    <w:multiLevelType w:val="hybridMultilevel"/>
    <w:lvl w:ilvl="0">
      <w:lvlJc w:val="left"/>
      <w:lvlText w:val="(%1)"/>
      <w:numFmt w:val="lowerLetter"/>
      <w:start w:val="1"/>
    </w:lvl>
  </w:abstractNum>
  <w:abstractNum w:abstractNumId="34">
    <w:nsid w:val="75C6C33A"/>
    <w:multiLevelType w:val="hybridMultilevel"/>
    <w:lvl w:ilvl="0">
      <w:lvlJc w:val="left"/>
      <w:lvlText w:val="(%1)"/>
      <w:numFmt w:val="lowerLetter"/>
      <w:start w:val="4"/>
    </w:lvl>
  </w:abstractNum>
  <w:abstractNum w:abstractNumId="35">
    <w:nsid w:val="12E685FB"/>
    <w:multiLevelType w:val="hybridMultilevel"/>
    <w:lvl w:ilvl="0">
      <w:lvlJc w:val="left"/>
      <w:lvlText w:val="(%1)"/>
      <w:numFmt w:val="lowerLetter"/>
      <w:start w:val="2"/>
    </w:lvl>
  </w:abstractNum>
  <w:abstractNum w:abstractNumId="36">
    <w:nsid w:val="70C6A529"/>
    <w:multiLevelType w:val="hybridMultilevel"/>
    <w:lvl w:ilvl="0">
      <w:lvlJc w:val="left"/>
      <w:lvlText w:val="(%1)"/>
      <w:numFmt w:val="lowerLetter"/>
      <w:start w:val="2"/>
    </w:lvl>
  </w:abstractNum>
  <w:abstractNum w:abstractNumId="37">
    <w:nsid w:val="520EEDD1"/>
    <w:multiLevelType w:val="hybridMultilevel"/>
    <w:lvl w:ilvl="0">
      <w:lvlJc w:val="left"/>
      <w:lvlText w:val="(%1)"/>
      <w:numFmt w:val="lowerLetter"/>
      <w:start w:val="2"/>
    </w:lvl>
  </w:abstractNum>
  <w:abstractNum w:abstractNumId="38">
    <w:nsid w:val="374A3FE6"/>
    <w:multiLevelType w:val="hybridMultilevel"/>
    <w:lvl w:ilvl="0">
      <w:lvlJc w:val="left"/>
      <w:lvlText w:val="(%1)"/>
      <w:numFmt w:val="lowerLetter"/>
      <w:start w:val="2"/>
    </w:lvl>
  </w:abstractNum>
  <w:abstractNum w:abstractNumId="39">
    <w:nsid w:val="4F4EF005"/>
    <w:multiLevelType w:val="hybridMultilevel"/>
    <w:lvl w:ilvl="0">
      <w:lvlJc w:val="left"/>
      <w:lvlText w:val="(%1)"/>
      <w:numFmt w:val="lowerLetter"/>
      <w:start w:val="2"/>
    </w:lvl>
  </w:abstractNum>
  <w:abstractNum w:abstractNumId="40">
    <w:nsid w:val="23F9C13C"/>
    <w:multiLevelType w:val="hybridMultilevel"/>
    <w:lvl w:ilvl="0">
      <w:lvlJc w:val="left"/>
      <w:lvlText w:val="(%1)"/>
      <w:numFmt w:val="lowerLetter"/>
      <w:start w:val="3"/>
    </w:lvl>
  </w:abstractNum>
  <w:abstractNum w:abstractNumId="41">
    <w:nsid w:val="649BB77C"/>
    <w:multiLevelType w:val="hybridMultilevel"/>
    <w:lvl w:ilvl="0">
      <w:lvlJc w:val="left"/>
      <w:lvlText w:val="(%1)"/>
      <w:numFmt w:val="lowerLetter"/>
      <w:start w:val="2"/>
    </w:lvl>
  </w:abstractNum>
  <w:abstractNum w:abstractNumId="42">
    <w:nsid w:val="275AC794"/>
    <w:multiLevelType w:val="hybridMultilevel"/>
    <w:lvl w:ilvl="0">
      <w:lvlJc w:val="left"/>
      <w:lvlText w:val="(%1)"/>
      <w:numFmt w:val="lowerLetter"/>
      <w:start w:val="2"/>
    </w:lvl>
  </w:abstractNum>
  <w:abstractNum w:abstractNumId="43">
    <w:nsid w:val="39386575"/>
    <w:multiLevelType w:val="hybridMultilevel"/>
    <w:lvl w:ilvl="0">
      <w:lvlJc w:val="left"/>
      <w:lvlText w:val="(%1)"/>
      <w:numFmt w:val="lowerLetter"/>
      <w:start w:val="1"/>
    </w:lvl>
  </w:abstractNum>
  <w:abstractNum w:abstractNumId="44">
    <w:nsid w:val="1CF10FD8"/>
    <w:multiLevelType w:val="hybridMultilevel"/>
    <w:lvl w:ilvl="0">
      <w:lvlJc w:val="left"/>
      <w:lvlText w:val="(%1)"/>
      <w:numFmt w:val="lowerLetter"/>
      <w:start w:val="2"/>
    </w:lvl>
  </w:abstractNum>
  <w:abstractNum w:abstractNumId="45">
    <w:nsid w:val="180115BE"/>
    <w:multiLevelType w:val="hybridMultilevel"/>
    <w:lvl w:ilvl="0">
      <w:lvlJc w:val="left"/>
      <w:lvlText w:val="(%1)"/>
      <w:numFmt w:val="lowerLetter"/>
      <w:start w:val="1"/>
    </w:lvl>
  </w:abstractNum>
  <w:abstractNum w:abstractNumId="46">
    <w:nsid w:val="235BA861"/>
    <w:multiLevelType w:val="hybridMultilevel"/>
    <w:lvl w:ilvl="0">
      <w:lvlJc w:val="left"/>
      <w:lvlText w:val="(%1)"/>
      <w:numFmt w:val="lowerLetter"/>
      <w:start w:val="3"/>
    </w:lvl>
  </w:abstractNum>
  <w:abstractNum w:abstractNumId="47">
    <w:nsid w:val="47398C89"/>
    <w:multiLevelType w:val="hybridMultilevel"/>
    <w:lvl w:ilvl="0">
      <w:lvlJc w:val="left"/>
      <w:lvlText w:val="(%1)"/>
      <w:numFmt w:val="lowerLetter"/>
      <w:start w:val="1"/>
    </w:lvl>
  </w:abstractNum>
  <w:abstractNum w:abstractNumId="48">
    <w:nsid w:val="354FE9F9"/>
    <w:multiLevelType w:val="hybridMultilevel"/>
    <w:lvl w:ilvl="0">
      <w:lvlJc w:val="left"/>
      <w:lvlText w:val="(%1)"/>
      <w:numFmt w:val="lowerRoman"/>
      <w:start w:val="1"/>
    </w:lvl>
  </w:abstractNum>
  <w:abstractNum w:abstractNumId="49">
    <w:nsid w:val="15B5AF5C"/>
    <w:multiLevelType w:val="hybridMultilevel"/>
    <w:lvl w:ilvl="0">
      <w:lvlJc w:val="left"/>
      <w:lvlText w:val="%1"/>
      <w:numFmt w:val="lowerLetter"/>
      <w:start w:val="1"/>
    </w:lvl>
    <w:lvl w:ilvl="1">
      <w:lvlJc w:val="left"/>
      <w:lvlText w:val="(%2)"/>
      <w:numFmt w:val="lowerRoman"/>
      <w:start w:val="2"/>
    </w:lvl>
  </w:abstractNum>
  <w:abstractNum w:abstractNumId="50">
    <w:nsid w:val="741226BB"/>
    <w:multiLevelType w:val="hybridMultilevel"/>
    <w:lvl w:ilvl="0">
      <w:lvlJc w:val="left"/>
      <w:lvlText w:val="(%1)"/>
      <w:numFmt w:val="lowerLetter"/>
      <w:start w:val="2"/>
    </w:lvl>
    <w:lvl w:ilvl="1">
      <w:lvlJc w:val="left"/>
      <w:lvlText w:val="(%2)"/>
      <w:numFmt w:val="lowerRoman"/>
      <w:start w:val="1"/>
    </w:lvl>
  </w:abstractNum>
  <w:abstractNum w:abstractNumId="51">
    <w:nsid w:val="D34B6A8"/>
    <w:multiLevelType w:val="hybridMultilevel"/>
    <w:lvl w:ilvl="0">
      <w:lvlJc w:val="left"/>
      <w:lvlText w:val="(%1)"/>
      <w:numFmt w:val="lowerLetter"/>
      <w:start w:val="1"/>
    </w:lvl>
  </w:abstractNum>
  <w:abstractNum w:abstractNumId="52">
    <w:nsid w:val="10233C99"/>
    <w:multiLevelType w:val="hybridMultilevel"/>
    <w:lvl w:ilvl="0">
      <w:lvlJc w:val="left"/>
      <w:lvlText w:val="(%1)"/>
      <w:numFmt w:val="lowerLetter"/>
      <w:start w:val="2"/>
    </w:lvl>
  </w:abstractNum>
  <w:abstractNum w:abstractNumId="53">
    <w:nsid w:val="3F6AB60F"/>
    <w:multiLevelType w:val="hybridMultilevel"/>
    <w:lvl w:ilvl="0">
      <w:lvlJc w:val="left"/>
      <w:lvlText w:val="%1."/>
      <w:numFmt w:val="decimal"/>
      <w:start w:val="1"/>
    </w:lvl>
  </w:abstractNum>
  <w:abstractNum w:abstractNumId="54">
    <w:nsid w:val="61574095"/>
    <w:multiLevelType w:val="hybridMultilevel"/>
    <w:lvl w:ilvl="0">
      <w:lvlJc w:val="left"/>
      <w:lvlText w:val="%1."/>
      <w:numFmt w:val="decimal"/>
      <w:start w:val="2"/>
    </w:lvl>
  </w:abstractNum>
  <w:abstractNum w:abstractNumId="55">
    <w:nsid w:val="7E0C57B1"/>
    <w:multiLevelType w:val="hybridMultilevel"/>
    <w:lvl w:ilvl="0">
      <w:lvlJc w:val="left"/>
      <w:lvlText w:val="(%1)"/>
      <w:numFmt w:val="lowerLetter"/>
      <w:start w:val="1"/>
    </w:lvl>
  </w:abstractNum>
  <w:abstractNum w:abstractNumId="56">
    <w:nsid w:val="77AE35EB"/>
    <w:multiLevelType w:val="hybridMultilevel"/>
    <w:lvl w:ilvl="0">
      <w:lvlJc w:val="left"/>
      <w:lvlText w:val="%1."/>
      <w:numFmt w:val="decimal"/>
      <w:start w:val="4"/>
    </w:lvl>
  </w:abstractNum>
  <w:abstractNum w:abstractNumId="57">
    <w:nsid w:val="579BE4F1"/>
    <w:multiLevelType w:val="hybridMultilevel"/>
    <w:lvl w:ilvl="0">
      <w:lvlJc w:val="left"/>
      <w:lvlText w:val="(%1)"/>
      <w:numFmt w:val="lowerLetter"/>
      <w:start w:val="1"/>
    </w:lvl>
  </w:abstractNum>
  <w:abstractNum w:abstractNumId="58">
    <w:nsid w:val="310C50B3"/>
    <w:multiLevelType w:val="hybridMultilevel"/>
    <w:lvl w:ilvl="0">
      <w:lvlJc w:val="left"/>
      <w:lvlText w:val="%1."/>
      <w:numFmt w:val="decimal"/>
      <w:start w:val="5"/>
    </w:lvl>
  </w:abstractNum>
  <w:abstractNum w:abstractNumId="59">
    <w:nsid w:val="5FF87E05"/>
    <w:multiLevelType w:val="hybridMultilevel"/>
    <w:lvl w:ilvl="0">
      <w:lvlJc w:val="left"/>
      <w:lvlText w:val="(%1)"/>
      <w:numFmt w:val="lowerLetter"/>
      <w:start w:val="1"/>
    </w:lvl>
  </w:abstractNum>
  <w:abstractNum w:abstractNumId="60">
    <w:nsid w:val="2F305DEF"/>
    <w:multiLevelType w:val="hybridMultilevel"/>
    <w:lvl w:ilvl="0">
      <w:lvlJc w:val="left"/>
      <w:lvlText w:val="%1."/>
      <w:numFmt w:val="decimal"/>
      <w:start w:val="6"/>
    </w:lvl>
  </w:abstractNum>
  <w:abstractNum w:abstractNumId="61">
    <w:nsid w:val="25A70BF7"/>
    <w:multiLevelType w:val="hybridMultilevel"/>
    <w:lvl w:ilvl="0">
      <w:lvlJc w:val="left"/>
      <w:lvlText w:val="(%1)"/>
      <w:numFmt w:val="lowerLetter"/>
      <w:start w:val="1"/>
    </w:lvl>
  </w:abstractNum>
  <w:abstractNum w:abstractNumId="62">
    <w:nsid w:val="1DBABF00"/>
    <w:multiLevelType w:val="hybridMultilevel"/>
    <w:lvl w:ilvl="0">
      <w:lvlJc w:val="left"/>
      <w:lvlText w:val="%1."/>
      <w:numFmt w:val="decimal"/>
      <w:start w:val="7"/>
    </w:lvl>
  </w:abstractNum>
  <w:abstractNum w:abstractNumId="63">
    <w:nsid w:val="4AD084E9"/>
    <w:multiLevelType w:val="hybridMultilevel"/>
    <w:lvl w:ilvl="0">
      <w:lvlJc w:val="left"/>
      <w:lvlText w:val="%1."/>
      <w:numFmt w:val="decimal"/>
      <w:start w:val="9"/>
    </w:lvl>
  </w:abstractNum>
  <w:abstractNum w:abstractNumId="64">
    <w:nsid w:val="1F48EAA1"/>
    <w:multiLevelType w:val="hybridMultilevel"/>
    <w:lvl w:ilvl="0">
      <w:lvlJc w:val="left"/>
      <w:lvlText w:val="(%1)"/>
      <w:numFmt w:val="lowerLetter"/>
      <w:start w:val="1"/>
    </w:lvl>
  </w:abstractNum>
  <w:abstractNum w:abstractNumId="65">
    <w:nsid w:val="1381823A"/>
    <w:multiLevelType w:val="hybridMultilevel"/>
    <w:lvl w:ilvl="0">
      <w:lvlJc w:val="left"/>
      <w:lvlText w:val="(%1)"/>
      <w:numFmt w:val="lowerLetter"/>
      <w:start w:val="3"/>
    </w:lvl>
  </w:abstractNum>
  <w:abstractNum w:abstractNumId="66">
    <w:nsid w:val="5DB70AE5"/>
    <w:multiLevelType w:val="hybridMultilevel"/>
    <w:lvl w:ilvl="0">
      <w:lvlJc w:val="left"/>
      <w:lvlText w:val="%1."/>
      <w:numFmt w:val="decimal"/>
      <w:start w:val="10"/>
    </w:lvl>
  </w:abstractNum>
  <w:abstractNum w:abstractNumId="67">
    <w:nsid w:val="100F8FCA"/>
    <w:multiLevelType w:val="hybridMultilevel"/>
    <w:lvl w:ilvl="0">
      <w:lvlJc w:val="left"/>
      <w:lvlText w:val="%1."/>
      <w:numFmt w:val="decimal"/>
      <w:start w:val="17"/>
    </w:lvl>
  </w:abstractNum>
  <w:abstractNum w:abstractNumId="68">
    <w:nsid w:val="6590700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2019-12-16T13:43:32Z</dcterms:created>
  <dcterms:modified xsi:type="dcterms:W3CDTF">2019-12-16T13:43:32Z</dcterms:modified>
</cp:coreProperties>
</file>