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28, 2005</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0"/>
          <w:szCs w:val="20"/>
          <w:color w:val="auto"/>
        </w:rPr>
      </w:pPr>
    </w:p>
    <w:p>
      <w:pPr>
        <w:sectPr>
          <w:pgSz w:w="11900" w:h="16838" w:orient="portrait"/>
          <w:cols w:equalWidth="0" w:num="3">
            <w:col w:w="3980" w:space="720"/>
            <w:col w:w="2960" w:space="720"/>
            <w:col w:w="2920"/>
          </w:cols>
          <w:pgMar w:left="240" w:top="122" w:right="359"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00"/>
          </w:cols>
          <w:pgMar w:left="240" w:top="122" w:right="359" w:bottom="1440" w:gutter="0" w:footer="0" w:header="0"/>
          <w:type w:val="continuous"/>
        </w:sectPr>
      </w:pPr>
    </w:p>
    <w:p>
      <w:pPr>
        <w:spacing w:after="0" w:line="230"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11"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197485</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7.01. Regulation FD Disclosure.</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On July 28, 2005, Waste Management, Inc. (the “Company”) issued a press release announcing its earnings for the fiscal quarter ended June 30, 2005. On the same date, the Company held a conference call, which was open to the public, to discuss these results. A copy of the press release is attached hereto as exhibit 99.1. A replay of the conference call is available beginning at approximately 11:00 a.m. Central time on July 28</w:t>
      </w:r>
      <w:r>
        <w:rPr>
          <w:rFonts w:ascii="Arial" w:cs="Arial" w:eastAsia="Arial" w:hAnsi="Arial"/>
          <w:sz w:val="15"/>
          <w:szCs w:val="15"/>
          <w:color w:val="auto"/>
        </w:rPr>
        <w:t>th</w:t>
      </w:r>
      <w:r>
        <w:rPr>
          <w:rFonts w:ascii="Arial" w:cs="Arial" w:eastAsia="Arial" w:hAnsi="Arial"/>
          <w:sz w:val="18"/>
          <w:szCs w:val="18"/>
          <w:color w:val="auto"/>
        </w:rPr>
        <w:t xml:space="preserve"> through 5:00 p.m. Central time on August 11th. The replay of the call may be heard over the Internet, by accessing the Company’s website at www.wm.com, or by telephone by dialing 800-642-1687 and entering conference code 7068485.</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is disclosing on its earnings conference call the following non-GAAP financial measures for the second quarter of 2005: (i) free cash flow;</w:t>
      </w:r>
    </w:p>
    <w:p>
      <w:pPr>
        <w:spacing w:after="0" w:line="46" w:lineRule="exact"/>
        <w:rPr>
          <w:sz w:val="20"/>
          <w:szCs w:val="20"/>
          <w:color w:val="auto"/>
        </w:rPr>
      </w:pPr>
    </w:p>
    <w:p>
      <w:pPr>
        <w:ind w:right="40" w:firstLine="8"/>
        <w:spacing w:after="0" w:line="270" w:lineRule="auto"/>
        <w:tabs>
          <w:tab w:leader="none" w:pos="26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EBIT margins; and (iii) adjusted EBITDA margins. The Company believes that providing investors with these non-GAAP financial measures gives investors additional information to enable them to assess, in the way management assesses, the Company’s current and continuing operations. Investors are urged to take into account GAAP measures as well as non-GAAP measures in evaluating the Company. Whenever the Company uses a non-GAAP financial measure, it provides a reconciliation of such measure to what it believes to be the most closely applicable GAAP financial measure. A reconciliation of free cash flow to cash flows from operating activities is included in the schedules to the press release that is attached to this Form 8-K as Exhibit 99.1. The Company’s reconciliation of the other non-GAAP measures disclosed by the Company are as follows: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 Margins</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Company’s calculation of EBIT, or earnings before interest and tax, is the same measure as income from operations as presented on the Company’s income statement. EBIT margin represents total operating income as a percentage of revenue. The Company disclosed that EBIT margins had increased by 10 basis points over second quarter 2004 results after excluding the impact of impairments, gains on sales of assets and other unusual items in both years. The following table reconciles the non-GAAP measure to the GAAP measure (dollars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1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410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June 30, 2005</w:t>
            </w:r>
          </w:p>
        </w:tc>
        <w:tc>
          <w:tcPr>
            <w:tcW w:w="17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June 30, 2004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2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00"/>
              <w:spacing w:after="0"/>
              <w:rPr>
                <w:sz w:val="20"/>
                <w:szCs w:val="20"/>
                <w:color w:val="auto"/>
              </w:rPr>
            </w:pPr>
            <w:r>
              <w:rPr>
                <w:rFonts w:ascii="Arial" w:cs="Arial" w:eastAsia="Arial" w:hAnsi="Arial"/>
                <w:sz w:val="18"/>
                <w:szCs w:val="18"/>
                <w:color w:val="auto"/>
              </w:rPr>
              <w:t>Revenue</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810"/>
              <w:spacing w:after="0"/>
              <w:rPr>
                <w:sz w:val="20"/>
                <w:szCs w:val="20"/>
                <w:color w:val="auto"/>
              </w:rPr>
            </w:pPr>
            <w:r>
              <w:rPr>
                <w:rFonts w:ascii="Arial" w:cs="Arial" w:eastAsia="Arial" w:hAnsi="Arial"/>
                <w:sz w:val="18"/>
                <w:szCs w:val="18"/>
                <w:color w:val="auto"/>
                <w:w w:val="88"/>
              </w:rPr>
              <w:t>3,289</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463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GAAP EBIT margin</w:t>
            </w:r>
          </w:p>
        </w:tc>
        <w:tc>
          <w:tcPr>
            <w:tcW w:w="2780" w:type="dxa"/>
            <w:vAlign w:val="bottom"/>
          </w:tcPr>
          <w:p>
            <w:pPr>
              <w:spacing w:after="0"/>
              <w:rPr>
                <w:sz w:val="24"/>
                <w:szCs w:val="24"/>
                <w:color w:val="auto"/>
              </w:rPr>
            </w:pPr>
          </w:p>
        </w:tc>
        <w:tc>
          <w:tcPr>
            <w:tcW w:w="1320" w:type="dxa"/>
            <w:vAlign w:val="bottom"/>
          </w:tcPr>
          <w:p>
            <w:pPr>
              <w:jc w:val="right"/>
              <w:ind w:right="630"/>
              <w:spacing w:after="0"/>
              <w:rPr>
                <w:sz w:val="20"/>
                <w:szCs w:val="20"/>
                <w:color w:val="auto"/>
              </w:rPr>
            </w:pPr>
            <w:r>
              <w:rPr>
                <w:rFonts w:ascii="Arial" w:cs="Arial" w:eastAsia="Arial" w:hAnsi="Arial"/>
                <w:sz w:val="18"/>
                <w:szCs w:val="18"/>
                <w:b w:val="1"/>
                <w:bCs w:val="1"/>
                <w:color w:val="auto"/>
              </w:rPr>
              <w:t>14.1%</w:t>
            </w:r>
          </w:p>
        </w:tc>
        <w:tc>
          <w:tcPr>
            <w:tcW w:w="720" w:type="dxa"/>
            <w:vAlign w:val="bottom"/>
          </w:tcPr>
          <w:p>
            <w:pPr>
              <w:spacing w:after="0"/>
              <w:rPr>
                <w:sz w:val="24"/>
                <w:szCs w:val="24"/>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2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Asset Impairment and Unusual Items</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50"/>
              <w:spacing w:after="0"/>
              <w:rPr>
                <w:sz w:val="20"/>
                <w:szCs w:val="20"/>
                <w:color w:val="auto"/>
              </w:rPr>
            </w:pPr>
            <w:r>
              <w:rPr>
                <w:rFonts w:ascii="Arial" w:cs="Arial" w:eastAsia="Arial" w:hAnsi="Arial"/>
                <w:sz w:val="18"/>
                <w:szCs w:val="18"/>
                <w:color w:val="auto"/>
              </w:rPr>
              <w:t>(6)</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w:t>
            </w:r>
          </w:p>
        </w:tc>
        <w:tc>
          <w:tcPr>
            <w:tcW w:w="2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00"/>
              <w:spacing w:after="0"/>
              <w:rPr>
                <w:sz w:val="20"/>
                <w:szCs w:val="20"/>
                <w:color w:val="auto"/>
              </w:rPr>
            </w:pPr>
            <w:r>
              <w:rPr>
                <w:rFonts w:ascii="Arial" w:cs="Arial" w:eastAsia="Arial" w:hAnsi="Arial"/>
                <w:sz w:val="18"/>
                <w:szCs w:val="18"/>
                <w:color w:val="auto"/>
              </w:rPr>
              <w:t>Revenue</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810"/>
              <w:spacing w:after="0"/>
              <w:rPr>
                <w:sz w:val="20"/>
                <w:szCs w:val="20"/>
                <w:color w:val="auto"/>
              </w:rPr>
            </w:pPr>
            <w:r>
              <w:rPr>
                <w:rFonts w:ascii="Arial" w:cs="Arial" w:eastAsia="Arial" w:hAnsi="Arial"/>
                <w:sz w:val="18"/>
                <w:szCs w:val="18"/>
                <w:color w:val="auto"/>
                <w:w w:val="88"/>
              </w:rPr>
              <w:t>3,289</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Adjusted Income from Operations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457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Adjusted EBIT Margin</w:t>
            </w:r>
          </w:p>
        </w:tc>
        <w:tc>
          <w:tcPr>
            <w:tcW w:w="2780" w:type="dxa"/>
            <w:vAlign w:val="bottom"/>
          </w:tcPr>
          <w:p>
            <w:pPr>
              <w:spacing w:after="0"/>
              <w:rPr>
                <w:sz w:val="24"/>
                <w:szCs w:val="24"/>
                <w:color w:val="auto"/>
              </w:rPr>
            </w:pPr>
          </w:p>
        </w:tc>
        <w:tc>
          <w:tcPr>
            <w:tcW w:w="1320" w:type="dxa"/>
            <w:vAlign w:val="bottom"/>
          </w:tcPr>
          <w:p>
            <w:pPr>
              <w:jc w:val="right"/>
              <w:ind w:right="630"/>
              <w:spacing w:after="0"/>
              <w:rPr>
                <w:sz w:val="20"/>
                <w:szCs w:val="20"/>
                <w:color w:val="auto"/>
              </w:rPr>
            </w:pPr>
            <w:r>
              <w:rPr>
                <w:rFonts w:ascii="Arial" w:cs="Arial" w:eastAsia="Arial" w:hAnsi="Arial"/>
                <w:sz w:val="18"/>
                <w:szCs w:val="18"/>
                <w:b w:val="1"/>
                <w:bCs w:val="1"/>
                <w:color w:val="auto"/>
              </w:rPr>
              <w:t>13.9%</w:t>
            </w:r>
          </w:p>
        </w:tc>
        <w:tc>
          <w:tcPr>
            <w:tcW w:w="720" w:type="dxa"/>
            <w:vAlign w:val="bottom"/>
          </w:tcPr>
          <w:p>
            <w:pPr>
              <w:spacing w:after="0"/>
              <w:rPr>
                <w:sz w:val="24"/>
                <w:szCs w:val="24"/>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Margins</w:t>
      </w:r>
    </w:p>
    <w:p>
      <w:pPr>
        <w:spacing w:after="0" w:line="117"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The Company defines EBITDA as earnings before interest, tax, depreciation and amortization and calculates that measure by adding depreciation and amortization charges back to income from operations. EBITDA margin represents EBITDA, as defined, as a percentage of revenue. The Company disclosed that the EBITDA margins of its Eastern, Western, Southern and Midwest Groups collectively increased by 10 basis points as compared to the prior year period, after adjusting for asset impairments and the gains on sales of businesses. The following table reconciles these measures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9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June 30, 2005</w:t>
            </w:r>
          </w:p>
        </w:tc>
        <w:tc>
          <w:tcPr>
            <w:tcW w:w="1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 2004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of Eastern, Midwest, Southern and Western Groups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Add back Depreciation and Amortization</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EBITDA</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792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762</w:t>
            </w:r>
          </w:p>
        </w:tc>
        <w:tc>
          <w:tcPr>
            <w:tcW w:w="0" w:type="dxa"/>
            <w:vAlign w:val="bottom"/>
          </w:tcPr>
          <w:p>
            <w:pPr>
              <w:spacing w:after="0"/>
              <w:rPr>
                <w:sz w:val="1"/>
                <w:szCs w:val="1"/>
                <w:color w:val="auto"/>
              </w:rPr>
            </w:pPr>
          </w:p>
        </w:tc>
      </w:tr>
      <w:tr>
        <w:trPr>
          <w:trHeight w:val="432"/>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Adjustments to EBITDA:</w:t>
            </w: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Pottstown Landfill impairment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Gains on divestitures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(32)</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Adjusted EBITDA</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20" w:type="dxa"/>
            <w:vAlign w:val="bottom"/>
            <w:gridSpan w:val="2"/>
          </w:tcPr>
          <w:p>
            <w:pPr>
              <w:spacing w:after="0"/>
              <w:rPr>
                <w:sz w:val="20"/>
                <w:szCs w:val="20"/>
                <w:color w:val="auto"/>
              </w:rPr>
            </w:pPr>
            <w:r>
              <w:rPr>
                <w:rFonts w:ascii="Arial" w:cs="Arial" w:eastAsia="Arial" w:hAnsi="Arial"/>
                <w:sz w:val="18"/>
                <w:szCs w:val="18"/>
                <w:color w:val="auto"/>
              </w:rPr>
              <w:t>Revenue from Eastern, Midwest, Southern and Western Groups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3,268</w:t>
            </w:r>
          </w:p>
        </w:tc>
        <w:tc>
          <w:tcPr>
            <w:tcW w:w="9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Adjusted EBITDA Margin</w:t>
            </w:r>
          </w:p>
        </w:tc>
        <w:tc>
          <w:tcPr>
            <w:tcW w:w="1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24.3%</w:t>
            </w:r>
          </w:p>
        </w:tc>
        <w:tc>
          <w:tcPr>
            <w:tcW w:w="7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24.2%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Pricing Study</w:t>
      </w:r>
    </w:p>
    <w:p>
      <w:pPr>
        <w:spacing w:after="0" w:line="117"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Below are results of the Company’s pricing study, initiated in January 2005, as of June 30, 2005. All price increases implemented by the Company since January 1, 2005 are included in the results presented. The percentages of tons that received price increases included in the tables below include all third-party tons received at the facilities. The amounts shown as percentages of tons lost due to price increases in the tables are the amounts that the Company has estimated were lost due to price increases based on customer feedback and analyses of monthly volume reports.</w:t>
      </w:r>
    </w:p>
    <w:p>
      <w:pPr>
        <w:spacing w:after="0" w:line="63"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 intends to use the information gathered from the pricing study to further develop and implement price increase plans throughout the rest of its landfill and transfer station operations over the next several months. On a going forward basis, the Company intends to report results from the pricing study only for those facilities with material variances in volumes due to price increases and may also report results from the implementation of price increase plans throughout the rest of the Company’s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 of Tons</w:t>
            </w:r>
          </w:p>
        </w:tc>
        <w:tc>
          <w:tcPr>
            <w:tcW w:w="20" w:type="dxa"/>
            <w:vAlign w:val="bottom"/>
          </w:tcPr>
          <w:p>
            <w:pPr>
              <w:spacing w:after="0"/>
              <w:rPr>
                <w:sz w:val="14"/>
                <w:szCs w:val="14"/>
                <w:color w:val="auto"/>
              </w:rPr>
            </w:pPr>
          </w:p>
        </w:tc>
        <w:tc>
          <w:tcPr>
            <w:tcW w:w="96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 of Tons Lost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Group</w:t>
            </w:r>
          </w:p>
        </w:tc>
        <w:tc>
          <w:tcPr>
            <w:tcW w:w="416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Market Area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Landfill</w:t>
            </w:r>
          </w:p>
        </w:tc>
        <w:tc>
          <w:tcPr>
            <w:tcW w:w="340" w:type="dxa"/>
            <w:vAlign w:val="bottom"/>
          </w:tcPr>
          <w:p>
            <w:pPr>
              <w:spacing w:after="0"/>
              <w:rPr>
                <w:sz w:val="12"/>
                <w:szCs w:val="12"/>
                <w:color w:val="auto"/>
              </w:rPr>
            </w:pPr>
          </w:p>
        </w:tc>
        <w:tc>
          <w:tcPr>
            <w:tcW w:w="940" w:type="dxa"/>
            <w:vAlign w:val="bottom"/>
            <w:gridSpan w:val="8"/>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Increased</w:t>
            </w:r>
          </w:p>
        </w:tc>
        <w:tc>
          <w:tcPr>
            <w:tcW w:w="20" w:type="dxa"/>
            <w:vAlign w:val="bottom"/>
          </w:tcPr>
          <w:p>
            <w:pPr>
              <w:spacing w:after="0"/>
              <w:rPr>
                <w:sz w:val="12"/>
                <w:szCs w:val="12"/>
                <w:color w:val="auto"/>
              </w:rPr>
            </w:pPr>
          </w:p>
        </w:tc>
        <w:tc>
          <w:tcPr>
            <w:tcW w:w="96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Avg Price</w:t>
            </w:r>
          </w:p>
        </w:tc>
        <w:tc>
          <w:tcPr>
            <w:tcW w:w="2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due to Price</w:t>
            </w:r>
          </w:p>
        </w:tc>
        <w:tc>
          <w:tcPr>
            <w:tcW w:w="0" w:type="dxa"/>
            <w:vAlign w:val="bottom"/>
          </w:tcPr>
          <w:p>
            <w:pPr>
              <w:spacing w:after="0"/>
              <w:rPr>
                <w:sz w:val="1"/>
                <w:szCs w:val="1"/>
                <w:color w:val="auto"/>
              </w:rPr>
            </w:pPr>
          </w:p>
        </w:tc>
      </w:tr>
      <w:tr>
        <w:trPr>
          <w:trHeight w:val="171"/>
        </w:trPr>
        <w:tc>
          <w:tcPr>
            <w:tcW w:w="1540" w:type="dxa"/>
            <w:vAlign w:val="bottom"/>
            <w:gridSpan w:val="4"/>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YTD</w:t>
            </w:r>
          </w:p>
        </w:tc>
        <w:tc>
          <w:tcPr>
            <w:tcW w:w="9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5"/>
              </w:rPr>
              <w:t>Increase %</w:t>
            </w:r>
          </w:p>
        </w:tc>
        <w:tc>
          <w:tcPr>
            <w:tcW w:w="2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320" w:type="dxa"/>
            <w:vAlign w:val="bottom"/>
            <w:tcBorders>
              <w:right w:val="single" w:sz="8" w:color="CCEEFF"/>
            </w:tcBorders>
            <w:gridSpan w:val="2"/>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Eastern Canada</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Ottawa</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Western Canada</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West Edmonton</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7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East</w:t>
            </w: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Boston/Western Massachusetts</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Fitchburg - RCI</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New Hampshire/Maine</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Crossroads</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Western Pennsylvania</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Lake View</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Western Pennsylvania</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Shade - RCC</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Midwest</w:t>
            </w: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Five Oaks</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Minnesota</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Burnsville</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American</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Ohio</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Mahoning</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Suburban South</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Wisconsin</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Orchard Ridge</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South</w:t>
            </w: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Arkansas</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Tontitown</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Carolinas</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Palmetto</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72"/>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Central Texas</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Austin Community</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92"/>
              </w:rPr>
              <w:t>&lt;5%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Gulf Coast</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Chastang</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Louisiana/Mississippi</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Pecan Grove</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North Texas</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New Boston</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Oklahoma</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East Oak</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Tennessee/Alabama/Kentucky</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Chestnut Ridge</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72"/>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West</w:t>
            </w: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North Bay</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Altamont</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North Bay</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Redwood</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Oregon</w:t>
            </w: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Hillsboro</w:t>
            </w:r>
          </w:p>
        </w:tc>
        <w:tc>
          <w:tcPr>
            <w:tcW w:w="10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Ventura</w:t>
            </w:r>
          </w:p>
        </w:tc>
        <w:tc>
          <w:tcPr>
            <w:tcW w:w="16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Arial" w:cs="Arial" w:eastAsia="Arial" w:hAnsi="Arial"/>
                <w:sz w:val="18"/>
                <w:szCs w:val="18"/>
                <w:color w:val="auto"/>
              </w:rPr>
              <w:t>Simi Valley</w:t>
            </w:r>
          </w:p>
        </w:tc>
        <w:tc>
          <w:tcPr>
            <w:tcW w:w="440" w:type="dxa"/>
            <w:vAlign w:val="bottom"/>
            <w:gridSpan w:val="2"/>
          </w:tcPr>
          <w:p>
            <w:pPr>
              <w:spacing w:after="0"/>
              <w:rPr>
                <w:sz w:val="18"/>
                <w:szCs w:val="18"/>
                <w:color w:val="auto"/>
              </w:rPr>
            </w:pPr>
          </w:p>
        </w:tc>
        <w:tc>
          <w:tcPr>
            <w:tcW w:w="560" w:type="dxa"/>
            <w:vAlign w:val="bottom"/>
            <w:gridSpan w:val="3"/>
          </w:tcPr>
          <w:p>
            <w:pPr>
              <w:jc w:val="right"/>
              <w:ind w:right="5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Totals</w:t>
            </w:r>
          </w:p>
        </w:tc>
        <w:tc>
          <w:tcPr>
            <w:tcW w:w="440" w:type="dxa"/>
            <w:vAlign w:val="bottom"/>
            <w:gridSpan w:val="2"/>
            <w:shd w:val="clear" w:color="auto" w:fill="CCEEFF"/>
          </w:tcPr>
          <w:p>
            <w:pPr>
              <w:spacing w:after="0"/>
              <w:rPr>
                <w:sz w:val="18"/>
                <w:szCs w:val="18"/>
                <w:color w:val="auto"/>
              </w:rPr>
            </w:pPr>
          </w:p>
        </w:tc>
        <w:tc>
          <w:tcPr>
            <w:tcW w:w="5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Transfer Stations</w:t>
            </w: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540" w:type="dxa"/>
            <w:vAlign w:val="bottom"/>
            <w:gridSpan w:val="4"/>
            <w:vMerge w:val="continue"/>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7"/>
          </w:tcPr>
          <w:p>
            <w:pPr>
              <w:jc w:val="center"/>
              <w:ind w:left="101"/>
              <w:spacing w:after="0"/>
              <w:rPr>
                <w:sz w:val="20"/>
                <w:szCs w:val="20"/>
                <w:color w:val="auto"/>
              </w:rPr>
            </w:pPr>
            <w:r>
              <w:rPr>
                <w:rFonts w:ascii="Arial" w:cs="Arial" w:eastAsia="Arial" w:hAnsi="Arial"/>
                <w:sz w:val="14"/>
                <w:szCs w:val="14"/>
                <w:b w:val="1"/>
                <w:bCs w:val="1"/>
                <w:color w:val="auto"/>
                <w:w w:val="92"/>
              </w:rPr>
              <w:t>% of Tons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 of Tons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Lost due to</w:t>
            </w:r>
          </w:p>
        </w:tc>
        <w:tc>
          <w:tcPr>
            <w:tcW w:w="0" w:type="dxa"/>
            <w:vAlign w:val="bottom"/>
          </w:tcPr>
          <w:p>
            <w:pPr>
              <w:spacing w:after="0"/>
              <w:rPr>
                <w:sz w:val="1"/>
                <w:szCs w:val="1"/>
                <w:color w:val="auto"/>
              </w:rPr>
            </w:pPr>
          </w:p>
        </w:tc>
      </w:tr>
      <w:tr>
        <w:trPr>
          <w:trHeight w:val="149"/>
        </w:trPr>
        <w:tc>
          <w:tcPr>
            <w:tcW w:w="1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Group</w:t>
            </w:r>
          </w:p>
        </w:tc>
        <w:tc>
          <w:tcPr>
            <w:tcW w:w="41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Market Area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Transfer Station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Increased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Avg Price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1540" w:type="dxa"/>
            <w:vAlign w:val="bottom"/>
            <w:gridSpan w:val="4"/>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YTD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5"/>
              </w:rPr>
              <w:t>Increase %</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Toronto</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Clarington</w:t>
            </w: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East</w:t>
            </w:r>
          </w:p>
        </w:tc>
        <w:tc>
          <w:tcPr>
            <w:tcW w:w="4160" w:type="dxa"/>
            <w:vAlign w:val="bottom"/>
          </w:tcPr>
          <w:p>
            <w:pPr>
              <w:spacing w:after="0"/>
              <w:rPr>
                <w:sz w:val="20"/>
                <w:szCs w:val="20"/>
                <w:color w:val="auto"/>
              </w:rPr>
            </w:pPr>
            <w:r>
              <w:rPr>
                <w:rFonts w:ascii="Arial" w:cs="Arial" w:eastAsia="Arial" w:hAnsi="Arial"/>
                <w:sz w:val="18"/>
                <w:szCs w:val="18"/>
                <w:color w:val="auto"/>
              </w:rPr>
              <w:t>Boston/Western Massachusetts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PRTR</w:t>
            </w:r>
          </w:p>
        </w:tc>
        <w:tc>
          <w:tcPr>
            <w:tcW w:w="1240" w:type="dxa"/>
            <w:vAlign w:val="bottom"/>
            <w:gridSpan w:val="8"/>
          </w:tcPr>
          <w:p>
            <w:pPr>
              <w:jc w:val="right"/>
              <w:ind w:right="4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Eastern Pennsylvania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Indian Valley</w:t>
            </w:r>
          </w:p>
        </w:tc>
        <w:tc>
          <w:tcPr>
            <w:tcW w:w="12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Eastern Pennsylvania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Philadelphia</w:t>
            </w:r>
          </w:p>
        </w:tc>
        <w:tc>
          <w:tcPr>
            <w:tcW w:w="1240" w:type="dxa"/>
            <w:vAlign w:val="bottom"/>
            <w:gridSpan w:val="8"/>
          </w:tcPr>
          <w:p>
            <w:pPr>
              <w:jc w:val="right"/>
              <w:ind w:right="4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New Hampshire/Maine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Auburn</w:t>
            </w:r>
          </w:p>
        </w:tc>
        <w:tc>
          <w:tcPr>
            <w:tcW w:w="12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New Jersey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Park Ridge</w:t>
            </w:r>
          </w:p>
        </w:tc>
        <w:tc>
          <w:tcPr>
            <w:tcW w:w="1240" w:type="dxa"/>
            <w:vAlign w:val="bottom"/>
            <w:gridSpan w:val="8"/>
          </w:tcPr>
          <w:p>
            <w:pPr>
              <w:jc w:val="right"/>
              <w:ind w:right="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Midwest</w:t>
            </w: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Colorado Springs</w:t>
            </w:r>
          </w:p>
        </w:tc>
        <w:tc>
          <w:tcPr>
            <w:tcW w:w="12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Denver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D&amp;R</w:t>
            </w:r>
          </w:p>
        </w:tc>
        <w:tc>
          <w:tcPr>
            <w:tcW w:w="1240" w:type="dxa"/>
            <w:vAlign w:val="bottom"/>
            <w:gridSpan w:val="8"/>
          </w:tcPr>
          <w:p>
            <w:pPr>
              <w:jc w:val="right"/>
              <w:ind w:right="4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960" w:type="dxa"/>
            <w:vAlign w:val="bottom"/>
            <w:gridSpan w:val="3"/>
          </w:tcPr>
          <w:p>
            <w:pPr>
              <w:ind w:left="56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Denver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South Metro</w:t>
            </w:r>
          </w:p>
        </w:tc>
        <w:tc>
          <w:tcPr>
            <w:tcW w:w="12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Illinois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Joliet</w:t>
            </w:r>
          </w:p>
        </w:tc>
        <w:tc>
          <w:tcPr>
            <w:tcW w:w="1240" w:type="dxa"/>
            <w:vAlign w:val="bottom"/>
            <w:gridSpan w:val="8"/>
          </w:tcPr>
          <w:p>
            <w:pPr>
              <w:jc w:val="right"/>
              <w:ind w:right="4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Gallagher</w:t>
            </w:r>
          </w:p>
        </w:tc>
        <w:tc>
          <w:tcPr>
            <w:tcW w:w="12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Wisconsin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Sheboygan Falls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5"/>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South</w:t>
            </w: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Carolinas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Asheville</w:t>
            </w:r>
          </w:p>
        </w:tc>
        <w:tc>
          <w:tcPr>
            <w:tcW w:w="12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Gulf Coast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Mobile</w:t>
            </w:r>
          </w:p>
        </w:tc>
        <w:tc>
          <w:tcPr>
            <w:tcW w:w="1240" w:type="dxa"/>
            <w:vAlign w:val="bottom"/>
            <w:gridSpan w:val="8"/>
          </w:tcPr>
          <w:p>
            <w:pPr>
              <w:jc w:val="right"/>
              <w:ind w:right="4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Louisiana/Mississippi</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St. Tammany</w:t>
            </w:r>
          </w:p>
        </w:tc>
        <w:tc>
          <w:tcPr>
            <w:tcW w:w="12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Puerto Rico</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Juan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5"/>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South Florida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Delta - Riviera</w:t>
            </w:r>
          </w:p>
        </w:tc>
        <w:tc>
          <w:tcPr>
            <w:tcW w:w="12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South Florida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Tall Pines</w:t>
            </w:r>
          </w:p>
        </w:tc>
        <w:tc>
          <w:tcPr>
            <w:tcW w:w="1240" w:type="dxa"/>
            <w:vAlign w:val="bottom"/>
            <w:gridSpan w:val="8"/>
          </w:tcPr>
          <w:p>
            <w:pPr>
              <w:jc w:val="right"/>
              <w:ind w:right="4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Tennessee/Alabama/Kentucky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Nashville</w:t>
            </w:r>
          </w:p>
        </w:tc>
        <w:tc>
          <w:tcPr>
            <w:tcW w:w="12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West</w:t>
            </w:r>
          </w:p>
        </w:tc>
        <w:tc>
          <w:tcPr>
            <w:tcW w:w="4160" w:type="dxa"/>
            <w:vAlign w:val="bottom"/>
          </w:tcPr>
          <w:p>
            <w:pPr>
              <w:spacing w:after="0"/>
              <w:rPr>
                <w:sz w:val="20"/>
                <w:szCs w:val="20"/>
                <w:color w:val="auto"/>
              </w:rPr>
            </w:pPr>
            <w:r>
              <w:rPr>
                <w:rFonts w:ascii="Arial" w:cs="Arial" w:eastAsia="Arial" w:hAnsi="Arial"/>
                <w:sz w:val="18"/>
                <w:szCs w:val="18"/>
                <w:color w:val="auto"/>
              </w:rPr>
              <w:t>Los Angeles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Carson</w:t>
            </w:r>
          </w:p>
        </w:tc>
        <w:tc>
          <w:tcPr>
            <w:tcW w:w="1240" w:type="dxa"/>
            <w:vAlign w:val="bottom"/>
            <w:gridSpan w:val="8"/>
          </w:tcPr>
          <w:p>
            <w:pPr>
              <w:jc w:val="right"/>
              <w:ind w:right="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North Bay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Davis Street</w:t>
            </w:r>
          </w:p>
        </w:tc>
        <w:tc>
          <w:tcPr>
            <w:tcW w:w="12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Sacramento</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Fresno</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5"/>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San Diego - Orange County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Orange County</w:t>
            </w:r>
          </w:p>
        </w:tc>
        <w:tc>
          <w:tcPr>
            <w:tcW w:w="840" w:type="dxa"/>
            <w:vAlign w:val="bottom"/>
            <w:gridSpan w:val="4"/>
            <w:shd w:val="clear" w:color="auto" w:fill="CCEEFF"/>
          </w:tcPr>
          <w:p>
            <w:pPr>
              <w:spacing w:after="0"/>
              <w:rPr>
                <w:sz w:val="18"/>
                <w:szCs w:val="18"/>
                <w:color w:val="auto"/>
              </w:rPr>
            </w:pPr>
          </w:p>
        </w:tc>
        <w:tc>
          <w:tcPr>
            <w:tcW w:w="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4"/>
              </w:rPr>
              <w:t>80%</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vMerge w:val="restart"/>
          </w:tcPr>
          <w:p>
            <w:pPr>
              <w:spacing w:after="0"/>
              <w:rPr>
                <w:sz w:val="20"/>
                <w:szCs w:val="20"/>
                <w:color w:val="auto"/>
              </w:rPr>
            </w:pPr>
            <w:r>
              <w:rPr>
                <w:rFonts w:ascii="Arial" w:cs="Arial" w:eastAsia="Arial" w:hAnsi="Arial"/>
                <w:sz w:val="18"/>
                <w:szCs w:val="18"/>
                <w:color w:val="auto"/>
              </w:rPr>
              <w:t>Totals</w:t>
            </w:r>
          </w:p>
        </w:tc>
        <w:tc>
          <w:tcPr>
            <w:tcW w:w="840" w:type="dxa"/>
            <w:vAlign w:val="bottom"/>
            <w:gridSpan w:val="4"/>
            <w:vMerge w:val="restart"/>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line="20" w:lineRule="exact"/>
              <w:rPr>
                <w:sz w:val="1"/>
                <w:szCs w:val="1"/>
                <w:color w:val="auto"/>
              </w:rPr>
            </w:pPr>
          </w:p>
        </w:tc>
        <w:tc>
          <w:tcPr>
            <w:tcW w:w="500" w:type="dxa"/>
            <w:vAlign w:val="bottom"/>
            <w:gridSpan w:val="4"/>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840" w:type="dxa"/>
            <w:vAlign w:val="bottom"/>
            <w:gridSpan w:val="4"/>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40</w:t>
            </w:r>
          </w:p>
        </w:tc>
        <w:tc>
          <w:tcPr>
            <w:tcW w:w="2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4"/>
            <w:vMerge w:val="continue"/>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Areas*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 of Tons</w:t>
            </w:r>
          </w:p>
        </w:tc>
        <w:tc>
          <w:tcPr>
            <w:tcW w:w="540" w:type="dxa"/>
            <w:vAlign w:val="bottom"/>
          </w:tcPr>
          <w:p>
            <w:pPr>
              <w:spacing w:after="0"/>
              <w:rPr>
                <w:sz w:val="14"/>
                <w:szCs w:val="14"/>
                <w:color w:val="auto"/>
              </w:rPr>
            </w:pP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Weighted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 of Tons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Lost due to</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Group</w:t>
            </w:r>
          </w:p>
        </w:tc>
        <w:tc>
          <w:tcPr>
            <w:tcW w:w="540" w:type="dxa"/>
            <w:vAlign w:val="bottom"/>
          </w:tcPr>
          <w:p>
            <w:pPr>
              <w:spacing w:after="0"/>
              <w:rPr>
                <w:sz w:val="12"/>
                <w:szCs w:val="12"/>
                <w:color w:val="auto"/>
              </w:rPr>
            </w:pPr>
          </w:p>
        </w:tc>
        <w:tc>
          <w:tcPr>
            <w:tcW w:w="494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Market Area</w:t>
            </w:r>
          </w:p>
        </w:tc>
        <w:tc>
          <w:tcPr>
            <w:tcW w:w="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Increased</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Avg Price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YTD</w:t>
            </w:r>
          </w:p>
        </w:tc>
        <w:tc>
          <w:tcPr>
            <w:tcW w:w="5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Increase %</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5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Virginia/Maryland</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35%</w:t>
            </w: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Midwest</w:t>
            </w:r>
          </w:p>
        </w:tc>
        <w:tc>
          <w:tcPr>
            <w:tcW w:w="5480" w:type="dxa"/>
            <w:vAlign w:val="bottom"/>
            <w:gridSpan w:val="2"/>
          </w:tcPr>
          <w:p>
            <w:pPr>
              <w:ind w:left="540"/>
              <w:spacing w:after="0"/>
              <w:rPr>
                <w:sz w:val="20"/>
                <w:szCs w:val="20"/>
                <w:color w:val="auto"/>
              </w:rPr>
            </w:pPr>
            <w:r>
              <w:rPr>
                <w:rFonts w:ascii="Arial" w:cs="Arial" w:eastAsia="Arial" w:hAnsi="Arial"/>
                <w:sz w:val="18"/>
                <w:szCs w:val="18"/>
                <w:color w:val="auto"/>
              </w:rPr>
              <w:t>Michigan</w:t>
            </w: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65%</w:t>
            </w: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5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Houston</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75%</w:t>
            </w: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West</w:t>
            </w:r>
          </w:p>
        </w:tc>
        <w:tc>
          <w:tcPr>
            <w:tcW w:w="5480" w:type="dxa"/>
            <w:vAlign w:val="bottom"/>
            <w:gridSpan w:val="2"/>
          </w:tcPr>
          <w:p>
            <w:pPr>
              <w:ind w:left="540"/>
              <w:spacing w:after="0"/>
              <w:rPr>
                <w:sz w:val="20"/>
                <w:szCs w:val="20"/>
                <w:color w:val="auto"/>
              </w:rPr>
            </w:pPr>
            <w:r>
              <w:rPr>
                <w:rFonts w:ascii="Arial" w:cs="Arial" w:eastAsia="Arial" w:hAnsi="Arial"/>
                <w:sz w:val="18"/>
                <w:szCs w:val="18"/>
                <w:color w:val="auto"/>
              </w:rPr>
              <w:t>Arizona</w:t>
            </w: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20"/>
                <w:szCs w:val="20"/>
                <w:color w:val="auto"/>
              </w:rPr>
            </w:pPr>
          </w:p>
        </w:tc>
        <w:tc>
          <w:tcPr>
            <w:tcW w:w="68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*Results for the Market Areas include essentially all of the transfer stations and landfills within such Market Areas, including the King George and Amelia Landfills in the Virginia/Maryland Market Area, Autumn Hills and Westside Landfills in the Michigan Market Area, Atascocita Landfill in the Houston Market Area and Northwest Regional Landfill in the Arizona Market Area that were originally included in the 30 landfills chosen for the study. These six landfills and transfer stations are included in the Market Area results and are no longer being tracked on an individual basis in the Landfills and Transfer Stations tables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28, 2005</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4"/>
        </w:trPr>
        <w:tc>
          <w:tcPr>
            <w:tcW w:w="16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24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37"/>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99.1</w:t>
            </w:r>
          </w:p>
        </w:tc>
        <w:tc>
          <w:tcPr>
            <w:tcW w:w="102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w w:val="86"/>
              </w:rPr>
              <w:t>Press Release dated July 28, 2005</w:t>
            </w:r>
          </w:p>
        </w:tc>
      </w:tr>
    </w:tbl>
    <w:p>
      <w:pPr>
        <w:sectPr>
          <w:pgSz w:w="11900" w:h="16838" w:orient="portrait"/>
          <w:cols w:equalWidth="0" w:num="1">
            <w:col w:w="10219"/>
          </w:cols>
          <w:pgMar w:left="240" w:top="419"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223520</wp:posOffset>
            </wp:positionV>
            <wp:extent cx="1749425" cy="660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4942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#05-15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Second Quarter 2005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Announces Plans to Divest Non-Strategic Operations and to Streamline Organization</w:t>
      </w:r>
    </w:p>
    <w:p>
      <w:pPr>
        <w:spacing w:after="0" w:line="117" w:lineRule="exact"/>
        <w:rPr>
          <w:sz w:val="20"/>
          <w:szCs w:val="20"/>
          <w:color w:val="auto"/>
        </w:rPr>
      </w:pPr>
    </w:p>
    <w:p>
      <w:pPr>
        <w:jc w:val="both"/>
        <w:ind w:right="460"/>
        <w:spacing w:after="0" w:line="289" w:lineRule="auto"/>
        <w:rPr>
          <w:sz w:val="20"/>
          <w:szCs w:val="20"/>
          <w:color w:val="auto"/>
        </w:rPr>
      </w:pPr>
      <w:r>
        <w:rPr>
          <w:rFonts w:ascii="Arial" w:cs="Arial" w:eastAsia="Arial" w:hAnsi="Arial"/>
          <w:sz w:val="17"/>
          <w:szCs w:val="17"/>
          <w:b w:val="1"/>
          <w:bCs w:val="1"/>
          <w:color w:val="auto"/>
        </w:rPr>
        <w:t xml:space="preserve">HOUSTON — July 28, 2005 — </w:t>
      </w:r>
      <w:r>
        <w:rPr>
          <w:rFonts w:ascii="Arial" w:cs="Arial" w:eastAsia="Arial" w:hAnsi="Arial"/>
          <w:sz w:val="17"/>
          <w:szCs w:val="17"/>
          <w:color w:val="auto"/>
        </w:rPr>
        <w:t>Waste Management, Inc. (NYSE: WMI) today announced financial results for its second quarter ended June 30, 2005.</w:t>
      </w:r>
      <w:r>
        <w:rPr>
          <w:rFonts w:ascii="Arial" w:cs="Arial" w:eastAsia="Arial" w:hAnsi="Arial"/>
          <w:sz w:val="17"/>
          <w:szCs w:val="17"/>
          <w:b w:val="1"/>
          <w:bCs w:val="1"/>
          <w:color w:val="auto"/>
        </w:rPr>
        <w:t xml:space="preserve"> </w:t>
      </w:r>
      <w:r>
        <w:rPr>
          <w:rFonts w:ascii="Arial" w:cs="Arial" w:eastAsia="Arial" w:hAnsi="Arial"/>
          <w:sz w:val="17"/>
          <w:szCs w:val="17"/>
          <w:color w:val="auto"/>
        </w:rPr>
        <w:t>Revenues for the quarter were $3.29 billion as compared with $3.14 billion in the year ago period, an increase of 4.8%. Net income for the quarter was $527 million, or $0.92 per diluted share, compared with $216 million, or $0.37 per diluted share, in the prior year period.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noted several items that impacted the current quarter’s results:</w:t>
      </w:r>
    </w:p>
    <w:p>
      <w:pPr>
        <w:spacing w:after="0" w:line="117" w:lineRule="exact"/>
        <w:rPr>
          <w:sz w:val="20"/>
          <w:szCs w:val="20"/>
          <w:color w:val="auto"/>
        </w:rPr>
      </w:pPr>
    </w:p>
    <w:p>
      <w:pPr>
        <w:ind w:left="660" w:right="80" w:hanging="436"/>
        <w:spacing w:after="0" w:line="308"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A net after-tax benefit of $311 million due to tax expense reductions from tax audit settlements, partially offset by higher tax expense resulting from a plan to repatriate accumulated earnings and capital from Canadian subsidiaries under the American Jobs Creation Act of 2004.</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An after-tax charge of $24 million due to the previously announced impairment of the Pottstown landfill in Pennsylvania.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An after-tax gain of $21 million from the sales of operations in Alaska, North Carolina and Georgia.</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Combined, these items improved second quarter 2005 after-tax earnings by $308 million, or $0.54 per diluted share. Without the impact of these items, net income for the quarter would have been $219 million, or $0.38 per diluted share.</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the six months ended June 30, 2005, Waste Management reported operating revenues of $6.33 billion, as compared with $6.03 billion for the comparable period last year. Net income was $677 million and diluted earnings per share was $1.18 for the six months ended June 30, 2005, as compared with</w:t>
      </w:r>
    </w:p>
    <w:p>
      <w:pPr>
        <w:jc w:val="both"/>
        <w:ind w:right="620"/>
        <w:spacing w:after="0" w:line="277" w:lineRule="auto"/>
        <w:rPr>
          <w:sz w:val="20"/>
          <w:szCs w:val="20"/>
          <w:color w:val="auto"/>
        </w:rPr>
      </w:pPr>
      <w:r>
        <w:rPr>
          <w:rFonts w:ascii="Arial" w:cs="Arial" w:eastAsia="Arial" w:hAnsi="Arial"/>
          <w:sz w:val="17"/>
          <w:szCs w:val="17"/>
          <w:color w:val="auto"/>
        </w:rPr>
        <w:t xml:space="preserve">$368 million and $0.63, respectively, for the same period in 2004. The 2004 results include the favorable impact of the cumulative effect of change in accounting principle of $8 million, or $0.01 per diluted share. The cumulative effect of change in accounting principle in 2004 was related to the final implementation of Financial Accounting Standards Board Interpretation No. 46, </w:t>
      </w:r>
      <w:r>
        <w:rPr>
          <w:rFonts w:ascii="Arial" w:cs="Arial" w:eastAsia="Arial" w:hAnsi="Arial"/>
          <w:sz w:val="17"/>
          <w:szCs w:val="17"/>
          <w:i w:val="1"/>
          <w:iCs w:val="1"/>
          <w:color w:val="auto"/>
        </w:rPr>
        <w:t>Consolidation of Variable Interest Entities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right="20"/>
        <w:spacing w:after="0" w:line="291" w:lineRule="auto"/>
        <w:rPr>
          <w:sz w:val="20"/>
          <w:szCs w:val="20"/>
          <w:color w:val="auto"/>
        </w:rPr>
      </w:pPr>
      <w:r>
        <w:rPr>
          <w:rFonts w:ascii="Arial" w:cs="Arial" w:eastAsia="Arial" w:hAnsi="Arial"/>
          <w:sz w:val="16"/>
          <w:szCs w:val="16"/>
          <w:color w:val="auto"/>
        </w:rPr>
        <w:t>“We saw the continuation of a number of encouraging trends during the second quarter. Strong pricing was again a driver of our financial results, as our internal revenue growth on base business due to yield reached 2.1% for the second consecutive quarter. The revenue growth from yield was 3.1% if we include the $32 million obtained through our fuel surcharge program,” stated David P. Steiner, Chief Executive Officer of Waste Management. “We continued to make progress in our labor productivity, in our collection fleet maintenance programs and in our safety and risk management costs. As of July 1, we have also implemented a redesigned fuel surcharge program to capture the full impact that fuel prices have on our business. While our previous fuel surcharge program has historically recovered a large percentage of our increased direct fuel costs, it did not recoup the substantial indirect fuel-related cost increases paid to our subcontract haulers. We expect that our new fuel surcharge program will recover increases in subcontractor costs related to higher fuel prices.”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Divesting of Certain Operations and Restructuring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announced its plan to divest under-performing or non-strategic operations. To date, operations identified for divestiture represent over</w:t>
      </w:r>
    </w:p>
    <w:p>
      <w:pPr>
        <w:spacing w:after="0" w:line="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$400 million in annual revenue. These operations consist primarily of collection businesses and transfer stations. These businesses generated approximately $215 million in gross revenue and $11 million in operating income for the first six months of 2005.</w:t>
      </w:r>
    </w:p>
    <w:p>
      <w:pPr>
        <w:spacing w:after="0" w:line="76"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Steiner continued, “Improving the quality of our assets has been one of my top priorities. We have been studying our under-performing business operations with the objective to either fix or sell them. Our extensive reviews have been based on a number of financial and operational criteria and on how operating units fit into our strategic business model. This step is consistent with our plans to increase our internalization rates and improve our operating margins. We will also be looking for opportunities to reinvest the divestiture proceeds to grow our business in areas with higher margins.”</w:t>
      </w:r>
    </w:p>
    <w:p>
      <w:pPr>
        <w:spacing w:after="0" w:line="4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also unveiled plans to simplify its organizational structure in order to increase the accountability of its Market Areas, to streamline business decisions and to reduce costs at the Group and Corporate offices. The new organizational structure will place more emphasis on the day-to-day decision making that occurs at the Company’s Market Areas, which encompass major metropolitan or geographical regions across the country.</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President and Chief Operating Officer Larry O’Donnell stated, “We have essentially eliminated the extra layer between our Corporate office and our field operations. We have also eliminated the Canadian Group office, which reduces the number of our operating groups from seven to six. This restructuring will make us a more nimble organization, bring us closer to our customers and enable us to move our best people into areas where they can directly impact day-to-day business decisions. The standard operating practices that have been implemented across the organization prepare us well for this change. We expect the streamlined structure will enhance our competitiveness and also contribute to the achievement of our financial goals.”</w:t>
      </w:r>
    </w:p>
    <w:p>
      <w:pPr>
        <w:spacing w:after="0" w:line="5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Steiner added, “Having the President and Chief Operating Officer position separate from the CEO role enables Larry to spend more time working directly with the Market Areas. This new structure gives corporate a more direct line of sight to the Market Areas, with the goal of providing the Market Areas the support they need to accomplish their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line="264" w:lineRule="auto"/>
        <w:rPr>
          <w:sz w:val="20"/>
          <w:szCs w:val="20"/>
          <w:color w:val="auto"/>
        </w:rPr>
      </w:pPr>
      <w:r>
        <w:rPr>
          <w:rFonts w:ascii="Arial" w:cs="Arial" w:eastAsia="Arial" w:hAnsi="Arial"/>
          <w:sz w:val="18"/>
          <w:szCs w:val="18"/>
          <w:color w:val="auto"/>
        </w:rPr>
        <w:t>The reorganization will eliminate about 600 positions, and the Company anticipates taking a third quarter pre-tax restructuring charge to earnings in the range of $20 to $30 million. The reduction in workforce and other related cost savings, before the restructuring charge, are projected to create pre-tax cost savings estimated to be about $30 million during 2005 and $70 million annually beginning in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Quarter</w:t>
      </w:r>
    </w:p>
    <w:p>
      <w:pPr>
        <w:spacing w:after="0" w:line="121"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of $595 million, up 8.4% over the prior year quarter.</w:t>
      </w:r>
    </w:p>
    <w:p>
      <w:pPr>
        <w:spacing w:after="0" w:line="130" w:lineRule="exact"/>
        <w:rPr>
          <w:rFonts w:ascii="Arial" w:cs="Arial" w:eastAsia="Arial" w:hAnsi="Arial"/>
          <w:sz w:val="18"/>
          <w:szCs w:val="18"/>
          <w:b w:val="1"/>
          <w:bCs w:val="1"/>
          <w:color w:val="auto"/>
        </w:rPr>
      </w:pPr>
    </w:p>
    <w:p>
      <w:pPr>
        <w:jc w:val="both"/>
        <w:ind w:left="660" w:right="600" w:hanging="436"/>
        <w:spacing w:after="0" w:line="34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 xml:space="preserve">Free cash flow </w:t>
      </w:r>
      <w:r>
        <w:rPr>
          <w:rFonts w:ascii="Arial" w:cs="Arial" w:eastAsia="Arial" w:hAnsi="Arial"/>
          <w:sz w:val="13"/>
          <w:szCs w:val="13"/>
          <w:color w:val="auto"/>
        </w:rPr>
        <w:t>(a)</w:t>
      </w:r>
      <w:r>
        <w:rPr>
          <w:rFonts w:ascii="Arial" w:cs="Arial" w:eastAsia="Arial" w:hAnsi="Arial"/>
          <w:sz w:val="16"/>
          <w:szCs w:val="16"/>
          <w:color w:val="auto"/>
        </w:rPr>
        <w:t xml:space="preserve"> of $314 million, an increase of 31.9% versus the second quarter of last year. For the six-month period, free cash flow was $734 million, a 33.7% increase as compared to the first six months of 2004 and is in line to achieve our full year goal of $1.1 to $1.2 billion.</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Capital expenditures of $308 million, a decrease of 10.7% compared with the prior year quarter.</w:t>
      </w:r>
    </w:p>
    <w:p>
      <w:pPr>
        <w:spacing w:after="0" w:line="130" w:lineRule="exact"/>
        <w:rPr>
          <w:rFonts w:ascii="Arial" w:cs="Arial" w:eastAsia="Arial" w:hAnsi="Arial"/>
          <w:sz w:val="18"/>
          <w:szCs w:val="18"/>
          <w:b w:val="1"/>
          <w:bCs w:val="1"/>
          <w:color w:val="auto"/>
        </w:rPr>
      </w:pPr>
    </w:p>
    <w:p>
      <w:pPr>
        <w:ind w:left="660" w:right="38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Internal revenue growth on base business of 3.3%, with 2.1% of that from average yield and 1.2% from volume. The yield component excludes 0.7% from the combined impact of higher revenues from fuel surcharges, slight increases in electricity rates at Independent Power Production facilities, and lower recycling commodity prices.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Acquisitions net of divestitures contributed 0.4% to higher revenues in the quarter, and foreign currency translation contributed an additional 0.4%.</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Price increases averaging 4.1% on our commercial customer base and 3.2% on our total collection customer base.</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$293 million returned to shareholders, consisting of $114 million in cash dividends and $179 million in common stock repurchases. This is on pace with our full year objective of $600 to $700 million in share repurchases.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Steiner continued “During the second quarter, we also maintained the momentum of our pricing initiatives as demonstrated by the results of our internal revenue growth from yield. We saw 1.2% volume growth in the quarter, two-thirds of which occurred in very low margin lines of business, which negatively impacted our overall margins.”</w:t>
      </w:r>
    </w:p>
    <w:p>
      <w:pPr>
        <w:spacing w:after="0" w:line="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Steiner concluded “Our 2005 EPS guidance was predicated on maintaining solid volumes along with our price improvements. We are meeting our expectations with regard to price, but we did see a downturn in volumes in May, June and in the first three weeks of July. If we don’t see improvement in volumes, we will have to see accelerated results from our pricing, productivity and other cost initiatives if we are to meet our goals for the third quarter and the year. Given that, we believe that it is more likely that we will be at the lower end of the analysts’ current range rather than the mid-to-upper end of the range. It is not uncommon for a price leader to see volumes decrease over the short term, but we believe that our current pricing program is in the best long term interest of our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005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right="60" w:hanging="10"/>
        <w:spacing w:after="0" w:line="236" w:lineRule="auto"/>
        <w:tabs>
          <w:tab w:leader="none" w:pos="547"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The Company included its free cash flow, which is a non-GAAP financial measure, herein because it uses that measure in the management of its business and because it believes that investors are interested in the cash produced by the Company from non-financing activities that is available for uses such as the Company’s acquisition program, its share repurchase program, its scheduled debt reduction and the payment of dividends. The Company defines free cash flow as:</w:t>
      </w:r>
    </w:p>
    <w:p>
      <w:pPr>
        <w:spacing w:after="0" w:line="105" w:lineRule="exact"/>
        <w:rPr>
          <w:sz w:val="20"/>
          <w:szCs w:val="20"/>
          <w:color w:val="auto"/>
        </w:rPr>
      </w:pPr>
    </w:p>
    <w:p>
      <w:pPr>
        <w:ind w:left="600" w:hanging="250"/>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cash provided by operating activities</w:t>
      </w:r>
    </w:p>
    <w:p>
      <w:pPr>
        <w:spacing w:after="0" w:line="126" w:lineRule="exact"/>
        <w:rPr>
          <w:rFonts w:ascii="Arial" w:cs="Arial" w:eastAsia="Arial" w:hAnsi="Arial"/>
          <w:sz w:val="16"/>
          <w:szCs w:val="16"/>
          <w:color w:val="auto"/>
        </w:rPr>
      </w:pPr>
    </w:p>
    <w:p>
      <w:pPr>
        <w:ind w:left="600" w:hanging="250"/>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 w:name="page13"/>
    <w:bookmarkEnd w:id="12"/>
    <w:p>
      <w:pPr>
        <w:ind w:left="600" w:hanging="250"/>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Plus, proceeds from divestitures of businesses, net of cash divested, and other sales of assets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purposes of the Company’s full year projection, cash costs of the restructuring are not included in full year projections.</w:t>
      </w:r>
    </w:p>
    <w:p>
      <w:pPr>
        <w:spacing w:after="0" w:line="123" w:lineRule="exact"/>
        <w:rPr>
          <w:sz w:val="20"/>
          <w:szCs w:val="20"/>
          <w:color w:val="auto"/>
        </w:rPr>
      </w:pPr>
    </w:p>
    <w:p>
      <w:pPr>
        <w:ind w:left="360" w:right="100"/>
        <w:spacing w:after="0" w:line="329" w:lineRule="auto"/>
        <w:rPr>
          <w:sz w:val="20"/>
          <w:szCs w:val="20"/>
          <w:color w:val="auto"/>
        </w:rPr>
      </w:pPr>
      <w:r>
        <w:rPr>
          <w:rFonts w:ascii="Arial" w:cs="Arial" w:eastAsia="Arial" w:hAnsi="Arial"/>
          <w:sz w:val="15"/>
          <w:szCs w:val="15"/>
          <w:color w:val="auto"/>
        </w:rPr>
        <w:t>The Company’s definition of free cash flow may not be comparable to similarly titled measures presented by other companies. The Company has reconciled its free cash flow as presented herein to cash flow from operations, which is the most comparable GAAP measure, in the accompanying schedules.</w:t>
      </w:r>
    </w:p>
    <w:p>
      <w:pPr>
        <w:spacing w:after="0" w:line="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and select “2Q2005 Earnings Report Webcast.” You may also listen to the analyst conference call by telephone by contacting the conference call operator 5-10 minutes prior to the scheduled start time and asking for the “Waste Management Conference Call — Call ID 7068485.” US/Canada Dial-In #: (877) 710-6139. Int’l/Local Dial-In #: (706) 643-7398. For those unable to listen to the live call, a replay will be available 24 hours a day beginning at approximately 11:00 a.m. CT July 28</w:t>
      </w:r>
      <w:r>
        <w:rPr>
          <w:rFonts w:ascii="Arial" w:cs="Arial" w:eastAsia="Arial" w:hAnsi="Arial"/>
          <w:sz w:val="15"/>
          <w:szCs w:val="15"/>
          <w:color w:val="auto"/>
        </w:rPr>
        <w:t>th</w:t>
      </w:r>
      <w:r>
        <w:rPr>
          <w:rFonts w:ascii="Arial" w:cs="Arial" w:eastAsia="Arial" w:hAnsi="Arial"/>
          <w:sz w:val="18"/>
          <w:szCs w:val="18"/>
          <w:color w:val="auto"/>
        </w:rPr>
        <w:t xml:space="preserve"> through 5:00 p.m. CT on August 11</w:t>
      </w:r>
      <w:r>
        <w:rPr>
          <w:rFonts w:ascii="Arial" w:cs="Arial" w:eastAsia="Arial" w:hAnsi="Arial"/>
          <w:sz w:val="15"/>
          <w:szCs w:val="15"/>
          <w:color w:val="auto"/>
        </w:rPr>
        <w:t>th</w:t>
      </w:r>
      <w:r>
        <w:rPr>
          <w:rFonts w:ascii="Arial" w:cs="Arial" w:eastAsia="Arial" w:hAnsi="Arial"/>
          <w:sz w:val="18"/>
          <w:szCs w:val="18"/>
          <w:color w:val="auto"/>
        </w:rPr>
        <w:t xml:space="preserve">.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7068485.</w:t>
      </w:r>
    </w:p>
    <w:p>
      <w:pPr>
        <w:spacing w:after="0" w:line="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67" w:lineRule="exact"/>
        <w:rPr>
          <w:sz w:val="20"/>
          <w:szCs w:val="20"/>
          <w:color w:val="auto"/>
        </w:rPr>
      </w:pPr>
    </w:p>
    <w:p>
      <w:pPr>
        <w:spacing w:after="0" w:line="288" w:lineRule="auto"/>
        <w:rPr>
          <w:sz w:val="20"/>
          <w:szCs w:val="20"/>
          <w:color w:val="auto"/>
        </w:rPr>
      </w:pPr>
      <w:r>
        <w:rPr>
          <w:rFonts w:ascii="Arial" w:cs="Arial" w:eastAsia="Arial" w:hAnsi="Arial"/>
          <w:sz w:val="15"/>
          <w:szCs w:val="15"/>
          <w:i w:val="1"/>
          <w:iCs w:val="1"/>
          <w:color w:val="auto"/>
        </w:rPr>
        <w:t>Certain statements contained in this press release include statements that are “forward-looking statements.” Outlined below are some of the risks that the Company faces and that could affect our financial statements for 2005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73" w:lineRule="exact"/>
        <w:rPr>
          <w:sz w:val="20"/>
          <w:szCs w:val="20"/>
          <w:color w:val="auto"/>
        </w:rPr>
      </w:pPr>
    </w:p>
    <w:p>
      <w:pPr>
        <w:ind w:left="660" w:right="60" w:hanging="436"/>
        <w:spacing w:after="0" w:line="293"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the effects competition may have on our profitability or cash flows, including the negative impact our price increases may have on volumes or the negative impact to our yield on base business resulting from price roll-backs and lower than average pricing to retain and attract customers;</w:t>
      </w:r>
    </w:p>
    <w:p>
      <w:pPr>
        <w:spacing w:after="0" w:line="77" w:lineRule="exact"/>
        <w:rPr>
          <w:rFonts w:ascii="Arial" w:cs="Arial" w:eastAsia="Arial" w:hAnsi="Arial"/>
          <w:sz w:val="16"/>
          <w:szCs w:val="16"/>
          <w:b w:val="1"/>
          <w:bCs w:val="1"/>
          <w:color w:val="auto"/>
        </w:rPr>
      </w:pPr>
    </w:p>
    <w:p>
      <w:pPr>
        <w:ind w:left="660" w:hanging="436"/>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our inability to maintain or expand margins as volumes increase if we are unable to control variable costs or our fixed cost base increases;</w:t>
      </w:r>
    </w:p>
    <w:p>
      <w:pPr>
        <w:spacing w:after="0" w:line="140" w:lineRule="exact"/>
        <w:rPr>
          <w:rFonts w:ascii="Arial" w:cs="Arial" w:eastAsia="Arial" w:hAnsi="Arial"/>
          <w:sz w:val="16"/>
          <w:szCs w:val="16"/>
          <w:b w:val="1"/>
          <w:bCs w:val="1"/>
          <w:color w:val="auto"/>
        </w:rPr>
      </w:pPr>
    </w:p>
    <w:p>
      <w:pPr>
        <w:ind w:left="660" w:right="140" w:hanging="436"/>
        <w:spacing w:after="0" w:line="293"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increases in employee-related costs and expenses, including health care and other employee benefits such as unemployment insurance and workers’ compensation, as well as the costs and expenses associated with attracting and retaining qualified personnel;</w:t>
      </w:r>
    </w:p>
    <w:p>
      <w:pPr>
        <w:spacing w:after="0" w:line="77" w:lineRule="exact"/>
        <w:rPr>
          <w:rFonts w:ascii="Arial" w:cs="Arial" w:eastAsia="Arial" w:hAnsi="Arial"/>
          <w:sz w:val="16"/>
          <w:szCs w:val="16"/>
          <w:b w:val="1"/>
          <w:bCs w:val="1"/>
          <w:color w:val="auto"/>
        </w:rPr>
      </w:pPr>
    </w:p>
    <w:p>
      <w:pPr>
        <w:ind w:left="660" w:hanging="436"/>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increases in expenses due to fuel price increases or fuel supply shortages;</w:t>
      </w:r>
    </w:p>
    <w:p>
      <w:pPr>
        <w:spacing w:after="0" w:line="140" w:lineRule="exact"/>
        <w:rPr>
          <w:rFonts w:ascii="Arial" w:cs="Arial" w:eastAsia="Arial" w:hAnsi="Arial"/>
          <w:sz w:val="16"/>
          <w:szCs w:val="16"/>
          <w:b w:val="1"/>
          <w:bCs w:val="1"/>
          <w:color w:val="auto"/>
        </w:rPr>
      </w:pPr>
    </w:p>
    <w:p>
      <w:pPr>
        <w:ind w:left="660" w:hanging="436"/>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the effect that fluctuating commodity prices may have on our operating revenues and expenses;</w:t>
      </w:r>
    </w:p>
    <w:p>
      <w:pPr>
        <w:spacing w:after="0" w:line="140" w:lineRule="exact"/>
        <w:rPr>
          <w:rFonts w:ascii="Arial" w:cs="Arial" w:eastAsia="Arial" w:hAnsi="Arial"/>
          <w:sz w:val="16"/>
          <w:szCs w:val="16"/>
          <w:b w:val="1"/>
          <w:bCs w:val="1"/>
          <w:color w:val="auto"/>
        </w:rPr>
      </w:pPr>
    </w:p>
    <w:p>
      <w:pPr>
        <w:ind w:left="660" w:hanging="436"/>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the general effects of a weak economy, including the resulting decreases in volumes of waste generated;</w:t>
      </w:r>
    </w:p>
    <w:p>
      <w:pPr>
        <w:spacing w:after="0" w:line="140" w:lineRule="exact"/>
        <w:rPr>
          <w:rFonts w:ascii="Arial" w:cs="Arial" w:eastAsia="Arial" w:hAnsi="Arial"/>
          <w:sz w:val="16"/>
          <w:szCs w:val="16"/>
          <w:b w:val="1"/>
          <w:bCs w:val="1"/>
          <w:color w:val="auto"/>
        </w:rPr>
      </w:pPr>
    </w:p>
    <w:p>
      <w:pPr>
        <w:ind w:left="660" w:right="140" w:hanging="436"/>
        <w:spacing w:after="0" w:line="293"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external factors beyond our control, such as higher interest rates and the possible inability of insurers to meet their obligations, both of which may cause increased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0" w:right="259" w:bottom="1440" w:gutter="0" w:footer="0" w:header="0"/>
        </w:sectPr>
      </w:pPr>
    </w:p>
    <w:bookmarkStart w:id="13" w:name="page14"/>
    <w:bookmarkEnd w:id="13"/>
    <w:p>
      <w:pPr>
        <w:ind w:left="440" w:hanging="436"/>
        <w:spacing w:after="0"/>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the effect the weather has on our quarter to quarter results, as well as the effect of extremely harsh weather on our operations;</w:t>
      </w:r>
    </w:p>
    <w:p>
      <w:pPr>
        <w:spacing w:after="0" w:line="140" w:lineRule="exact"/>
        <w:rPr>
          <w:rFonts w:ascii="Arial" w:cs="Arial" w:eastAsia="Arial" w:hAnsi="Arial"/>
          <w:sz w:val="16"/>
          <w:szCs w:val="16"/>
          <w:b w:val="1"/>
          <w:bCs w:val="1"/>
          <w:color w:val="auto"/>
        </w:rPr>
      </w:pPr>
    </w:p>
    <w:p>
      <w:pPr>
        <w:ind w:left="440" w:hanging="436"/>
        <w:spacing w:after="0"/>
        <w:tabs>
          <w:tab w:leader="none" w:pos="44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possible changes in our estimates of site remediation requirements, final capping, closure and post-closure obligations, compliance and regulatory developments;</w:t>
      </w:r>
    </w:p>
    <w:p>
      <w:pPr>
        <w:spacing w:after="0" w:line="163" w:lineRule="exact"/>
        <w:rPr>
          <w:rFonts w:ascii="Arial" w:cs="Arial" w:eastAsia="Arial" w:hAnsi="Arial"/>
          <w:sz w:val="14"/>
          <w:szCs w:val="14"/>
          <w:b w:val="1"/>
          <w:bCs w:val="1"/>
          <w:color w:val="auto"/>
        </w:rPr>
      </w:pPr>
    </w:p>
    <w:p>
      <w:pPr>
        <w:ind w:left="440" w:right="180" w:hanging="436"/>
        <w:spacing w:after="0" w:line="293" w:lineRule="auto"/>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the possible impact of regulations on our business, including the cost to comply with regulatory requirements and the potential liabilities associated with disposal operations;</w:t>
      </w:r>
    </w:p>
    <w:p>
      <w:pPr>
        <w:spacing w:after="0" w:line="77" w:lineRule="exact"/>
        <w:rPr>
          <w:rFonts w:ascii="Arial" w:cs="Arial" w:eastAsia="Arial" w:hAnsi="Arial"/>
          <w:sz w:val="16"/>
          <w:szCs w:val="16"/>
          <w:b w:val="1"/>
          <w:bCs w:val="1"/>
          <w:color w:val="auto"/>
        </w:rPr>
      </w:pPr>
    </w:p>
    <w:p>
      <w:pPr>
        <w:ind w:left="440" w:hanging="436"/>
        <w:spacing w:after="0"/>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our ability to obtain and maintain permits needed to operate our facilities;</w:t>
      </w:r>
    </w:p>
    <w:p>
      <w:pPr>
        <w:spacing w:after="0" w:line="140" w:lineRule="exact"/>
        <w:rPr>
          <w:rFonts w:ascii="Arial" w:cs="Arial" w:eastAsia="Arial" w:hAnsi="Arial"/>
          <w:sz w:val="16"/>
          <w:szCs w:val="16"/>
          <w:b w:val="1"/>
          <w:bCs w:val="1"/>
          <w:color w:val="auto"/>
        </w:rPr>
      </w:pPr>
    </w:p>
    <w:p>
      <w:pPr>
        <w:ind w:left="440" w:hanging="436"/>
        <w:spacing w:after="0"/>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the effect of limitations or bans on disposal or transportation of out-of-state waste or certain categories of waste;</w:t>
      </w:r>
    </w:p>
    <w:p>
      <w:pPr>
        <w:spacing w:after="0" w:line="140" w:lineRule="exact"/>
        <w:rPr>
          <w:rFonts w:ascii="Arial" w:cs="Arial" w:eastAsia="Arial" w:hAnsi="Arial"/>
          <w:sz w:val="16"/>
          <w:szCs w:val="16"/>
          <w:b w:val="1"/>
          <w:bCs w:val="1"/>
          <w:color w:val="auto"/>
        </w:rPr>
      </w:pPr>
    </w:p>
    <w:p>
      <w:pPr>
        <w:ind w:left="440" w:hanging="436"/>
        <w:spacing w:after="0"/>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possible charges against earnings as a result of shut-down operations, uncompleted development or expansion projects or other events;</w:t>
      </w:r>
    </w:p>
    <w:p>
      <w:pPr>
        <w:spacing w:after="0" w:line="140" w:lineRule="exact"/>
        <w:rPr>
          <w:rFonts w:ascii="Arial" w:cs="Arial" w:eastAsia="Arial" w:hAnsi="Arial"/>
          <w:sz w:val="16"/>
          <w:szCs w:val="16"/>
          <w:b w:val="1"/>
          <w:bCs w:val="1"/>
          <w:color w:val="auto"/>
        </w:rPr>
      </w:pPr>
    </w:p>
    <w:p>
      <w:pPr>
        <w:ind w:left="440" w:right="300" w:hanging="436"/>
        <w:spacing w:after="0" w:line="293" w:lineRule="auto"/>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the effects that trends toward requiring recycling, waste reduction at the source and prohibiting the disposal of certain types of wastes could have on volumes of waste going to landfills and waste-to-energy facilities;</w:t>
      </w:r>
    </w:p>
    <w:p>
      <w:pPr>
        <w:spacing w:after="0" w:line="77" w:lineRule="exact"/>
        <w:rPr>
          <w:rFonts w:ascii="Arial" w:cs="Arial" w:eastAsia="Arial" w:hAnsi="Arial"/>
          <w:sz w:val="16"/>
          <w:szCs w:val="16"/>
          <w:b w:val="1"/>
          <w:bCs w:val="1"/>
          <w:color w:val="auto"/>
        </w:rPr>
      </w:pPr>
    </w:p>
    <w:p>
      <w:pPr>
        <w:ind w:left="440" w:hanging="436"/>
        <w:spacing w:after="0"/>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possible diversions of management’s attention and increases in operating expenses due to efforts by labor unions to organize our employees;</w:t>
      </w:r>
    </w:p>
    <w:p>
      <w:pPr>
        <w:spacing w:after="0" w:line="140" w:lineRule="exact"/>
        <w:rPr>
          <w:rFonts w:ascii="Arial" w:cs="Arial" w:eastAsia="Arial" w:hAnsi="Arial"/>
          <w:sz w:val="16"/>
          <w:szCs w:val="16"/>
          <w:b w:val="1"/>
          <w:bCs w:val="1"/>
          <w:color w:val="auto"/>
        </w:rPr>
      </w:pPr>
    </w:p>
    <w:p>
      <w:pPr>
        <w:ind w:left="440" w:hanging="436"/>
        <w:spacing w:after="0"/>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the outcome of litigation or threatened litigation;</w:t>
      </w:r>
    </w:p>
    <w:p>
      <w:pPr>
        <w:spacing w:after="0" w:line="140" w:lineRule="exact"/>
        <w:rPr>
          <w:rFonts w:ascii="Arial" w:cs="Arial" w:eastAsia="Arial" w:hAnsi="Arial"/>
          <w:sz w:val="16"/>
          <w:szCs w:val="16"/>
          <w:b w:val="1"/>
          <w:bCs w:val="1"/>
          <w:color w:val="auto"/>
        </w:rPr>
      </w:pPr>
    </w:p>
    <w:p>
      <w:pPr>
        <w:ind w:left="440" w:right="440" w:hanging="436"/>
        <w:spacing w:after="0" w:line="293" w:lineRule="auto"/>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the need for additional capital if cash flows are less than we expect or capital expenditures are more than we expect, and the possibility that we cannot obtain additional capital on acceptable terms if needed;</w:t>
      </w:r>
    </w:p>
    <w:p>
      <w:pPr>
        <w:spacing w:after="0" w:line="77" w:lineRule="exact"/>
        <w:rPr>
          <w:rFonts w:ascii="Arial" w:cs="Arial" w:eastAsia="Arial" w:hAnsi="Arial"/>
          <w:sz w:val="16"/>
          <w:szCs w:val="16"/>
          <w:b w:val="1"/>
          <w:bCs w:val="1"/>
          <w:color w:val="auto"/>
        </w:rPr>
      </w:pPr>
    </w:p>
    <w:p>
      <w:pPr>
        <w:ind w:left="440" w:hanging="436"/>
        <w:spacing w:after="0"/>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possible errors or problems upon implementation of new information technology systems; and</w:t>
      </w:r>
    </w:p>
    <w:p>
      <w:pPr>
        <w:spacing w:after="0" w:line="140" w:lineRule="exact"/>
        <w:rPr>
          <w:rFonts w:ascii="Arial" w:cs="Arial" w:eastAsia="Arial" w:hAnsi="Arial"/>
          <w:sz w:val="16"/>
          <w:szCs w:val="16"/>
          <w:b w:val="1"/>
          <w:bCs w:val="1"/>
          <w:color w:val="auto"/>
        </w:rPr>
      </w:pPr>
    </w:p>
    <w:p>
      <w:pPr>
        <w:ind w:left="440" w:right="220" w:hanging="436"/>
        <w:spacing w:after="0" w:line="293" w:lineRule="auto"/>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possible fluctuations in quarterly results of operations or adverse impacts on our results of operations as a result of the adoption of new accounting standards or interpretations.</w:t>
      </w:r>
    </w:p>
    <w:p>
      <w:pPr>
        <w:spacing w:after="0" w:line="64" w:lineRule="exact"/>
        <w:rPr>
          <w:sz w:val="20"/>
          <w:szCs w:val="20"/>
          <w:color w:val="auto"/>
        </w:rPr>
      </w:pPr>
    </w:p>
    <w:p>
      <w:pPr>
        <w:jc w:val="both"/>
        <w:ind w:left="140"/>
        <w:spacing w:after="0" w:line="278"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2004 and Part II of the Company’s Quarterly Report on Form 10-Q for the quarter ended March 31, 2005.</w:t>
      </w:r>
    </w:p>
    <w:p>
      <w:pPr>
        <w:spacing w:after="0" w:line="288" w:lineRule="exact"/>
        <w:rPr>
          <w:sz w:val="20"/>
          <w:szCs w:val="20"/>
          <w:color w:val="auto"/>
        </w:rPr>
      </w:pPr>
    </w:p>
    <w:p>
      <w:pPr>
        <w:jc w:val="center"/>
        <w:ind w:right="140"/>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407035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60" w:top="940"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8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Operating (exclusive of depreciation and amortization shown below)</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Selling, general and administrative</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Asset impairments and unusual items</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Equity in net losses of unconsolidated entities</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Minority interest</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0.92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tcPr>
          <w:p>
            <w:pPr>
              <w:spacing w:after="0"/>
              <w:rPr>
                <w:sz w:val="20"/>
                <w:szCs w:val="20"/>
                <w:color w:val="auto"/>
              </w:rPr>
            </w:pPr>
            <w:r>
              <w:rPr>
                <w:rFonts w:ascii="Arial" w:cs="Arial" w:eastAsia="Arial" w:hAnsi="Arial"/>
                <w:sz w:val="18"/>
                <w:szCs w:val="18"/>
                <w:color w:val="auto"/>
              </w:rPr>
              <w:t>Diluted common shares outstanding</w:t>
            </w:r>
          </w:p>
        </w:tc>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570.1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60" w:type="dxa"/>
            <w:vAlign w:val="bottom"/>
            <w:gridSpan w:val="2"/>
          </w:tcPr>
          <w:p>
            <w:pPr>
              <w:spacing w:after="0"/>
              <w:rPr>
                <w:sz w:val="20"/>
                <w:szCs w:val="20"/>
                <w:color w:val="auto"/>
              </w:rPr>
            </w:pPr>
            <w:r>
              <w:rPr>
                <w:rFonts w:ascii="Arial" w:cs="Arial" w:eastAsia="Arial" w:hAnsi="Arial"/>
                <w:sz w:val="18"/>
                <w:szCs w:val="18"/>
                <w:color w:val="auto"/>
              </w:rPr>
              <w:t>Diluted net income</w:t>
            </w:r>
          </w:p>
        </w:tc>
        <w:tc>
          <w:tcPr>
            <w:tcW w:w="4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527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Effect of using weighted average common shares outstanding</w:t>
            </w: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ind w:left="400"/>
              <w:spacing w:after="0" w:line="201" w:lineRule="exact"/>
              <w:rPr>
                <w:sz w:val="20"/>
                <w:szCs w:val="20"/>
                <w:color w:val="auto"/>
              </w:rPr>
            </w:pPr>
            <w:r>
              <w:rPr>
                <w:rFonts w:ascii="Arial" w:cs="Arial" w:eastAsia="Arial" w:hAnsi="Arial"/>
                <w:sz w:val="18"/>
                <w:szCs w:val="18"/>
                <w:color w:val="auto"/>
                <w:w w:val="97"/>
              </w:rPr>
              <w:t>Dilutive effect of equity-based compensation awards, warrants</w:t>
            </w:r>
          </w:p>
        </w:tc>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and other contingently issuable shares</w:t>
            </w:r>
          </w:p>
        </w:tc>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0.93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20" w:type="dxa"/>
            <w:vAlign w:val="bottom"/>
            <w:vMerge w:val="restart"/>
          </w:tcPr>
          <w:p>
            <w:pPr>
              <w:jc w:val="right"/>
              <w:ind w:right="3370"/>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439"/>
        </w:trPr>
        <w:tc>
          <w:tcPr>
            <w:tcW w:w="80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(exclusive of depreciation and amortization shown below)</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Asset impairments and unusual items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Equity in net losses of unconsolidated entities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Minority interest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525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 net of income tax expense of $5 in 2004</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Cumulative effect of change in accounting principle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Cumulative effect of change in accounting principle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2"/>
          </w:tcPr>
          <w:p>
            <w:pPr>
              <w:spacing w:after="0"/>
              <w:rPr>
                <w:sz w:val="20"/>
                <w:szCs w:val="20"/>
                <w:color w:val="auto"/>
              </w:rPr>
            </w:pPr>
            <w:r>
              <w:rPr>
                <w:rFonts w:ascii="Arial" w:cs="Arial" w:eastAsia="Arial" w:hAnsi="Arial"/>
                <w:sz w:val="18"/>
                <w:szCs w:val="18"/>
                <w:color w:val="auto"/>
              </w:rPr>
              <w:t>Diluted common shares outstanding</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571.3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5600"/>
              <w:spacing w:after="0"/>
              <w:rPr>
                <w:sz w:val="20"/>
                <w:szCs w:val="20"/>
                <w:color w:val="auto"/>
              </w:rPr>
            </w:pPr>
            <w:r>
              <w:rPr>
                <w:rFonts w:ascii="Arial" w:cs="Arial" w:eastAsia="Arial" w:hAnsi="Arial"/>
                <w:sz w:val="18"/>
                <w:szCs w:val="18"/>
                <w:color w:val="auto"/>
              </w:rPr>
              <w:t>(3)</w:t>
            </w: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0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677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00"/>
              <w:spacing w:after="0"/>
              <w:rPr>
                <w:sz w:val="20"/>
                <w:szCs w:val="20"/>
                <w:color w:val="auto"/>
              </w:rPr>
            </w:pPr>
            <w:r>
              <w:rPr>
                <w:rFonts w:ascii="Arial" w:cs="Arial" w:eastAsia="Arial" w:hAnsi="Arial"/>
                <w:sz w:val="18"/>
                <w:szCs w:val="18"/>
                <w:color w:val="auto"/>
              </w:rPr>
              <w:t>Effect of using weighted average common shares outstanding</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00"/>
              <w:spacing w:after="0"/>
              <w:rPr>
                <w:sz w:val="20"/>
                <w:szCs w:val="20"/>
                <w:color w:val="auto"/>
              </w:rPr>
            </w:pPr>
            <w:r>
              <w:rPr>
                <w:rFonts w:ascii="Arial" w:cs="Arial" w:eastAsia="Arial" w:hAnsi="Arial"/>
                <w:sz w:val="18"/>
                <w:szCs w:val="18"/>
                <w:color w:val="auto"/>
                <w:w w:val="99"/>
              </w:rPr>
              <w:t>Dilutive effect of equity-based compensation awards, warrants and other contingently issuable shares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600"/>
              <w:spacing w:after="0"/>
              <w:rPr>
                <w:sz w:val="20"/>
                <w:szCs w:val="20"/>
                <w:color w:val="auto"/>
              </w:rPr>
            </w:pPr>
            <w:r>
              <w:rPr>
                <w:rFonts w:ascii="Arial" w:cs="Arial" w:eastAsia="Arial" w:hAnsi="Arial"/>
                <w:sz w:val="18"/>
                <w:szCs w:val="18"/>
                <w:color w:val="auto"/>
              </w:rPr>
              <w:t>Cumulative effect of change in accounting principle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600"/>
              <w:spacing w:after="0"/>
              <w:rPr>
                <w:sz w:val="20"/>
                <w:szCs w:val="20"/>
                <w:color w:val="auto"/>
              </w:rPr>
            </w:pPr>
            <w:r>
              <w:rPr>
                <w:rFonts w:ascii="Arial" w:cs="Arial" w:eastAsia="Arial" w:hAnsi="Arial"/>
                <w:sz w:val="18"/>
                <w:szCs w:val="18"/>
                <w:color w:val="auto"/>
              </w:rPr>
              <w:t>Cumulative effect of change in accounting principle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ind w:left="560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5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1,922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5,351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Accounts payable, accrued liabilities, and deferred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2,538</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14,652</w:t>
            </w:r>
          </w:p>
        </w:tc>
        <w:tc>
          <w:tcPr>
            <w:tcW w:w="0" w:type="dxa"/>
            <w:vAlign w:val="bottom"/>
          </w:tcPr>
          <w:p>
            <w:pPr>
              <w:spacing w:after="0"/>
              <w:rPr>
                <w:sz w:val="1"/>
                <w:szCs w:val="1"/>
                <w:color w:val="auto"/>
              </w:rPr>
            </w:pPr>
          </w:p>
        </w:tc>
      </w:tr>
      <w:tr>
        <w:trPr>
          <w:trHeight w:val="432"/>
        </w:trPr>
        <w:tc>
          <w:tcPr>
            <w:tcW w:w="906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2005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677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600"/>
              <w:spacing w:after="0"/>
              <w:rPr>
                <w:sz w:val="20"/>
                <w:szCs w:val="20"/>
                <w:color w:val="auto"/>
              </w:rPr>
            </w:pPr>
            <w:r>
              <w:rPr>
                <w:rFonts w:ascii="Arial" w:cs="Arial" w:eastAsia="Arial" w:hAnsi="Arial"/>
                <w:sz w:val="18"/>
                <w:szCs w:val="18"/>
                <w:color w:val="auto"/>
              </w:rPr>
              <w:t>Cumulative effect of change in accounting principle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60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00"/>
              <w:spacing w:after="0"/>
              <w:rPr>
                <w:sz w:val="20"/>
                <w:szCs w:val="20"/>
                <w:color w:val="auto"/>
              </w:rPr>
            </w:pPr>
            <w:r>
              <w:rPr>
                <w:rFonts w:ascii="Arial" w:cs="Arial" w:eastAsia="Arial" w:hAnsi="Arial"/>
                <w:sz w:val="18"/>
                <w:szCs w:val="18"/>
                <w:color w:val="auto"/>
              </w:rPr>
              <w:t>Acquisitions of businesses, net of cash acquired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expenditures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00"/>
              <w:spacing w:after="0"/>
              <w:rPr>
                <w:sz w:val="20"/>
                <w:szCs w:val="20"/>
                <w:color w:val="auto"/>
              </w:rPr>
            </w:pPr>
            <w:r>
              <w:rPr>
                <w:rFonts w:ascii="Arial" w:cs="Arial" w:eastAsia="Arial" w:hAnsi="Arial"/>
                <w:sz w:val="18"/>
                <w:szCs w:val="18"/>
                <w:color w:val="auto"/>
              </w:rPr>
              <w:t>Purchases of short-term investments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sales of short-term investments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00"/>
              <w:spacing w:after="0"/>
              <w:rPr>
                <w:sz w:val="20"/>
                <w:szCs w:val="20"/>
                <w:color w:val="auto"/>
              </w:rPr>
            </w:pPr>
            <w:r>
              <w:rPr>
                <w:rFonts w:ascii="Arial" w:cs="Arial" w:eastAsia="Arial" w:hAnsi="Arial"/>
                <w:sz w:val="18"/>
                <w:szCs w:val="18"/>
                <w:color w:val="auto"/>
              </w:rPr>
              <w:t>Net receipts from restricted funds, business divestitures, asset sales and other</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439"/>
        </w:trPr>
        <w:tc>
          <w:tcPr>
            <w:tcW w:w="80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New borrowings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00"/>
              <w:spacing w:after="0"/>
              <w:rPr>
                <w:sz w:val="20"/>
                <w:szCs w:val="20"/>
                <w:color w:val="auto"/>
              </w:rPr>
            </w:pPr>
            <w:r>
              <w:rPr>
                <w:rFonts w:ascii="Arial" w:cs="Arial" w:eastAsia="Arial" w:hAnsi="Arial"/>
                <w:sz w:val="18"/>
                <w:szCs w:val="18"/>
                <w:color w:val="auto"/>
              </w:rPr>
              <w:t>Debt repayments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repurchases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00"/>
              <w:spacing w:after="0"/>
              <w:rPr>
                <w:sz w:val="20"/>
                <w:szCs w:val="20"/>
                <w:color w:val="auto"/>
              </w:rPr>
            </w:pPr>
            <w:r>
              <w:rPr>
                <w:rFonts w:ascii="Arial" w:cs="Arial" w:eastAsia="Arial" w:hAnsi="Arial"/>
                <w:sz w:val="18"/>
                <w:szCs w:val="18"/>
                <w:color w:val="auto"/>
              </w:rPr>
              <w:t>Cash dividends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Exercise of common stock options and warrants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8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2005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5"/>
              </w:rPr>
              <w:t>Quarters Ended</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5"/>
          </w:tcPr>
          <w:p>
            <w:pPr>
              <w:jc w:val="right"/>
              <w:ind w:right="480"/>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0"/>
                <w:szCs w:val="10"/>
                <w:color w:val="auto"/>
              </w:rPr>
            </w:pPr>
          </w:p>
        </w:tc>
        <w:tc>
          <w:tcPr>
            <w:tcW w:w="1120" w:type="dxa"/>
            <w:vAlign w:val="bottom"/>
            <w:gridSpan w:val="5"/>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34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4"/>
          </w:tcPr>
          <w:p>
            <w:pPr>
              <w:jc w:val="center"/>
              <w:ind w:left="253"/>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298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gridSpan w:val="6"/>
          </w:tcPr>
          <w:p>
            <w:pPr>
              <w:ind w:left="400"/>
              <w:spacing w:after="0"/>
              <w:rPr>
                <w:sz w:val="20"/>
                <w:szCs w:val="20"/>
                <w:color w:val="auto"/>
              </w:rPr>
            </w:pPr>
            <w:r>
              <w:rPr>
                <w:rFonts w:ascii="Arial" w:cs="Arial" w:eastAsia="Arial" w:hAnsi="Arial"/>
                <w:sz w:val="18"/>
                <w:szCs w:val="18"/>
                <w:color w:val="auto"/>
              </w:rPr>
              <w:t>NASW:</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Collection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2,057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ind w:left="600"/>
              <w:spacing w:after="0"/>
              <w:rPr>
                <w:sz w:val="20"/>
                <w:szCs w:val="20"/>
                <w:color w:val="auto"/>
              </w:rPr>
            </w:pPr>
            <w:r>
              <w:rPr>
                <w:rFonts w:ascii="Arial" w:cs="Arial" w:eastAsia="Arial" w:hAnsi="Arial"/>
                <w:sz w:val="18"/>
                <w:szCs w:val="18"/>
                <w:color w:val="auto"/>
              </w:rPr>
              <w:t>Landfill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Transfer</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ind w:left="600"/>
              <w:spacing w:after="0"/>
              <w:rPr>
                <w:sz w:val="20"/>
                <w:szCs w:val="20"/>
                <w:color w:val="auto"/>
              </w:rPr>
            </w:pPr>
            <w:r>
              <w:rPr>
                <w:rFonts w:ascii="Arial" w:cs="Arial" w:eastAsia="Arial" w:hAnsi="Arial"/>
                <w:sz w:val="18"/>
                <w:szCs w:val="18"/>
                <w:color w:val="auto"/>
              </w:rPr>
              <w:t>Wheelabrator</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Recycling and other</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ind w:left="600"/>
              <w:spacing w:after="0"/>
              <w:rPr>
                <w:sz w:val="20"/>
                <w:szCs w:val="20"/>
                <w:color w:val="auto"/>
              </w:rPr>
            </w:pPr>
            <w:r>
              <w:rPr>
                <w:rFonts w:ascii="Arial" w:cs="Arial" w:eastAsia="Arial" w:hAnsi="Arial"/>
                <w:sz w:val="18"/>
                <w:szCs w:val="18"/>
                <w:color w:val="auto"/>
              </w:rPr>
              <w:t>Intercompany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(571)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shd w:val="clear" w:color="auto" w:fill="CCEEFF"/>
          </w:tcPr>
          <w:p>
            <w:pPr>
              <w:ind w:left="800"/>
              <w:spacing w:after="0"/>
              <w:rPr>
                <w:sz w:val="20"/>
                <w:szCs w:val="20"/>
                <w:color w:val="auto"/>
              </w:rPr>
            </w:pPr>
            <w:r>
              <w:rPr>
                <w:rFonts w:ascii="Arial" w:cs="Arial" w:eastAsia="Arial" w:hAnsi="Arial"/>
                <w:sz w:val="18"/>
                <w:szCs w:val="18"/>
                <w:color w:val="auto"/>
              </w:rPr>
              <w:t>Operating revenues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3,038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60" w:type="dxa"/>
            <w:vAlign w:val="bottom"/>
            <w:gridSpan w:val="7"/>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Internal growth</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8"/>
          </w:tcPr>
          <w:p>
            <w:pPr>
              <w:ind w:left="400"/>
              <w:spacing w:after="0"/>
              <w:rPr>
                <w:sz w:val="20"/>
                <w:szCs w:val="20"/>
                <w:color w:val="auto"/>
              </w:rPr>
            </w:pPr>
            <w:r>
              <w:rPr>
                <w:rFonts w:ascii="Arial" w:cs="Arial" w:eastAsia="Arial" w:hAnsi="Arial"/>
                <w:sz w:val="18"/>
                <w:szCs w:val="18"/>
                <w:color w:val="auto"/>
                <w:w w:val="91"/>
              </w:rPr>
              <w:t>Less: Yield changes due to recycling commodities, electricity (IPP) and fuel surcharge</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shd w:val="clear" w:color="auto" w:fill="CCEEFF"/>
          </w:tcPr>
          <w:p>
            <w:pPr>
              <w:ind w:left="800"/>
              <w:spacing w:after="0"/>
              <w:rPr>
                <w:sz w:val="20"/>
                <w:szCs w:val="20"/>
                <w:color w:val="auto"/>
              </w:rPr>
            </w:pPr>
            <w:r>
              <w:rPr>
                <w:rFonts w:ascii="Arial" w:cs="Arial" w:eastAsia="Arial" w:hAnsi="Arial"/>
                <w:sz w:val="18"/>
                <w:szCs w:val="18"/>
                <w:color w:val="auto"/>
              </w:rPr>
              <w:t>Adjusted internal growth</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16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Acquisition Summary (a)</w:t>
            </w: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60" w:type="dxa"/>
            <w:vAlign w:val="bottom"/>
            <w:gridSpan w:val="7"/>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Gross annualized revenue acquired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140" w:type="dxa"/>
            <w:vAlign w:val="bottom"/>
            <w:gridSpan w:val="6"/>
          </w:tcPr>
          <w:p>
            <w:pPr>
              <w:ind w:left="400"/>
              <w:spacing w:after="0"/>
              <w:rPr>
                <w:sz w:val="20"/>
                <w:szCs w:val="20"/>
                <w:color w:val="auto"/>
              </w:rPr>
            </w:pPr>
            <w:r>
              <w:rPr>
                <w:rFonts w:ascii="Arial" w:cs="Arial" w:eastAsia="Arial" w:hAnsi="Arial"/>
                <w:sz w:val="18"/>
                <w:szCs w:val="18"/>
                <w:color w:val="auto"/>
              </w:rPr>
              <w:t>Total consideration</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4"/>
                <w:szCs w:val="24"/>
                <w:color w:val="auto"/>
              </w:rPr>
            </w:pPr>
          </w:p>
        </w:tc>
        <w:tc>
          <w:tcPr>
            <w:tcW w:w="46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Cash paid for acquisitions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Recycling Segment Supplemental Data (b)</w:t>
            </w: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60" w:type="dxa"/>
            <w:vAlign w:val="bottom"/>
            <w:gridSpan w:val="7"/>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140" w:type="dxa"/>
            <w:vAlign w:val="bottom"/>
            <w:gridSpan w:val="6"/>
          </w:tcPr>
          <w:p>
            <w:pPr>
              <w:ind w:left="400"/>
              <w:spacing w:after="0"/>
              <w:rPr>
                <w:sz w:val="20"/>
                <w:szCs w:val="20"/>
                <w:color w:val="auto"/>
              </w:rPr>
            </w:pPr>
            <w:r>
              <w:rPr>
                <w:rFonts w:ascii="Arial" w:cs="Arial" w:eastAsia="Arial" w:hAnsi="Arial"/>
                <w:sz w:val="18"/>
                <w:szCs w:val="18"/>
                <w:color w:val="auto"/>
              </w:rPr>
              <w:t>Operating expenses (exclusive of depreciation and amortization)</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24"/>
                <w:szCs w:val="24"/>
                <w:color w:val="auto"/>
              </w:rPr>
            </w:pPr>
          </w:p>
        </w:tc>
        <w:tc>
          <w:tcPr>
            <w:tcW w:w="46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9"/>
              </w:rPr>
              <w:t>Quarters Ended June 30,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Free Cash Flow Analysis (c)</w:t>
            </w:r>
          </w:p>
        </w:tc>
        <w:tc>
          <w:tcPr>
            <w:tcW w:w="4000" w:type="dxa"/>
            <w:vAlign w:val="bottom"/>
            <w:tcBorders>
              <w:bottom w:val="single" w:sz="8" w:color="CCEEFF"/>
            </w:tcBorders>
            <w:gridSpan w:val="4"/>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160" w:type="dxa"/>
            <w:vAlign w:val="bottom"/>
            <w:gridSpan w:val="7"/>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595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549</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1,103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(493)</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gridSpan w:val="6"/>
          </w:tcPr>
          <w:p>
            <w:pPr>
              <w:spacing w:after="0" w:line="201" w:lineRule="exact"/>
              <w:rPr>
                <w:sz w:val="20"/>
                <w:szCs w:val="20"/>
                <w:color w:val="auto"/>
              </w:rPr>
            </w:pPr>
            <w:r>
              <w:rPr>
                <w:rFonts w:ascii="Arial" w:cs="Arial" w:eastAsia="Arial" w:hAnsi="Arial"/>
                <w:sz w:val="18"/>
                <w:szCs w:val="18"/>
                <w:color w:val="auto"/>
                <w:w w:val="93"/>
              </w:rPr>
              <w:t>Proceeds from divestitures of businesses, net of cash divested, and other sales of</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6"/>
          </w:tcPr>
          <w:p>
            <w:pPr>
              <w:ind w:left="200"/>
              <w:spacing w:after="0"/>
              <w:rPr>
                <w:sz w:val="20"/>
                <w:szCs w:val="20"/>
                <w:color w:val="auto"/>
              </w:rPr>
            </w:pPr>
            <w:r>
              <w:rPr>
                <w:rFonts w:ascii="Arial" w:cs="Arial" w:eastAsia="Arial" w:hAnsi="Arial"/>
                <w:sz w:val="18"/>
                <w:szCs w:val="18"/>
                <w:color w:val="auto"/>
              </w:rPr>
              <w:t>assets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130" w:lineRule="exact"/>
        <w:rPr>
          <w:rFonts w:ascii="Arial" w:cs="Arial" w:eastAsia="Arial" w:hAnsi="Arial"/>
          <w:sz w:val="18"/>
          <w:szCs w:val="18"/>
          <w:color w:val="auto"/>
        </w:rPr>
      </w:pPr>
    </w:p>
    <w:p>
      <w:pPr>
        <w:ind w:left="340" w:right="12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 Our current free cash flow forecast confirms our expectations that full-year 2005 free cash flow will be in the range of $1.1 billion to $1.2 billion, based on estimated net cash provided by operating activities in the range of $2.25 billion to $2.35 billion, capital expenditures of between $1.25 billion and $1.35 billion, and proceeds from divestitures, net of cash divested and other sales of assets of $125 million to $150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2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0"/>
                <w:szCs w:val="10"/>
                <w:color w:val="auto"/>
              </w:rPr>
            </w:pPr>
          </w:p>
        </w:tc>
        <w:tc>
          <w:tcPr>
            <w:tcW w:w="11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Balance Sheet Data</w:t>
            </w:r>
          </w:p>
        </w:tc>
        <w:tc>
          <w:tcPr>
            <w:tcW w:w="628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7780" w:type="dxa"/>
            <w:vAlign w:val="bottom"/>
            <w:gridSpan w:val="5"/>
          </w:tcPr>
          <w:p>
            <w:pPr>
              <w:spacing w:after="0"/>
              <w:rPr>
                <w:sz w:val="20"/>
                <w:szCs w:val="20"/>
                <w:color w:val="auto"/>
              </w:rPr>
            </w:pPr>
            <w:r>
              <w:rPr>
                <w:rFonts w:ascii="Arial" w:cs="Arial" w:eastAsia="Arial" w:hAnsi="Arial"/>
                <w:sz w:val="18"/>
                <w:szCs w:val="18"/>
                <w:color w:val="auto"/>
              </w:rPr>
              <w:t>Cash and cash equivalents (a)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tcPr>
          <w:p>
            <w:pPr>
              <w:ind w:left="400"/>
              <w:spacing w:after="0"/>
              <w:rPr>
                <w:sz w:val="20"/>
                <w:szCs w:val="20"/>
                <w:color w:val="auto"/>
              </w:rPr>
            </w:pPr>
            <w:r>
              <w:rPr>
                <w:rFonts w:ascii="Arial" w:cs="Arial" w:eastAsia="Arial" w:hAnsi="Arial"/>
                <w:sz w:val="18"/>
                <w:szCs w:val="18"/>
                <w:color w:val="auto"/>
              </w:rPr>
              <w:t>Long-term indebtedness, including 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8,431</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8,386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Total equity (a)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5,943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4"/>
          </w:tcPr>
          <w:p>
            <w:pPr>
              <w:ind w:left="600"/>
              <w:spacing w:after="0"/>
              <w:rPr>
                <w:sz w:val="20"/>
                <w:szCs w:val="20"/>
                <w:color w:val="auto"/>
              </w:rPr>
            </w:pPr>
            <w:r>
              <w:rPr>
                <w:rFonts w:ascii="Arial" w:cs="Arial" w:eastAsia="Arial" w:hAnsi="Arial"/>
                <w:sz w:val="18"/>
                <w:szCs w:val="18"/>
                <w:color w:val="auto"/>
              </w:rPr>
              <w:t>Total capital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14,628</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14,329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Debt-to-total capital (a)</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5"/>
          </w:tcPr>
          <w:p>
            <w:pPr>
              <w:spacing w:after="0"/>
              <w:rPr>
                <w:sz w:val="20"/>
                <w:szCs w:val="20"/>
                <w:color w:val="auto"/>
              </w:rPr>
            </w:pPr>
            <w:r>
              <w:rPr>
                <w:rFonts w:ascii="Arial" w:cs="Arial" w:eastAsia="Arial" w:hAnsi="Arial"/>
                <w:sz w:val="18"/>
                <w:szCs w:val="18"/>
                <w:color w:val="auto"/>
              </w:rPr>
              <w:t>Capitalized interest (b)</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Other Operational Data</w:t>
            </w:r>
          </w:p>
        </w:tc>
        <w:tc>
          <w:tcPr>
            <w:tcW w:w="592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780" w:type="dxa"/>
            <w:vAlign w:val="bottom"/>
            <w:gridSpan w:val="5"/>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65.3%</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65.1%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 (a)</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Total waste-to-energy disposal volumes (tons in millions) (a)</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Total disposal volumes (tons in millions)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5"/>
          </w:tcPr>
          <w:p>
            <w:pPr>
              <w:spacing w:after="0"/>
              <w:rPr>
                <w:sz w:val="20"/>
                <w:szCs w:val="20"/>
                <w:color w:val="auto"/>
              </w:rPr>
            </w:pPr>
            <w:r>
              <w:rPr>
                <w:rFonts w:ascii="Arial" w:cs="Arial" w:eastAsia="Arial" w:hAnsi="Arial"/>
                <w:sz w:val="18"/>
                <w:szCs w:val="18"/>
                <w:color w:val="auto"/>
              </w:rPr>
              <w:t>Active landfills</w:t>
            </w:r>
          </w:p>
        </w:tc>
        <w:tc>
          <w:tcPr>
            <w:tcW w:w="1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286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77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78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7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1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Total amortization expense</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period information has been reclassified to conform to 2005 presentation.</w:t>
      </w:r>
    </w:p>
    <w:p>
      <w:pPr>
        <w:spacing w:after="0" w:line="130"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 ended June 30, 2005 includes the reversal of $5 million of previously recorded capitalized interest associated with certain projects that did not qualify for interest capitalization.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Roman"/>
      <w:start w:val="2"/>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2019-12-11T21:28:31Z</dcterms:created>
  <dcterms:modified xsi:type="dcterms:W3CDTF">2019-12-11T21:28:31Z</dcterms:modified>
</cp:coreProperties>
</file>