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60" w:right="2239" w:hanging="4948"/>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FEBRUARY 4, 2000 REGISTRATION NO. 333-80063</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21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8"/>
          <w:szCs w:val="18"/>
          <w:color w:val="auto"/>
        </w:rPr>
        <w:t>POST-EFFECTIVE AMENDMENT NO. 1 TO</w:t>
      </w:r>
    </w:p>
    <w:p>
      <w:pPr>
        <w:jc w:val="center"/>
        <w:ind w:right="2119"/>
        <w:spacing w:after="0" w:line="238" w:lineRule="auto"/>
        <w:rPr>
          <w:sz w:val="20"/>
          <w:szCs w:val="20"/>
          <w:color w:val="auto"/>
        </w:rPr>
      </w:pPr>
      <w:r>
        <w:rPr>
          <w:rFonts w:ascii="Courier New" w:cs="Courier New" w:eastAsia="Courier New" w:hAnsi="Courier New"/>
          <w:sz w:val="18"/>
          <w:szCs w:val="18"/>
          <w:color w:val="auto"/>
        </w:rPr>
        <w:t>FORM S-3</w:t>
      </w:r>
    </w:p>
    <w:p>
      <w:pPr>
        <w:spacing w:after="0" w:line="201"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8"/>
          <w:szCs w:val="18"/>
          <w:color w:val="auto"/>
        </w:rPr>
        <w:t>REGISTRATION STATEMENT</w:t>
      </w:r>
    </w:p>
    <w:p>
      <w:pPr>
        <w:jc w:val="center"/>
        <w:ind w:right="2119"/>
        <w:spacing w:after="0" w:line="238" w:lineRule="auto"/>
        <w:rPr>
          <w:sz w:val="20"/>
          <w:szCs w:val="20"/>
          <w:color w:val="auto"/>
        </w:rPr>
      </w:pPr>
      <w:r>
        <w:rPr>
          <w:rFonts w:ascii="Courier New" w:cs="Courier New" w:eastAsia="Courier New" w:hAnsi="Courier New"/>
          <w:sz w:val="18"/>
          <w:szCs w:val="18"/>
          <w:color w:val="auto"/>
        </w:rPr>
        <w:t>UNDER THE SECURITIES ACT OF 1933</w:t>
      </w:r>
    </w:p>
    <w:p>
      <w:pPr>
        <w:spacing w:after="0" w:line="200" w:lineRule="exact"/>
        <w:rPr>
          <w:sz w:val="24"/>
          <w:szCs w:val="24"/>
          <w:color w:val="auto"/>
        </w:rPr>
      </w:pPr>
    </w:p>
    <w:p>
      <w:pPr>
        <w:spacing w:after="0" w:line="204"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8"/>
          <w:szCs w:val="18"/>
          <w:color w:val="auto"/>
        </w:rPr>
        <w:t>WASTE MANAGEMENT, INC.</w:t>
      </w:r>
    </w:p>
    <w:p>
      <w:pPr>
        <w:jc w:val="center"/>
        <w:ind w:right="2119"/>
        <w:spacing w:after="0" w:line="238" w:lineRule="auto"/>
        <w:rPr>
          <w:sz w:val="20"/>
          <w:szCs w:val="20"/>
          <w:color w:val="auto"/>
        </w:rPr>
      </w:pPr>
      <w:r>
        <w:rPr>
          <w:rFonts w:ascii="Courier New" w:cs="Courier New" w:eastAsia="Courier New" w:hAnsi="Courier New"/>
          <w:sz w:val="18"/>
          <w:szCs w:val="18"/>
          <w:color w:val="auto"/>
        </w:rPr>
        <w:t>------------------------------------------------------</w:t>
      </w:r>
    </w:p>
    <w:p>
      <w:pPr>
        <w:jc w:val="center"/>
        <w:ind w:right="211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139"/>
          </w:cols>
          <w:pgMar w:left="320" w:top="655" w:right="1440" w:bottom="416" w:gutter="0" w:footer="0" w:header="0"/>
        </w:sectPr>
      </w:pP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73-1309529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(I.R.S. Employer</w:t>
      </w:r>
    </w:p>
    <w:p>
      <w:pPr>
        <w:ind w:left="42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4020" w:space="720"/>
            <w:col w:w="5399"/>
          </w:cols>
          <w:pgMar w:left="320" w:top="655" w:right="1440" w:bottom="416" w:gutter="0" w:footer="0" w:header="0"/>
          <w:type w:val="continuous"/>
        </w:sectPr>
      </w:pPr>
    </w:p>
    <w:p>
      <w:pPr>
        <w:spacing w:after="0" w:line="204"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8"/>
          <w:szCs w:val="18"/>
          <w:color w:val="auto"/>
        </w:rPr>
        <w:t>1001 FANNIN STREET, SUITE 4000</w:t>
      </w:r>
    </w:p>
    <w:p>
      <w:pPr>
        <w:jc w:val="center"/>
        <w:ind w:right="2119"/>
        <w:spacing w:after="0" w:line="238" w:lineRule="auto"/>
        <w:rPr>
          <w:sz w:val="20"/>
          <w:szCs w:val="20"/>
          <w:color w:val="auto"/>
        </w:rPr>
      </w:pPr>
      <w:r>
        <w:rPr>
          <w:rFonts w:ascii="Courier New" w:cs="Courier New" w:eastAsia="Courier New" w:hAnsi="Courier New"/>
          <w:sz w:val="18"/>
          <w:szCs w:val="18"/>
          <w:color w:val="auto"/>
        </w:rPr>
        <w:t>HOUSTON, TEXAS 77002</w:t>
      </w:r>
    </w:p>
    <w:p>
      <w:pPr>
        <w:jc w:val="center"/>
        <w:ind w:right="2119"/>
        <w:spacing w:after="0" w:line="238" w:lineRule="auto"/>
        <w:rPr>
          <w:sz w:val="20"/>
          <w:szCs w:val="20"/>
          <w:color w:val="auto"/>
        </w:rPr>
      </w:pPr>
      <w:r>
        <w:rPr>
          <w:rFonts w:ascii="Courier New" w:cs="Courier New" w:eastAsia="Courier New" w:hAnsi="Courier New"/>
          <w:sz w:val="18"/>
          <w:szCs w:val="18"/>
          <w:color w:val="auto"/>
        </w:rPr>
        <w:t>(713) 512-6200</w:t>
      </w:r>
    </w:p>
    <w:p>
      <w:pPr>
        <w:jc w:val="center"/>
        <w:ind w:right="2239"/>
        <w:spacing w:after="0"/>
        <w:rPr>
          <w:sz w:val="20"/>
          <w:szCs w:val="20"/>
          <w:color w:val="auto"/>
        </w:rPr>
      </w:pPr>
      <w:r>
        <w:rPr>
          <w:rFonts w:ascii="Courier New" w:cs="Courier New" w:eastAsia="Courier New" w:hAnsi="Courier New"/>
          <w:sz w:val="18"/>
          <w:szCs w:val="18"/>
          <w:color w:val="auto"/>
        </w:rPr>
        <w:t>(Address, including zip code, and telephone number, including</w:t>
      </w:r>
    </w:p>
    <w:p>
      <w:pPr>
        <w:jc w:val="center"/>
        <w:ind w:right="2239"/>
        <w:spacing w:after="0" w:line="237" w:lineRule="auto"/>
        <w:rPr>
          <w:sz w:val="20"/>
          <w:szCs w:val="20"/>
          <w:color w:val="auto"/>
        </w:rPr>
      </w:pPr>
      <w:r>
        <w:rPr>
          <w:rFonts w:ascii="Courier New" w:cs="Courier New" w:eastAsia="Courier New" w:hAnsi="Courier New"/>
          <w:sz w:val="18"/>
          <w:szCs w:val="18"/>
          <w:color w:val="auto"/>
        </w:rPr>
        <w:t>area code, of Registrant's principal executive offices)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BRYAN J. BLANKFIELD</w:t>
      </w:r>
    </w:p>
    <w:p>
      <w:pPr>
        <w:ind w:left="2640"/>
        <w:spacing w:after="0" w:line="238" w:lineRule="auto"/>
        <w:rPr>
          <w:sz w:val="20"/>
          <w:szCs w:val="20"/>
          <w:color w:val="auto"/>
        </w:rPr>
      </w:pPr>
      <w:r>
        <w:rPr>
          <w:rFonts w:ascii="Courier New" w:cs="Courier New" w:eastAsia="Courier New" w:hAnsi="Courier New"/>
          <w:sz w:val="18"/>
          <w:szCs w:val="18"/>
          <w:color w:val="auto"/>
        </w:rPr>
        <w:t>ASSISTANT GENERAL COUNSEL</w:t>
      </w:r>
    </w:p>
    <w:p>
      <w:pPr>
        <w:ind w:left="2420"/>
        <w:spacing w:after="0" w:line="238" w:lineRule="auto"/>
        <w:rPr>
          <w:sz w:val="20"/>
          <w:szCs w:val="20"/>
          <w:color w:val="auto"/>
        </w:rPr>
      </w:pPr>
      <w:r>
        <w:rPr>
          <w:rFonts w:ascii="Courier New" w:cs="Courier New" w:eastAsia="Courier New" w:hAnsi="Courier New"/>
          <w:sz w:val="18"/>
          <w:szCs w:val="18"/>
          <w:color w:val="auto"/>
        </w:rPr>
        <w:t>1001 FANNIN STREET, SUITE 4000</w:t>
      </w:r>
    </w:p>
    <w:p>
      <w:pPr>
        <w:ind w:left="2960"/>
        <w:spacing w:after="0"/>
        <w:rPr>
          <w:sz w:val="20"/>
          <w:szCs w:val="20"/>
          <w:color w:val="auto"/>
        </w:rPr>
      </w:pPr>
      <w:r>
        <w:rPr>
          <w:rFonts w:ascii="Courier New" w:cs="Courier New" w:eastAsia="Courier New" w:hAnsi="Courier New"/>
          <w:sz w:val="18"/>
          <w:szCs w:val="18"/>
          <w:color w:val="auto"/>
        </w:rPr>
        <w:t>HOUSTON, TEXAS 77002</w:t>
      </w:r>
    </w:p>
    <w:p>
      <w:pPr>
        <w:ind w:left="3280"/>
        <w:spacing w:after="0" w:line="237" w:lineRule="auto"/>
        <w:rPr>
          <w:sz w:val="20"/>
          <w:szCs w:val="20"/>
          <w:color w:val="auto"/>
        </w:rPr>
      </w:pPr>
      <w:r>
        <w:rPr>
          <w:rFonts w:ascii="Courier New" w:cs="Courier New" w:eastAsia="Courier New" w:hAnsi="Courier New"/>
          <w:sz w:val="18"/>
          <w:szCs w:val="18"/>
          <w:color w:val="auto"/>
        </w:rPr>
        <w:t>(713) 512-6200</w:t>
      </w:r>
    </w:p>
    <w:p>
      <w:pPr>
        <w:spacing w:after="0" w:line="5" w:lineRule="exact"/>
        <w:rPr>
          <w:sz w:val="24"/>
          <w:szCs w:val="24"/>
          <w:color w:val="auto"/>
        </w:rPr>
      </w:pPr>
    </w:p>
    <w:p>
      <w:pPr>
        <w:ind w:left="1800" w:right="3179" w:hanging="841"/>
        <w:spacing w:after="0" w:line="290"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agent for service)</w:t>
      </w:r>
    </w:p>
    <w:p>
      <w:pPr>
        <w:spacing w:after="0" w:line="372" w:lineRule="exact"/>
        <w:rPr>
          <w:sz w:val="24"/>
          <w:szCs w:val="24"/>
          <w:color w:val="auto"/>
        </w:rPr>
      </w:pPr>
    </w:p>
    <w:p>
      <w:pPr>
        <w:ind w:right="2239" w:firstLine="632"/>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208" w:lineRule="exact"/>
        <w:rPr>
          <w:sz w:val="24"/>
          <w:szCs w:val="24"/>
          <w:color w:val="auto"/>
        </w:rPr>
      </w:pPr>
    </w:p>
    <w:p>
      <w:pPr>
        <w:ind w:right="2439" w:firstLine="632"/>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8" w:lineRule="exact"/>
        <w:rPr>
          <w:sz w:val="24"/>
          <w:szCs w:val="24"/>
          <w:color w:val="auto"/>
        </w:rPr>
      </w:pPr>
    </w:p>
    <w:p>
      <w:pPr>
        <w:ind w:right="2339" w:firstLine="632"/>
        <w:spacing w:after="0" w:line="275"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82" w:lineRule="exact"/>
        <w:rPr>
          <w:sz w:val="24"/>
          <w:szCs w:val="24"/>
          <w:color w:val="auto"/>
        </w:rPr>
      </w:pPr>
    </w:p>
    <w:p>
      <w:pPr>
        <w:ind w:right="2239" w:firstLine="632"/>
        <w:spacing w:after="0" w:line="275"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2" w:lineRule="exact"/>
        <w:rPr>
          <w:sz w:val="24"/>
          <w:szCs w:val="24"/>
          <w:color w:val="auto"/>
        </w:rPr>
      </w:pPr>
    </w:p>
    <w:p>
      <w:pPr>
        <w:ind w:right="2659" w:firstLine="632"/>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207" w:lineRule="exact"/>
        <w:rPr>
          <w:sz w:val="24"/>
          <w:szCs w:val="24"/>
          <w:color w:val="auto"/>
        </w:rPr>
      </w:pPr>
    </w:p>
    <w:p>
      <w:pPr>
        <w:ind w:right="2239" w:firstLine="632"/>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208" w:lineRule="exact"/>
        <w:rPr>
          <w:sz w:val="24"/>
          <w:szCs w:val="24"/>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0139"/>
          </w:cols>
          <w:pgMar w:left="320" w:top="655" w:right="1440" w:bottom="416" w:gutter="0" w:footer="0" w:header="0"/>
          <w:type w:val="continuous"/>
        </w:sectPr>
      </w:pPr>
    </w:p>
    <w:bookmarkStart w:id="1" w:name="page2"/>
    <w:bookmarkEnd w:id="1"/>
    <w:p>
      <w:pPr>
        <w:ind w:left="1580"/>
        <w:spacing w:after="0"/>
        <w:rPr>
          <w:sz w:val="20"/>
          <w:szCs w:val="20"/>
          <w:color w:val="auto"/>
        </w:rPr>
      </w:pPr>
      <w:r>
        <w:rPr>
          <w:rFonts w:ascii="Courier New" w:cs="Courier New" w:eastAsia="Courier New" w:hAnsi="Courier New"/>
          <w:sz w:val="18"/>
          <w:szCs w:val="18"/>
          <w:color w:val="auto"/>
        </w:rPr>
        <w:t>SUBJECT TO COMPLETION, DATED FEBRUARY 4,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8"/>
          <w:szCs w:val="18"/>
          <w:color w:val="auto"/>
        </w:rPr>
        <w:t>$3,000,000,000</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DEBT SECURITIES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We may offer from time to time</w:t>
      </w:r>
    </w:p>
    <w:p>
      <w:pPr>
        <w:spacing w:after="0" w:line="201" w:lineRule="exact"/>
        <w:rPr>
          <w:sz w:val="20"/>
          <w:szCs w:val="20"/>
          <w:color w:val="auto"/>
        </w:rPr>
      </w:pPr>
    </w:p>
    <w:p>
      <w:pPr>
        <w:ind w:left="2000" w:hanging="728"/>
        <w:spacing w:after="0"/>
        <w:tabs>
          <w:tab w:leader="none" w:pos="20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w:t>
      </w:r>
    </w:p>
    <w:p>
      <w:pPr>
        <w:spacing w:after="0" w:line="201" w:lineRule="exact"/>
        <w:rPr>
          <w:sz w:val="20"/>
          <w:szCs w:val="20"/>
          <w:color w:val="auto"/>
        </w:rPr>
      </w:pPr>
    </w:p>
    <w:p>
      <w:pPr>
        <w:ind w:left="1900" w:hanging="73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our common stock</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Our shares of common stock are listed on the New York Stock Exchange under the symbol "WMI."</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CONSIDER CAREFULLY THE RISK FACTORS BEGINNING ON PAGE 4.</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We will provide a prospectus supplement each time we issue the securities covered by this prospectus. The prospectus supplement will provide specific information about the terms of that offering and also may add, update or change information contained in this prospectus.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You should read this prospectus and the related prospectus supplement carefully before you invest in our securities. This prospectus may not be used to offer and sell our securities unless accompanied by a prospectus supplement.</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09"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DATE OF THIS PROSPECTUS IS _______________,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8"/>
          <w:szCs w:val="18"/>
          <w:color w:val="auto"/>
        </w:rPr>
        <w:t>Where To Find More Information</w:t>
      </w:r>
      <w:r>
        <w:rPr>
          <w:sz w:val="20"/>
          <w:szCs w:val="20"/>
          <w:color w:val="auto"/>
        </w:rPr>
        <w:tab/>
      </w:r>
      <w:r>
        <w:rPr>
          <w:rFonts w:ascii="Courier New" w:cs="Courier New" w:eastAsia="Courier New" w:hAnsi="Courier New"/>
          <w:sz w:val="16"/>
          <w:szCs w:val="16"/>
          <w:color w:val="auto"/>
        </w:rPr>
        <w:t>2</w:t>
      </w:r>
    </w:p>
    <w:p>
      <w:pPr>
        <w:spacing w:after="0"/>
        <w:tabs>
          <w:tab w:leader="dot" w:pos="7780" w:val="left"/>
        </w:tabs>
        <w:rPr>
          <w:sz w:val="20"/>
          <w:szCs w:val="20"/>
          <w:color w:val="auto"/>
        </w:rPr>
      </w:pPr>
      <w:r>
        <w:rPr>
          <w:rFonts w:ascii="Courier New" w:cs="Courier New" w:eastAsia="Courier New" w:hAnsi="Courier New"/>
          <w:sz w:val="18"/>
          <w:szCs w:val="18"/>
          <w:color w:val="auto"/>
        </w:rPr>
        <w:t>Our Company</w:t>
      </w:r>
      <w:r>
        <w:rPr>
          <w:sz w:val="20"/>
          <w:szCs w:val="20"/>
          <w:color w:val="auto"/>
        </w:rPr>
        <w:tab/>
      </w:r>
      <w:r>
        <w:rPr>
          <w:rFonts w:ascii="Courier New" w:cs="Courier New" w:eastAsia="Courier New" w:hAnsi="Courier New"/>
          <w:sz w:val="16"/>
          <w:szCs w:val="16"/>
          <w:color w:val="auto"/>
        </w:rPr>
        <w:t>4</w:t>
      </w:r>
    </w:p>
    <w:p>
      <w:pPr>
        <w:spacing w:after="0"/>
        <w:tabs>
          <w:tab w:leader="dot" w:pos="778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4</w:t>
      </w:r>
    </w:p>
    <w:p>
      <w:pPr>
        <w:spacing w:after="0"/>
        <w:tabs>
          <w:tab w:leader="dot" w:pos="7680" w:val="left"/>
        </w:tabs>
        <w:rPr>
          <w:sz w:val="20"/>
          <w:szCs w:val="20"/>
          <w:color w:val="auto"/>
        </w:rPr>
      </w:pPr>
      <w:r>
        <w:rPr>
          <w:rFonts w:ascii="Courier New" w:cs="Courier New" w:eastAsia="Courier New" w:hAnsi="Courier New"/>
          <w:sz w:val="18"/>
          <w:szCs w:val="18"/>
          <w:color w:val="auto"/>
        </w:rPr>
        <w:t>Special Note Regarding Forward-Looking Statements</w:t>
      </w:r>
      <w:r>
        <w:rPr>
          <w:sz w:val="20"/>
          <w:szCs w:val="20"/>
          <w:color w:val="auto"/>
        </w:rPr>
        <w:tab/>
      </w:r>
      <w:r>
        <w:rPr>
          <w:rFonts w:ascii="Courier New" w:cs="Courier New" w:eastAsia="Courier New" w:hAnsi="Courier New"/>
          <w:sz w:val="16"/>
          <w:szCs w:val="16"/>
          <w:color w:val="auto"/>
        </w:rPr>
        <w:t>11</w:t>
      </w:r>
    </w:p>
    <w:p>
      <w:pPr>
        <w:spacing w:after="0"/>
        <w:tabs>
          <w:tab w:leader="dot" w:pos="768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12</w:t>
      </w:r>
    </w:p>
    <w:p>
      <w:pPr>
        <w:spacing w:after="0"/>
        <w:tabs>
          <w:tab w:leader="dot" w:pos="7680" w:val="left"/>
        </w:tabs>
        <w:rPr>
          <w:sz w:val="20"/>
          <w:szCs w:val="20"/>
          <w:color w:val="auto"/>
        </w:rPr>
      </w:pPr>
      <w:r>
        <w:rPr>
          <w:rFonts w:ascii="Courier New" w:cs="Courier New" w:eastAsia="Courier New" w:hAnsi="Courier New"/>
          <w:sz w:val="18"/>
          <w:szCs w:val="18"/>
          <w:color w:val="auto"/>
        </w:rPr>
        <w:t>Ratios of Earnings to Fixed Charges</w:t>
      </w:r>
      <w:r>
        <w:rPr>
          <w:sz w:val="20"/>
          <w:szCs w:val="20"/>
          <w:color w:val="auto"/>
        </w:rPr>
        <w:tab/>
      </w:r>
      <w:r>
        <w:rPr>
          <w:rFonts w:ascii="Courier New" w:cs="Courier New" w:eastAsia="Courier New" w:hAnsi="Courier New"/>
          <w:sz w:val="16"/>
          <w:szCs w:val="16"/>
          <w:color w:val="auto"/>
        </w:rPr>
        <w:t>12</w:t>
      </w:r>
    </w:p>
    <w:p>
      <w:pPr>
        <w:spacing w:after="0"/>
        <w:tabs>
          <w:tab w:leader="dot" w:pos="7680" w:val="left"/>
        </w:tabs>
        <w:rPr>
          <w:sz w:val="20"/>
          <w:szCs w:val="20"/>
          <w:color w:val="auto"/>
        </w:rPr>
      </w:pPr>
      <w:r>
        <w:rPr>
          <w:rFonts w:ascii="Courier New" w:cs="Courier New" w:eastAsia="Courier New" w:hAnsi="Courier New"/>
          <w:sz w:val="18"/>
          <w:szCs w:val="18"/>
          <w:color w:val="auto"/>
        </w:rPr>
        <w:t>Description of Debt Securities</w:t>
      </w:r>
      <w:r>
        <w:rPr>
          <w:sz w:val="20"/>
          <w:szCs w:val="20"/>
          <w:color w:val="auto"/>
        </w:rPr>
        <w:tab/>
      </w:r>
      <w:r>
        <w:rPr>
          <w:rFonts w:ascii="Courier New" w:cs="Courier New" w:eastAsia="Courier New" w:hAnsi="Courier New"/>
          <w:sz w:val="16"/>
          <w:szCs w:val="16"/>
          <w:color w:val="auto"/>
        </w:rPr>
        <w:t>13</w:t>
      </w:r>
    </w:p>
    <w:p>
      <w:pPr>
        <w:spacing w:after="0"/>
        <w:tabs>
          <w:tab w:leader="dot" w:pos="7680" w:val="left"/>
        </w:tabs>
        <w:rPr>
          <w:sz w:val="20"/>
          <w:szCs w:val="20"/>
          <w:color w:val="auto"/>
        </w:rPr>
      </w:pPr>
      <w:r>
        <w:rPr>
          <w:rFonts w:ascii="Courier New" w:cs="Courier New" w:eastAsia="Courier New" w:hAnsi="Courier New"/>
          <w:sz w:val="18"/>
          <w:szCs w:val="18"/>
          <w:color w:val="auto"/>
        </w:rPr>
        <w:t>Description of Capital Stock</w:t>
      </w:r>
      <w:r>
        <w:rPr>
          <w:sz w:val="20"/>
          <w:szCs w:val="20"/>
          <w:color w:val="auto"/>
        </w:rPr>
        <w:tab/>
      </w:r>
      <w:r>
        <w:rPr>
          <w:rFonts w:ascii="Courier New" w:cs="Courier New" w:eastAsia="Courier New" w:hAnsi="Courier New"/>
          <w:sz w:val="16"/>
          <w:szCs w:val="16"/>
          <w:color w:val="auto"/>
        </w:rPr>
        <w:t>41</w:t>
      </w:r>
    </w:p>
    <w:p>
      <w:pPr>
        <w:spacing w:after="0"/>
        <w:tabs>
          <w:tab w:leader="dot" w:pos="768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6"/>
          <w:szCs w:val="16"/>
          <w:color w:val="auto"/>
        </w:rPr>
        <w:t>43</w:t>
      </w:r>
    </w:p>
    <w:p>
      <w:pPr>
        <w:spacing w:after="0"/>
        <w:tabs>
          <w:tab w:leader="dot" w:pos="7680" w:val="left"/>
        </w:tabs>
        <w:rPr>
          <w:sz w:val="20"/>
          <w:szCs w:val="20"/>
          <w:color w:val="auto"/>
        </w:rPr>
      </w:pPr>
      <w:r>
        <w:rPr>
          <w:rFonts w:ascii="Courier New" w:cs="Courier New" w:eastAsia="Courier New" w:hAnsi="Courier New"/>
          <w:sz w:val="18"/>
          <w:szCs w:val="18"/>
          <w:color w:val="auto"/>
        </w:rPr>
        <w:t>Validity of Securities</w:t>
      </w:r>
      <w:r>
        <w:rPr>
          <w:sz w:val="20"/>
          <w:szCs w:val="20"/>
          <w:color w:val="auto"/>
        </w:rPr>
        <w:tab/>
      </w:r>
      <w:r>
        <w:rPr>
          <w:rFonts w:ascii="Courier New" w:cs="Courier New" w:eastAsia="Courier New" w:hAnsi="Courier New"/>
          <w:sz w:val="16"/>
          <w:szCs w:val="16"/>
          <w:color w:val="auto"/>
        </w:rPr>
        <w:t>44</w:t>
      </w:r>
    </w:p>
    <w:p>
      <w:pPr>
        <w:spacing w:after="0"/>
        <w:tabs>
          <w:tab w:leader="dot" w:pos="768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44</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WHERE TO FIND MORE INFORMATION</w:t>
      </w:r>
    </w:p>
    <w:p>
      <w:pPr>
        <w:spacing w:after="0" w:line="207"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We have filed with the Securities and Exchange Commission a registration statement on Form S-3 (Reg. No. 333-80063) with respect to the securities we are offering. This prospectus does not contain all the information contained in the registration statement, including its exhibits and schedules. You should refer to the registration statement, including the exhibits and schedules, for further information about us and the securities we are offering. Statements we make in this prospectus about certain contracts or other documents are not necessarily complete. When we</w:t>
      </w:r>
    </w:p>
    <w:p>
      <w:pPr>
        <w:sectPr>
          <w:pgSz w:w="11900" w:h="16838" w:orient="portrait"/>
          <w:cols w:equalWidth="0" w:num="1">
            <w:col w:w="10139"/>
          </w:cols>
          <w:pgMar w:left="320" w:top="946" w:right="1440" w:bottom="0" w:gutter="0" w:footer="0" w:header="0"/>
        </w:sectPr>
      </w:pPr>
    </w:p>
    <w:bookmarkStart w:id="2" w:name="page3"/>
    <w:bookmarkEnd w:id="2"/>
    <w:p>
      <w:pPr>
        <w:ind w:right="2239"/>
        <w:spacing w:after="0" w:line="237" w:lineRule="auto"/>
        <w:rPr>
          <w:sz w:val="20"/>
          <w:szCs w:val="20"/>
          <w:color w:val="auto"/>
        </w:rPr>
      </w:pPr>
      <w:r>
        <w:rPr>
          <w:rFonts w:ascii="Courier New" w:cs="Courier New" w:eastAsia="Courier New" w:hAnsi="Courier New"/>
          <w:sz w:val="18"/>
          <w:szCs w:val="18"/>
          <w:color w:val="auto"/>
        </w:rPr>
        <w:t>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Commission and may be inspected without charge. We file annual, quarterly and current reports, proxy statements and other information with the Commission. Our Commission filings, including the registration statement, are available to the public over the Internet at the SEC's web site at http://www.sec.gov. You can also read and copy any document we file at:</w:t>
      </w:r>
    </w:p>
    <w:p>
      <w:pPr>
        <w:spacing w:after="0" w:line="214" w:lineRule="exact"/>
        <w:rPr>
          <w:sz w:val="20"/>
          <w:szCs w:val="20"/>
          <w:color w:val="auto"/>
        </w:rPr>
      </w:pPr>
    </w:p>
    <w:p>
      <w:pPr>
        <w:ind w:left="1280" w:right="2239" w:hanging="640"/>
        <w:spacing w:after="0" w:line="235"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reference facilities maintained by the Commission at 450 Fifth Street, N.W., Washington, D.C. 20549, and</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regional offices of the Commission located at:</w:t>
      </w:r>
    </w:p>
    <w:p>
      <w:pPr>
        <w:spacing w:after="0" w:line="206" w:lineRule="exact"/>
        <w:rPr>
          <w:rFonts w:ascii="Courier New" w:cs="Courier New" w:eastAsia="Courier New" w:hAnsi="Courier New"/>
          <w:sz w:val="18"/>
          <w:szCs w:val="18"/>
          <w:color w:val="auto"/>
        </w:rPr>
      </w:pPr>
    </w:p>
    <w:p>
      <w:pPr>
        <w:ind w:left="1900" w:right="2559" w:hanging="63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o500 West Madison Street, Suite 1400, Chicago, Illinois 60661, and</w:t>
      </w:r>
    </w:p>
    <w:p>
      <w:pPr>
        <w:spacing w:after="0" w:line="208" w:lineRule="exact"/>
        <w:rPr>
          <w:sz w:val="20"/>
          <w:szCs w:val="20"/>
          <w:color w:val="auto"/>
        </w:rPr>
      </w:pPr>
    </w:p>
    <w:p>
      <w:pPr>
        <w:ind w:left="1900" w:right="2759" w:hanging="628"/>
        <w:spacing w:after="0" w:line="23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World Trade Center, Suite 1300, New York, New York 10048.</w:t>
      </w:r>
    </w:p>
    <w:p>
      <w:pPr>
        <w:spacing w:after="0" w:line="208" w:lineRule="exact"/>
        <w:rPr>
          <w:sz w:val="20"/>
          <w:szCs w:val="20"/>
          <w:color w:val="auto"/>
        </w:rPr>
      </w:pPr>
    </w:p>
    <w:p>
      <w:pPr>
        <w:ind w:right="2659" w:firstLine="632"/>
        <w:spacing w:after="0" w:line="235" w:lineRule="auto"/>
        <w:rPr>
          <w:sz w:val="20"/>
          <w:szCs w:val="20"/>
          <w:color w:val="auto"/>
        </w:rPr>
      </w:pPr>
      <w:r>
        <w:rPr>
          <w:rFonts w:ascii="Courier New" w:cs="Courier New" w:eastAsia="Courier New" w:hAnsi="Courier New"/>
          <w:sz w:val="18"/>
          <w:szCs w:val="18"/>
          <w:color w:val="auto"/>
        </w:rPr>
        <w:t>Please call the Commission at 1-800-SEC-0330 for more information about the public reference facilities.</w:t>
      </w:r>
    </w:p>
    <w:p>
      <w:pPr>
        <w:spacing w:after="0" w:line="208" w:lineRule="exact"/>
        <w:rPr>
          <w:sz w:val="20"/>
          <w:szCs w:val="20"/>
          <w:color w:val="auto"/>
        </w:rPr>
      </w:pPr>
    </w:p>
    <w:p>
      <w:pPr>
        <w:jc w:val="both"/>
        <w:ind w:right="2439" w:firstLine="632"/>
        <w:spacing w:after="0" w:line="236" w:lineRule="auto"/>
        <w:rPr>
          <w:sz w:val="20"/>
          <w:szCs w:val="20"/>
          <w:color w:val="auto"/>
        </w:rPr>
      </w:pPr>
      <w:r>
        <w:rPr>
          <w:rFonts w:ascii="Courier New" w:cs="Courier New" w:eastAsia="Courier New" w:hAnsi="Courier New"/>
          <w:sz w:val="18"/>
          <w:szCs w:val="18"/>
          <w:color w:val="auto"/>
        </w:rPr>
        <w:t>You can also inspect material filed by us at the offices of the New York Stock Exchange, 20 Broad Street, New York, New York 10005, on which shares of our common stock are listed.</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We are incorporating by reference in this prospectus some information we file with the Commission. This means that we are disclosing important information to you by referring you to those documents. Specifically, we incorporate by reference the documents set forth below that we have previously filed with the Commission:</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COMMISSION FILINGS (FILE NO. 1-12154)</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rPr>
              <w:t>PERIOD/DATE</w:t>
            </w:r>
          </w:p>
        </w:tc>
        <w:tc>
          <w:tcPr>
            <w:tcW w:w="1940" w:type="dxa"/>
            <w:vAlign w:val="bottom"/>
          </w:tcPr>
          <w:p>
            <w:pPr>
              <w:spacing w:after="0"/>
              <w:rPr>
                <w:sz w:val="17"/>
                <w:szCs w:val="17"/>
                <w:color w:val="auto"/>
              </w:rPr>
            </w:pPr>
          </w:p>
        </w:tc>
      </w:tr>
      <w:tr>
        <w:trPr>
          <w:trHeight w:val="203"/>
        </w:trPr>
        <w:tc>
          <w:tcPr>
            <w:tcW w:w="4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w:t>
            </w:r>
          </w:p>
        </w:tc>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Annual Report on Form 10-K</w:t>
            </w:r>
          </w:p>
        </w:tc>
        <w:tc>
          <w:tcPr>
            <w:tcW w:w="3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Year ended December 31, 1998</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Quarterly Report on Form 10-Q</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w w:val="99"/>
              </w:rPr>
              <w:t>Quarter ended</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March 31, 1999</w:t>
            </w:r>
          </w:p>
        </w:tc>
      </w:tr>
      <w:tr>
        <w:trPr>
          <w:trHeight w:val="203"/>
        </w:trPr>
        <w:tc>
          <w:tcPr>
            <w:tcW w:w="3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(certain items in financial</w:t>
            </w:r>
          </w:p>
        </w:tc>
      </w:tr>
      <w:tr>
        <w:trPr>
          <w:trHeight w:val="203"/>
        </w:trPr>
        <w:tc>
          <w:tcPr>
            <w:tcW w:w="3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5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statements were revised in</w:t>
            </w:r>
          </w:p>
        </w:tc>
      </w:tr>
      <w:tr>
        <w:trPr>
          <w:trHeight w:val="203"/>
        </w:trPr>
        <w:tc>
          <w:tcPr>
            <w:tcW w:w="3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June 30, 1999</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Form 10-Q)</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Quarterly Report on Form 10-Q</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w w:val="99"/>
              </w:rPr>
              <w:t>Quarter ended</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June 30, 1999</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Quarterly Report on Form 10-Q</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w w:val="99"/>
              </w:rPr>
              <w:t>Quarter ended</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w w:val="96"/>
              </w:rPr>
              <w:t>September 30, 1999</w:t>
            </w:r>
          </w:p>
        </w:tc>
      </w:tr>
      <w:tr>
        <w:trPr>
          <w:trHeight w:val="203"/>
        </w:trPr>
        <w:tc>
          <w:tcPr>
            <w:tcW w:w="320" w:type="dxa"/>
            <w:vAlign w:val="bottom"/>
          </w:tcPr>
          <w:p>
            <w:pPr>
              <w:spacing w:after="0"/>
              <w:rPr>
                <w:sz w:val="17"/>
                <w:szCs w:val="17"/>
                <w:color w:val="auto"/>
              </w:rPr>
            </w:pPr>
          </w:p>
        </w:tc>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amended on Form 10-Q/A)</w:t>
            </w:r>
          </w:p>
        </w:tc>
        <w:tc>
          <w:tcPr>
            <w:tcW w:w="15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Current Report on Form 8-K</w:t>
            </w:r>
          </w:p>
        </w:tc>
        <w:tc>
          <w:tcPr>
            <w:tcW w:w="35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August 13, 1999</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Current Report on Form 8-K</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w w:val="99"/>
              </w:rPr>
              <w:t>September 16,</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1999</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o</w:t>
            </w:r>
          </w:p>
        </w:tc>
        <w:tc>
          <w:tcPr>
            <w:tcW w:w="3960" w:type="dxa"/>
            <w:vAlign w:val="bottom"/>
          </w:tcPr>
          <w:p>
            <w:pPr>
              <w:ind w:left="220"/>
              <w:spacing w:after="0"/>
              <w:rPr>
                <w:sz w:val="20"/>
                <w:szCs w:val="20"/>
                <w:color w:val="auto"/>
              </w:rPr>
            </w:pPr>
            <w:r>
              <w:rPr>
                <w:rFonts w:ascii="Courier New" w:cs="Courier New" w:eastAsia="Courier New" w:hAnsi="Courier New"/>
                <w:sz w:val="18"/>
                <w:szCs w:val="18"/>
                <w:color w:val="auto"/>
              </w:rPr>
              <w:t>Proxy Statement for the 1999</w:t>
            </w:r>
          </w:p>
        </w:tc>
        <w:tc>
          <w:tcPr>
            <w:tcW w:w="1580" w:type="dxa"/>
            <w:vAlign w:val="bottom"/>
          </w:tcPr>
          <w:p>
            <w:pPr>
              <w:ind w:left="160"/>
              <w:spacing w:after="0"/>
              <w:rPr>
                <w:sz w:val="20"/>
                <w:szCs w:val="20"/>
                <w:color w:val="auto"/>
              </w:rPr>
            </w:pPr>
            <w:r>
              <w:rPr>
                <w:rFonts w:ascii="Courier New" w:cs="Courier New" w:eastAsia="Courier New" w:hAnsi="Courier New"/>
                <w:sz w:val="18"/>
                <w:szCs w:val="18"/>
                <w:color w:val="auto"/>
                <w:w w:val="99"/>
              </w:rPr>
              <w:t>April 5, 1999</w:t>
            </w:r>
          </w:p>
        </w:tc>
        <w:tc>
          <w:tcPr>
            <w:tcW w:w="1940" w:type="dxa"/>
            <w:vAlign w:val="bottom"/>
          </w:tcPr>
          <w:p>
            <w:pPr>
              <w:spacing w:after="0"/>
              <w:rPr>
                <w:sz w:val="24"/>
                <w:szCs w:val="24"/>
                <w:color w:val="auto"/>
              </w:rPr>
            </w:pPr>
          </w:p>
        </w:tc>
      </w:tr>
      <w:tr>
        <w:trPr>
          <w:trHeight w:val="203"/>
        </w:trPr>
        <w:tc>
          <w:tcPr>
            <w:tcW w:w="320" w:type="dxa"/>
            <w:vAlign w:val="bottom"/>
          </w:tcPr>
          <w:p>
            <w:pPr>
              <w:spacing w:after="0"/>
              <w:rPr>
                <w:sz w:val="17"/>
                <w:szCs w:val="17"/>
                <w:color w:val="auto"/>
              </w:rPr>
            </w:pPr>
          </w:p>
        </w:tc>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Annual Meeting of Stockholders</w:t>
            </w:r>
          </w:p>
        </w:tc>
        <w:tc>
          <w:tcPr>
            <w:tcW w:w="158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We also incorporate by reference the information contained in any future filings made with the Commission under Sections 13(a), 13(c), 14 or 15(d) of the Securities Exchange Act until we sell all of the securities covered by this prospectus, which information will be deemed to automatically update and supersede this information.</w:t>
      </w:r>
    </w:p>
    <w:p>
      <w:pPr>
        <w:spacing w:after="0" w:line="208" w:lineRule="exact"/>
        <w:rPr>
          <w:sz w:val="20"/>
          <w:szCs w:val="20"/>
          <w:color w:val="auto"/>
        </w:rPr>
      </w:pPr>
    </w:p>
    <w:p>
      <w:pPr>
        <w:ind w:right="2659" w:firstLine="632"/>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20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8"/>
          <w:szCs w:val="18"/>
          <w:color w:val="auto"/>
        </w:rPr>
        <w:t>WASTE MANAGEMENT, INC.</w:t>
      </w:r>
    </w:p>
    <w:p>
      <w:pPr>
        <w:jc w:val="center"/>
        <w:ind w:right="2119"/>
        <w:spacing w:after="0" w:line="238" w:lineRule="auto"/>
        <w:rPr>
          <w:sz w:val="20"/>
          <w:szCs w:val="20"/>
          <w:color w:val="auto"/>
        </w:rPr>
      </w:pPr>
      <w:r>
        <w:rPr>
          <w:rFonts w:ascii="Courier New" w:cs="Courier New" w:eastAsia="Courier New" w:hAnsi="Courier New"/>
          <w:sz w:val="18"/>
          <w:szCs w:val="18"/>
          <w:color w:val="auto"/>
        </w:rPr>
        <w:t>1001 FANNIN STREET, SUITE 4000</w:t>
      </w:r>
    </w:p>
    <w:p>
      <w:pPr>
        <w:jc w:val="center"/>
        <w:ind w:right="2119"/>
        <w:spacing w:after="0" w:line="238" w:lineRule="auto"/>
        <w:rPr>
          <w:sz w:val="20"/>
          <w:szCs w:val="20"/>
          <w:color w:val="auto"/>
        </w:rPr>
      </w:pPr>
      <w:r>
        <w:rPr>
          <w:rFonts w:ascii="Courier New" w:cs="Courier New" w:eastAsia="Courier New" w:hAnsi="Courier New"/>
          <w:sz w:val="18"/>
          <w:szCs w:val="18"/>
          <w:color w:val="auto"/>
        </w:rPr>
        <w:t>HOUSTON, TEXAS 77002</w:t>
      </w:r>
    </w:p>
    <w:p>
      <w:pPr>
        <w:ind w:left="3900" w:hanging="628"/>
        <w:spacing w:after="0"/>
        <w:tabs>
          <w:tab w:leader="none" w:pos="3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512-6200</w:t>
      </w:r>
    </w:p>
    <w:p>
      <w:pPr>
        <w:ind w:left="3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SECRETARY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8"/>
          <w:szCs w:val="18"/>
          <w:color w:val="auto"/>
        </w:rPr>
        <w:t>OUR COMPANY</w:t>
      </w:r>
    </w:p>
    <w:p>
      <w:pPr>
        <w:spacing w:after="0" w:line="207" w:lineRule="exact"/>
        <w:rPr>
          <w:sz w:val="20"/>
          <w:szCs w:val="20"/>
          <w:color w:val="auto"/>
        </w:rPr>
      </w:pPr>
    </w:p>
    <w:p>
      <w:pPr>
        <w:ind w:right="2859" w:firstLine="632"/>
        <w:spacing w:after="0" w:line="235" w:lineRule="auto"/>
        <w:rPr>
          <w:sz w:val="20"/>
          <w:szCs w:val="20"/>
          <w:color w:val="auto"/>
        </w:rPr>
      </w:pPr>
      <w:r>
        <w:rPr>
          <w:rFonts w:ascii="Courier New" w:cs="Courier New" w:eastAsia="Courier New" w:hAnsi="Courier New"/>
          <w:sz w:val="18"/>
          <w:szCs w:val="18"/>
          <w:color w:val="auto"/>
        </w:rPr>
        <w:t>We are a global leader in providing integrated waste management services.</w:t>
      </w:r>
    </w:p>
    <w:p>
      <w:pPr>
        <w:spacing w:after="0" w:line="208" w:lineRule="exact"/>
        <w:rPr>
          <w:sz w:val="20"/>
          <w:szCs w:val="20"/>
          <w:color w:val="auto"/>
        </w:rPr>
      </w:pPr>
    </w:p>
    <w:p>
      <w:pPr>
        <w:ind w:right="2239" w:firstLine="632"/>
        <w:spacing w:after="0" w:line="290" w:lineRule="auto"/>
        <w:rPr>
          <w:sz w:val="20"/>
          <w:szCs w:val="20"/>
          <w:color w:val="auto"/>
        </w:rPr>
      </w:pPr>
      <w:r>
        <w:rPr>
          <w:rFonts w:ascii="Courier New" w:cs="Courier New" w:eastAsia="Courier New" w:hAnsi="Courier New"/>
          <w:sz w:val="16"/>
          <w:szCs w:val="16"/>
          <w:color w:val="auto"/>
        </w:rPr>
        <w:t>In North America, where we have our principal operations, we provide solid waste collection, transfer, recycling, resource recovery and disposal</w:t>
      </w:r>
    </w:p>
    <w:p>
      <w:pPr>
        <w:sectPr>
          <w:pgSz w:w="11900" w:h="16838" w:orient="portrait"/>
          <w:cols w:equalWidth="0" w:num="1">
            <w:col w:w="10139"/>
          </w:cols>
          <w:pgMar w:left="320" w:top="142" w:right="1440" w:bottom="0" w:gutter="0" w:footer="0" w:header="0"/>
        </w:sectPr>
      </w:pPr>
    </w:p>
    <w:bookmarkStart w:id="3" w:name="page4"/>
    <w:bookmarkEnd w:id="3"/>
    <w:p>
      <w:pPr>
        <w:ind w:right="2439"/>
        <w:spacing w:after="0" w:line="237" w:lineRule="auto"/>
        <w:rPr>
          <w:sz w:val="20"/>
          <w:szCs w:val="20"/>
          <w:color w:val="auto"/>
        </w:rPr>
      </w:pPr>
      <w:r>
        <w:rPr>
          <w:rFonts w:ascii="Courier New" w:cs="Courier New" w:eastAsia="Courier New" w:hAnsi="Courier New"/>
          <w:sz w:val="18"/>
          <w:szCs w:val="18"/>
          <w:color w:val="auto"/>
        </w:rPr>
        <w:t>services. We also are a leading operator and owner of waste-to-energy and waste-fuel powered independent power facilities in the United States. We conduct other operations in North America, including landfill disposal of hazardous wastes, additional hazardous waste management services and low-level and other radioactive waste services.</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Outside of North America, we operate in Europe, the Pacific Rim, South America and other select international markets, where we provide collection and transportation services for solid, hazardous and medical wastes and collection, treatment and disposal services for recyclable materials. We also operate solid and hazardous waste landfills, municipal and hazardous waste incinerators, waste and wastewater treatment facilities and hazardous waste treatment facilities, as well as construct waste treatment or disposal facilities for third parties.</w:t>
      </w:r>
    </w:p>
    <w:p>
      <w:pPr>
        <w:spacing w:after="0" w:line="212" w:lineRule="exact"/>
        <w:rPr>
          <w:sz w:val="20"/>
          <w:szCs w:val="20"/>
          <w:color w:val="auto"/>
        </w:rPr>
      </w:pPr>
    </w:p>
    <w:p>
      <w:pPr>
        <w:ind w:right="2759" w:firstLine="632"/>
        <w:spacing w:after="0" w:line="236" w:lineRule="auto"/>
        <w:rPr>
          <w:sz w:val="20"/>
          <w:szCs w:val="20"/>
          <w:color w:val="auto"/>
        </w:rPr>
      </w:pPr>
      <w:r>
        <w:rPr>
          <w:rFonts w:ascii="Courier New" w:cs="Courier New" w:eastAsia="Courier New" w:hAnsi="Courier New"/>
          <w:sz w:val="18"/>
          <w:szCs w:val="18"/>
          <w:color w:val="auto"/>
        </w:rPr>
        <w:t>Our diversified customer base includes commercial, industrial, municipal and residential customers, other waste management companies, governmental entities and independent power markets.</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On July 16, 1998, we changed our name to "Waste Management, Inc.," from "USA Waste Services, Inc." On that date, we acquired all of the shares of Waste Management Holdings, Inc., which at the time was the largest publicly traded waste management services company in North America and which operated under the "Waste Management" name.</w:t>
      </w:r>
    </w:p>
    <w:p>
      <w:pPr>
        <w:spacing w:after="0" w:line="208" w:lineRule="exact"/>
        <w:rPr>
          <w:sz w:val="20"/>
          <w:szCs w:val="20"/>
          <w:color w:val="auto"/>
        </w:rPr>
      </w:pPr>
    </w:p>
    <w:p>
      <w:pPr>
        <w:ind w:right="2339" w:firstLine="632"/>
        <w:spacing w:after="0" w:line="235" w:lineRule="auto"/>
        <w:rPr>
          <w:sz w:val="20"/>
          <w:szCs w:val="20"/>
          <w:color w:val="auto"/>
        </w:rPr>
      </w:pPr>
      <w:r>
        <w:rPr>
          <w:rFonts w:ascii="Courier New" w:cs="Courier New" w:eastAsia="Courier New" w:hAnsi="Courier New"/>
          <w:sz w:val="18"/>
          <w:szCs w:val="18"/>
          <w:color w:val="auto"/>
        </w:rPr>
        <w:t>Our executive offices are located at 1001 Fannin Street, Suite 4000, Houston, Texas 77002, and our telephone number is (713) 512-6200.</w:t>
      </w:r>
    </w:p>
    <w:p>
      <w:pPr>
        <w:spacing w:after="0" w:line="200" w:lineRule="exact"/>
        <w:rPr>
          <w:sz w:val="20"/>
          <w:szCs w:val="20"/>
          <w:color w:val="auto"/>
        </w:rPr>
      </w:pPr>
    </w:p>
    <w:p>
      <w:pPr>
        <w:spacing w:after="0" w:line="205"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In addition to the information set forth in this prospectus, you should carefully consider the risks described below before making an investment in the securities offered. The risks described below are not the only ones facing us. There may be additional risks not presently known to us or that we currently deem immaterial which may also impair our business operations.</w:t>
      </w:r>
    </w:p>
    <w:p>
      <w:pPr>
        <w:spacing w:after="0" w:line="209"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ACCOUNTING CHARGES HAVE NEGATIVELY IMPACTED REPORTED FINANCIAL RESULTS, RESULTED IN THE IMPAIRMENT OF THE VALUE OF CERTAIN ASSETS AND MAY DECREASE OUR FUTURE CASH FLOWS</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During the third quarter of 1999, we initiated a comprehensive review of our accounting records, systems, processes and controls at the direction of our Board of Directors, which was completed in November 1999. As a result of this review, we recorded certain charges and adjustments in the quarter ended September 30, 1999 totaling $1.23 billion after tax. Because of the size of the charges, generally accepted accounting principles require us to attempt to determine whether portions of the charges apply to prior periods. While we believe that certain of these charges may relate to prior periods, we do not currently have sufficient information to identify all specific charges attributable to prior periods. Producing the information required to identify these charges would be cost prohibitive and disruptive to our operations.</w:t>
      </w:r>
    </w:p>
    <w:p>
      <w:pPr>
        <w:spacing w:after="0" w:line="216" w:lineRule="exact"/>
        <w:rPr>
          <w:sz w:val="20"/>
          <w:szCs w:val="20"/>
          <w:color w:val="auto"/>
        </w:rPr>
      </w:pPr>
    </w:p>
    <w:p>
      <w:pPr>
        <w:ind w:right="2339" w:firstLine="632"/>
        <w:spacing w:after="0" w:line="271" w:lineRule="auto"/>
        <w:rPr>
          <w:sz w:val="20"/>
          <w:szCs w:val="20"/>
          <w:color w:val="auto"/>
        </w:rPr>
      </w:pPr>
      <w:r>
        <w:rPr>
          <w:rFonts w:ascii="Courier New" w:cs="Courier New" w:eastAsia="Courier New" w:hAnsi="Courier New"/>
          <w:sz w:val="16"/>
          <w:szCs w:val="16"/>
          <w:color w:val="auto"/>
        </w:rPr>
        <w:t>Some of the charges and adjustments we recorded in the third quarter 1999, such as certain increases in insurance reserves, environmental reserves, loss contract provisions and adjustments resulting from completing account reconciliations, are recurring in nature, and should therefore be expected to occur in future periods. Additionally, certain of these charges and adjustments, including receivables-related adjustments and insurance reserves, could have an impact on our future cash flows.</w:t>
      </w:r>
    </w:p>
    <w:p>
      <w:pPr>
        <w:spacing w:after="0" w:line="187"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Because some of the charges discussed above affect account balances applicable to periods prior to the quarter ended September 30, 1999, we concluded, after consultation with our independent public accountants, that our internal controls for the preparation of interim financial information did not provide an adequate basis for them to complete reviews of the quarterly data for the quarters in the nine months ended September 30, 1999. The review was completed in November 1999, and we do not anticipate any additional material adjustments to our financial statements based on the review. However, we may not be able to successfully stabilize our accounting systems and procedures, and close our accounting records and report our 1999 annual results in accordance with year end audit procedures. Any failure to stabilize our accounting systems could result in additional material charges and adjustments in the future.</w:t>
      </w:r>
    </w:p>
    <w:p>
      <w:pPr>
        <w:spacing w:after="0" w:line="388"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WE MAY ENCOUNTER DIFFICULTIES IN IMPLEMENTING OUR PROPOSED STRATEGIC INITIATIVE</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Our ability to successfully implement our proposed strategic</w:t>
      </w:r>
    </w:p>
    <w:p>
      <w:pPr>
        <w:sectPr>
          <w:pgSz w:w="11900" w:h="16838" w:orient="portrait"/>
          <w:cols w:equalWidth="0" w:num="1">
            <w:col w:w="10139"/>
          </w:cols>
          <w:pgMar w:left="320" w:top="142" w:right="1440" w:bottom="0" w:gutter="0" w:footer="0" w:header="0"/>
        </w:sectPr>
      </w:pPr>
    </w:p>
    <w:bookmarkStart w:id="4" w:name="page5"/>
    <w:bookmarkEnd w:id="4"/>
    <w:p>
      <w:pPr>
        <w:ind w:right="2339"/>
        <w:spacing w:after="0" w:line="270" w:lineRule="auto"/>
        <w:rPr>
          <w:sz w:val="20"/>
          <w:szCs w:val="20"/>
          <w:color w:val="auto"/>
        </w:rPr>
      </w:pPr>
      <w:r>
        <w:rPr>
          <w:rFonts w:ascii="Courier New" w:cs="Courier New" w:eastAsia="Courier New" w:hAnsi="Courier New"/>
          <w:sz w:val="16"/>
          <w:szCs w:val="16"/>
          <w:color w:val="auto"/>
        </w:rPr>
        <w:t>initiative may be affected by the willingness of prospective purchasers to purchase the assets we identify as divestiture candidates on terms we find acceptable, the timing and terms on which such assets may be sold, uncertainties relating to regulatory approvals and other factors affecting the ability of prospective purchasers to consummate such transactions. The success of our strategic initiative could also be affected by the availability of financing, and uncertainties relating to the impact of the proposed strategic initiative on our credit ratings and, consequently, the availability and cost of debt and equity financing to us.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UNDERGOING CHANGES IN MANAGEMENT</w:t>
      </w:r>
    </w:p>
    <w:p>
      <w:pPr>
        <w:spacing w:after="0" w:line="207" w:lineRule="exact"/>
        <w:rPr>
          <w:sz w:val="20"/>
          <w:szCs w:val="20"/>
          <w:color w:val="auto"/>
        </w:rPr>
      </w:pPr>
    </w:p>
    <w:p>
      <w:pPr>
        <w:ind w:right="2659" w:firstLine="632"/>
        <w:spacing w:after="0" w:line="235" w:lineRule="auto"/>
        <w:rPr>
          <w:sz w:val="20"/>
          <w:szCs w:val="20"/>
          <w:color w:val="auto"/>
        </w:rPr>
      </w:pPr>
      <w:r>
        <w:rPr>
          <w:rFonts w:ascii="Courier New" w:cs="Courier New" w:eastAsia="Courier New" w:hAnsi="Courier New"/>
          <w:sz w:val="18"/>
          <w:szCs w:val="18"/>
          <w:color w:val="auto"/>
        </w:rPr>
        <w:t>Our business may be affected by our ability to attract and retain qualified individuals to serve in senior management positions.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7" w:lineRule="exact"/>
        <w:rPr>
          <w:sz w:val="20"/>
          <w:szCs w:val="20"/>
          <w:color w:val="auto"/>
        </w:rPr>
      </w:pPr>
    </w:p>
    <w:p>
      <w:pPr>
        <w:ind w:right="2559" w:firstLine="632"/>
        <w:spacing w:after="0" w:line="237" w:lineRule="auto"/>
        <w:rPr>
          <w:sz w:val="20"/>
          <w:szCs w:val="20"/>
          <w:color w:val="auto"/>
        </w:rPr>
      </w:pPr>
      <w:r>
        <w:rPr>
          <w:rFonts w:ascii="Courier New" w:cs="Courier New" w:eastAsia="Courier New" w:hAnsi="Courier New"/>
          <w:sz w:val="18"/>
          <w:szCs w:val="18"/>
          <w:color w:val="auto"/>
        </w:rPr>
        <w:t>We face uncertainties relating to pending litigation and investigations. We are unable to predict the outcome or impact of these matters and there can be no assurance that they will not have a material adverse effect on us and our business.</w:t>
      </w:r>
    </w:p>
    <w:p>
      <w:pPr>
        <w:spacing w:after="0" w:line="207" w:lineRule="exact"/>
        <w:rPr>
          <w:sz w:val="20"/>
          <w:szCs w:val="20"/>
          <w:color w:val="auto"/>
        </w:rPr>
      </w:pPr>
    </w:p>
    <w:p>
      <w:pPr>
        <w:ind w:right="2859"/>
        <w:spacing w:after="0" w:line="235" w:lineRule="auto"/>
        <w:rPr>
          <w:sz w:val="20"/>
          <w:szCs w:val="20"/>
          <w:color w:val="auto"/>
        </w:rPr>
      </w:pPr>
      <w:r>
        <w:rPr>
          <w:rFonts w:ascii="Courier New" w:cs="Courier New" w:eastAsia="Courier New" w:hAnsi="Courier New"/>
          <w:sz w:val="18"/>
          <w:szCs w:val="18"/>
          <w:color w:val="auto"/>
        </w:rPr>
        <w:t>WE FACE POTENTIAL DIFFICULTIES IN CONTINUING TO EXPAND AND MANAGE OUR GROWTH</w:t>
      </w:r>
    </w:p>
    <w:p>
      <w:pPr>
        <w:spacing w:after="0" w:line="208" w:lineRule="exact"/>
        <w:rPr>
          <w:sz w:val="20"/>
          <w:szCs w:val="20"/>
          <w:color w:val="auto"/>
        </w:rPr>
      </w:pPr>
    </w:p>
    <w:p>
      <w:pPr>
        <w:ind w:right="2439" w:firstLine="632"/>
        <w:spacing w:after="0" w:line="270" w:lineRule="auto"/>
        <w:rPr>
          <w:sz w:val="20"/>
          <w:szCs w:val="20"/>
          <w:color w:val="auto"/>
        </w:rPr>
      </w:pPr>
      <w:r>
        <w:rPr>
          <w:rFonts w:ascii="Courier New" w:cs="Courier New" w:eastAsia="Courier New" w:hAnsi="Courier New"/>
          <w:sz w:val="16"/>
          <w:szCs w:val="16"/>
          <w:color w:val="auto"/>
        </w:rPr>
        <w:t>We have grown rapidly, primarily through acquisitions. We cannot guarantee that we will be able to continue to expand and successfully manage our growth. We also cannot guarantee that our existing or acquired operations will not be adversely affected by the pace of our growth. Improving the productivity of our acquired operations and using our asset base and strategic position to operate more efficiently is very important to our financial results and prospects. In particular, whether we will ultimately achieve the anticipated benefits of acquired operations will depend on a number of factors, including our ability to effect:</w:t>
      </w:r>
    </w:p>
    <w:p>
      <w:pPr>
        <w:spacing w:after="0" w:line="184" w:lineRule="exact"/>
        <w:rPr>
          <w:sz w:val="20"/>
          <w:szCs w:val="20"/>
          <w:color w:val="auto"/>
        </w:rPr>
      </w:pPr>
    </w:p>
    <w:p>
      <w:pPr>
        <w:ind w:left="1280" w:hanging="640"/>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 costs savings;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rationalization of collection routes;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and bonding cost reductions; and</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economies of scale.</w:t>
      </w:r>
    </w:p>
    <w:p>
      <w:pPr>
        <w:spacing w:after="0" w:line="207"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Moreover, our ability to continue to grow will depend on a number of factors, including:</w:t>
      </w:r>
    </w:p>
    <w:p>
      <w:pPr>
        <w:spacing w:after="0" w:line="202" w:lineRule="exact"/>
        <w:rPr>
          <w:sz w:val="20"/>
          <w:szCs w:val="20"/>
          <w:color w:val="auto"/>
        </w:rPr>
      </w:pPr>
    </w:p>
    <w:p>
      <w:pPr>
        <w:ind w:left="1280" w:hanging="640"/>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other waste management companies;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attractive acquisition opportunities;</w:t>
      </w:r>
    </w:p>
    <w:p>
      <w:pPr>
        <w:spacing w:after="0" w:line="206" w:lineRule="exact"/>
        <w:rPr>
          <w:rFonts w:ascii="Courier New" w:cs="Courier New" w:eastAsia="Courier New" w:hAnsi="Courier New"/>
          <w:sz w:val="18"/>
          <w:szCs w:val="18"/>
          <w:color w:val="auto"/>
        </w:rPr>
      </w:pPr>
    </w:p>
    <w:p>
      <w:pPr>
        <w:ind w:left="1280" w:right="3279" w:hanging="640"/>
        <w:spacing w:after="0" w:line="235"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mitigate antitrust concerns related to acquisitions in several markets;</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working capital;</w:t>
      </w:r>
    </w:p>
    <w:p>
      <w:pPr>
        <w:spacing w:after="0" w:line="206" w:lineRule="exact"/>
        <w:rPr>
          <w:rFonts w:ascii="Courier New" w:cs="Courier New" w:eastAsia="Courier New" w:hAnsi="Courier New"/>
          <w:sz w:val="18"/>
          <w:szCs w:val="18"/>
          <w:color w:val="auto"/>
        </w:rPr>
      </w:pPr>
    </w:p>
    <w:p>
      <w:pPr>
        <w:ind w:left="1280" w:right="3079" w:hanging="640"/>
        <w:spacing w:after="0" w:line="235"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maintain margins on existing or acquired operations; and</w:t>
      </w:r>
    </w:p>
    <w:p>
      <w:pPr>
        <w:spacing w:after="0" w:line="208" w:lineRule="exact"/>
        <w:rPr>
          <w:rFonts w:ascii="Courier New" w:cs="Courier New" w:eastAsia="Courier New" w:hAnsi="Courier New"/>
          <w:sz w:val="18"/>
          <w:szCs w:val="18"/>
          <w:color w:val="auto"/>
        </w:rPr>
      </w:pPr>
    </w:p>
    <w:p>
      <w:pPr>
        <w:ind w:left="1280" w:right="3399" w:hanging="640"/>
        <w:spacing w:after="0" w:line="235"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manage costs in a changing regulatory environment.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ACQUISITION STRATEGY INVOLVES POTENTIAL RISKS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We regularly pursue opportunities to expand by acquiring additional waste management businesses and operations that can be effectively integrated with our existing operations. In addition, we regularly pursue mergers and acquisition transactions, some of which are significant, in new markets where we believe that we can successfully become a provider of integrated waste management services. As one of the leading industry consolidators, we could announce transactions with either publicly or privately owned businesses at any time.</w:t>
      </w:r>
    </w:p>
    <w:p>
      <w:pPr>
        <w:spacing w:after="0" w:line="212" w:lineRule="exact"/>
        <w:rPr>
          <w:sz w:val="20"/>
          <w:szCs w:val="20"/>
          <w:color w:val="auto"/>
        </w:rPr>
      </w:pPr>
    </w:p>
    <w:p>
      <w:pPr>
        <w:ind w:right="2979" w:firstLine="632"/>
        <w:spacing w:after="0" w:line="235" w:lineRule="auto"/>
        <w:rPr>
          <w:sz w:val="20"/>
          <w:szCs w:val="20"/>
          <w:color w:val="auto"/>
        </w:rPr>
      </w:pPr>
      <w:r>
        <w:rPr>
          <w:rFonts w:ascii="Courier New" w:cs="Courier New" w:eastAsia="Courier New" w:hAnsi="Courier New"/>
          <w:sz w:val="18"/>
          <w:szCs w:val="18"/>
          <w:color w:val="auto"/>
        </w:rPr>
        <w:t>Our acquisition strategy involves potential risks. These risks include:</w:t>
      </w:r>
    </w:p>
    <w:p>
      <w:pPr>
        <w:spacing w:after="0" w:line="208" w:lineRule="exact"/>
        <w:rPr>
          <w:sz w:val="20"/>
          <w:szCs w:val="20"/>
          <w:color w:val="auto"/>
        </w:rPr>
      </w:pPr>
    </w:p>
    <w:p>
      <w:pPr>
        <w:ind w:left="1280" w:right="2979" w:hanging="640"/>
        <w:spacing w:after="0" w:line="235"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accurately assess all of the pre-existing liabilities of acquired companies;</w:t>
      </w:r>
    </w:p>
    <w:p>
      <w:pPr>
        <w:spacing w:after="0" w:line="208" w:lineRule="exact"/>
        <w:rPr>
          <w:rFonts w:ascii="Courier New" w:cs="Courier New" w:eastAsia="Courier New" w:hAnsi="Courier New"/>
          <w:sz w:val="18"/>
          <w:szCs w:val="18"/>
          <w:color w:val="auto"/>
        </w:rPr>
      </w:pPr>
    </w:p>
    <w:p>
      <w:pPr>
        <w:ind w:left="1280" w:right="2339" w:hanging="640"/>
        <w:spacing w:after="0" w:line="290" w:lineRule="auto"/>
        <w:tabs>
          <w:tab w:leader="none" w:pos="12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unexpected difficulties in successfully integrating the operations of acquired companies with our existing operations;</w:t>
      </w:r>
    </w:p>
    <w:p>
      <w:pPr>
        <w:sectPr>
          <w:pgSz w:w="11900" w:h="16838" w:orient="portrait"/>
          <w:cols w:equalWidth="0" w:num="1">
            <w:col w:w="10139"/>
          </w:cols>
          <w:pgMar w:left="320" w:top="142" w:right="1440" w:bottom="0" w:gutter="0" w:footer="0" w:header="0"/>
        </w:sectPr>
      </w:pPr>
    </w:p>
    <w:bookmarkStart w:id="5" w:name="page6"/>
    <w:bookmarkEnd w:id="5"/>
    <w:p>
      <w:pPr>
        <w:ind w:left="1280" w:hanging="640"/>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lack of attractive acquisition opportunities;</w:t>
      </w:r>
    </w:p>
    <w:p>
      <w:pPr>
        <w:spacing w:after="0" w:line="206" w:lineRule="exact"/>
        <w:rPr>
          <w:rFonts w:ascii="Courier New" w:cs="Courier New" w:eastAsia="Courier New" w:hAnsi="Courier New"/>
          <w:sz w:val="18"/>
          <w:szCs w:val="18"/>
          <w:color w:val="auto"/>
        </w:rPr>
      </w:pPr>
    </w:p>
    <w:p>
      <w:pPr>
        <w:ind w:left="1280" w:right="3079" w:hanging="640"/>
        <w:spacing w:after="0" w:line="235"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inability to obtain the capital required to finance potential acquisitions on satisfactory terms;</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businesses we acquire not proving profitable; and</w:t>
      </w:r>
    </w:p>
    <w:p>
      <w:pPr>
        <w:spacing w:after="0" w:line="206" w:lineRule="exact"/>
        <w:rPr>
          <w:rFonts w:ascii="Courier New" w:cs="Courier New" w:eastAsia="Courier New" w:hAnsi="Courier New"/>
          <w:sz w:val="18"/>
          <w:szCs w:val="18"/>
          <w:color w:val="auto"/>
        </w:rPr>
      </w:pPr>
    </w:p>
    <w:p>
      <w:pPr>
        <w:ind w:left="1280" w:right="2659" w:hanging="640"/>
        <w:spacing w:after="0" w:line="290" w:lineRule="auto"/>
        <w:tabs>
          <w:tab w:leader="none" w:pos="12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incurring additional indebtedness or issuing additional equity securities as a result of future acquisitions.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NEED ADDITIONAL CAPITAL IF OUR CASH FLOW IS LESS THAN EXPECTED</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We expect to generate sufficient cash flow from our operations in 1999 to cover our anticipated cash needs for capital expenditures and acquisitions. If our cash flow from operations during 1999 is less than currently expected, or our capital requirements increase, either due to strategic decisions or otherwise, we may elect to incur indebtedness or issue equity securities to cover any additional capital needs. However, we cannot guarantee that we will be successful in obtaining additional capital in this manner on acceptable terms.</w:t>
      </w:r>
    </w:p>
    <w:p>
      <w:pPr>
        <w:spacing w:after="0" w:line="212"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We also cannot guarantee that we will be successful in renewing our existing credit facilities, or that we will be able to renew the credit facilities on terms acceptable to us. If we are unable to renew our existing credit facilities, or to obtain other financing sources, our business and operating results could be affected adversely to a material extent.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FLUCTUATING INTEREST RATES COULD AFFECT US</w:t>
      </w:r>
    </w:p>
    <w:p>
      <w:pPr>
        <w:spacing w:after="0" w:line="207"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In the past, we have used variable rate debt under revolving bank credit arrangements as one method of financing our rapid growth. Although our recent financings have reduced the amount of variable rate debt as a percentage of total indebtedness outstanding, issuing variable rate debt will continue to be an alternative for us. Fluctuations in variable interest rates, which may occur as general interest rates change, could have a material adverse effect on us.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7" w:lineRule="exact"/>
        <w:rPr>
          <w:sz w:val="20"/>
          <w:szCs w:val="20"/>
          <w:color w:val="auto"/>
        </w:rPr>
      </w:pPr>
    </w:p>
    <w:p>
      <w:pPr>
        <w:ind w:right="2559" w:firstLine="632"/>
        <w:spacing w:after="0" w:line="235" w:lineRule="auto"/>
        <w:rPr>
          <w:sz w:val="20"/>
          <w:szCs w:val="20"/>
          <w:color w:val="auto"/>
        </w:rPr>
      </w:pPr>
      <w:r>
        <w:rPr>
          <w:rFonts w:ascii="Courier New" w:cs="Courier New" w:eastAsia="Courier New" w:hAnsi="Courier New"/>
          <w:sz w:val="18"/>
          <w:szCs w:val="18"/>
          <w:color w:val="auto"/>
        </w:rPr>
        <w:t>We encounter intense competition from governmental, quasi-governmental and private sources in all aspects of our operations.</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In North America, the waste management services industry consists of large national companies and local and regional companies of varying sizes and financial resources. We compete with numerous waste management companies as well as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 Profitability may decline because of the national emphasis on recycling, composting, and other waste reduction programs that could reduce the volume of solid waste collected or deposited in disposal facilities.</w:t>
      </w:r>
    </w:p>
    <w:p>
      <w:pPr>
        <w:spacing w:after="0" w:line="216" w:lineRule="exact"/>
        <w:rPr>
          <w:sz w:val="20"/>
          <w:szCs w:val="20"/>
          <w:color w:val="auto"/>
        </w:rPr>
      </w:pPr>
    </w:p>
    <w:p>
      <w:pPr>
        <w:ind w:right="2339" w:firstLine="632"/>
        <w:spacing w:after="0" w:line="270" w:lineRule="auto"/>
        <w:rPr>
          <w:sz w:val="20"/>
          <w:szCs w:val="20"/>
          <w:color w:val="auto"/>
        </w:rPr>
      </w:pPr>
      <w:r>
        <w:rPr>
          <w:rFonts w:ascii="Courier New" w:cs="Courier New" w:eastAsia="Courier New" w:hAnsi="Courier New"/>
          <w:sz w:val="16"/>
          <w:szCs w:val="16"/>
          <w:color w:val="auto"/>
        </w:rPr>
        <w:t>Outside of North America, the waste management services industry is very decentralized and highly fragmented. In some markets, however, we compete with substantial companies that hold significant market shares, particularly in Finland, Germany, the Netherlands, Sweden and the United Kingdom. Some of our international competitors may have greater financial resources and greater technical resources than we do with respect to specific matters. Especially in the case of larger contracts, we may be required to commit substantial resources over a long period of time during the proposal phase without any assurance that the contract will be awarded to us. Examples include contracts for city-cleaning services, contracts or bids with respect to the construction or development of water and wastewater facilities, or permitting and development of a new treatment facility, waste-to-energy facility, incinerator or landfill.</w:t>
      </w:r>
    </w:p>
    <w:p>
      <w:pPr>
        <w:spacing w:after="0" w:line="388"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208"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any pending acquisition that is not</w:t>
      </w:r>
    </w:p>
    <w:p>
      <w:pPr>
        <w:sectPr>
          <w:pgSz w:w="11900" w:h="16838" w:orient="portrait"/>
          <w:cols w:equalWidth="0" w:num="1">
            <w:col w:w="10139"/>
          </w:cols>
          <w:pgMar w:left="320" w:top="136" w:right="1440" w:bottom="0" w:gutter="0" w:footer="0" w:header="0"/>
        </w:sectPr>
      </w:pPr>
    </w:p>
    <w:bookmarkStart w:id="6" w:name="page7"/>
    <w:bookmarkEnd w:id="6"/>
    <w:p>
      <w:pPr>
        <w:ind w:right="2239"/>
        <w:spacing w:after="0" w:line="237" w:lineRule="auto"/>
        <w:rPr>
          <w:sz w:val="20"/>
          <w:szCs w:val="20"/>
          <w:color w:val="auto"/>
        </w:rPr>
      </w:pPr>
      <w:r>
        <w:rPr>
          <w:rFonts w:ascii="Courier New" w:cs="Courier New" w:eastAsia="Courier New" w:hAnsi="Courier New"/>
          <w:sz w:val="18"/>
          <w:szCs w:val="18"/>
          <w:color w:val="auto"/>
        </w:rPr>
        <w:t>consummated, and any disposal site development or expansion project that is not completed. The charge against earnings is reduced by any portion of the capitalized expenditure and advances that we estimate will be recoverable, through sale or otherwise. In future periods, we may be required to incur a charge against earnings in accordance with our policy. Depending on its magnitude, any such charge could have a material adverse effect on our consolidated financial statements.</w:t>
      </w:r>
    </w:p>
    <w:p>
      <w:pPr>
        <w:spacing w:after="0" w:line="210"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GOVERNMENTAL REGULATIONS MAY RESTRICT OUR OPERATIONS OR INCREASE THE LEVEL OF COSTS OF OUR OPERATIONS</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in other countries have a substantial impact on our operations. A large number of complex laws, rules, orders and interpretations govern environmental protection, health and safety, land use, zoning and related matters. Among other things, they may restrict our operations and adversely affect our operating results and financial condition by imposing conditions such as:</w:t>
      </w:r>
    </w:p>
    <w:p>
      <w:pPr>
        <w:spacing w:after="0" w:line="210" w:lineRule="exact"/>
        <w:rPr>
          <w:sz w:val="20"/>
          <w:szCs w:val="20"/>
          <w:color w:val="auto"/>
        </w:rPr>
      </w:pPr>
    </w:p>
    <w:p>
      <w:pPr>
        <w:ind w:left="1280" w:right="2239" w:hanging="640"/>
        <w:spacing w:after="0" w:line="236"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208" w:lineRule="exact"/>
        <w:rPr>
          <w:rFonts w:ascii="Courier New" w:cs="Courier New" w:eastAsia="Courier New" w:hAnsi="Courier New"/>
          <w:sz w:val="18"/>
          <w:szCs w:val="18"/>
          <w:color w:val="auto"/>
        </w:rPr>
      </w:pPr>
    </w:p>
    <w:p>
      <w:pPr>
        <w:ind w:left="1280" w:right="2979" w:hanging="640"/>
        <w:spacing w:after="0" w:line="235"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of out-of-state waste or certain categories of waste; or</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7"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209"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 These permits and approvals are difficult, time consuming and costly to obtain, in part because of possible opposition by governmental officials or citizens. In addition, these permits and approvals may contain conditions that limit operations and our ability to change the facility or are otherwise difficult to comply with. We cannot guarantee that we will be successful in obtaining and maintaining in effect permits and approvals required for the successful operation and growth of our business, including permits and approvals for the development of additional disposal capacity needed to replace existing capacity that is exhausted.</w:t>
      </w:r>
    </w:p>
    <w:p>
      <w:pPr>
        <w:spacing w:after="0" w:line="21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Courts in the United States, basing their decisions on constitutional law, have ruled that state and local governments may not use regulatory flow control laws to restrict the free movement of waste in interstate commerce. We cannot predict what impact, if any, these decisions will have on our disposal facilities.</w:t>
      </w:r>
    </w:p>
    <w:p>
      <w:pPr>
        <w:spacing w:after="0" w:line="208"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8"/>
          <w:szCs w:val="18"/>
          <w:color w:val="auto"/>
        </w:rPr>
        <w:t>WE COULD BE LIABLE FOR ENVIRONMENTAL DAMAGES RESULTING FROM OUR DISPOSAL FACILITIES AND COLLECTION OPERATIONS</w:t>
      </w:r>
    </w:p>
    <w:p>
      <w:pPr>
        <w:spacing w:after="0" w:line="208"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We could be liable if our disposal facilities or collection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operating results and financial condition.</w:t>
      </w:r>
    </w:p>
    <w:p>
      <w:pPr>
        <w:spacing w:after="0" w:line="391" w:lineRule="exact"/>
        <w:rPr>
          <w:sz w:val="20"/>
          <w:szCs w:val="20"/>
          <w:color w:val="auto"/>
        </w:rPr>
      </w:pPr>
    </w:p>
    <w:p>
      <w:pPr>
        <w:ind w:right="2239" w:firstLine="632"/>
        <w:spacing w:after="0" w:line="279" w:lineRule="auto"/>
        <w:rPr>
          <w:sz w:val="20"/>
          <w:szCs w:val="20"/>
          <w:color w:val="auto"/>
        </w:rPr>
      </w:pPr>
      <w:r>
        <w:rPr>
          <w:rFonts w:ascii="Courier New" w:cs="Courier New" w:eastAsia="Courier New" w:hAnsi="Courier New"/>
          <w:sz w:val="16"/>
          <w:szCs w:val="16"/>
          <w:color w:val="auto"/>
        </w:rPr>
        <w:t>In the ordinary course of our business, we may become involved in a variety of legal and administrative proceedings relating to land use and environmental laws and regulations. These may include proceedings in which:</w:t>
      </w:r>
    </w:p>
    <w:p>
      <w:pPr>
        <w:spacing w:after="0" w:line="178" w:lineRule="exact"/>
        <w:rPr>
          <w:sz w:val="20"/>
          <w:szCs w:val="20"/>
          <w:color w:val="auto"/>
        </w:rPr>
      </w:pPr>
    </w:p>
    <w:p>
      <w:pPr>
        <w:ind w:left="1280" w:right="2339" w:hanging="640"/>
        <w:spacing w:after="0" w:line="275" w:lineRule="auto"/>
        <w:tabs>
          <w:tab w:leader="none" w:pos="12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181" w:lineRule="exact"/>
        <w:rPr>
          <w:rFonts w:ascii="Courier New" w:cs="Courier New" w:eastAsia="Courier New" w:hAnsi="Courier New"/>
          <w:sz w:val="16"/>
          <w:szCs w:val="16"/>
          <w:color w:val="auto"/>
        </w:rPr>
      </w:pPr>
    </w:p>
    <w:p>
      <w:pPr>
        <w:ind w:left="1280" w:right="2559" w:hanging="640"/>
        <w:spacing w:after="0" w:line="290" w:lineRule="auto"/>
        <w:tabs>
          <w:tab w:leader="none" w:pos="12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groups, adjacent landowners or governmental agencies oppose the issuance of a permit or approval we need, allege</w:t>
      </w:r>
    </w:p>
    <w:p>
      <w:pPr>
        <w:sectPr>
          <w:pgSz w:w="11900" w:h="16838" w:orient="portrait"/>
          <w:cols w:equalWidth="0" w:num="1">
            <w:col w:w="10139"/>
          </w:cols>
          <w:pgMar w:left="320" w:top="142" w:right="1440" w:bottom="0" w:gutter="0" w:footer="0" w:header="0"/>
        </w:sectPr>
      </w:pPr>
    </w:p>
    <w:bookmarkStart w:id="7" w:name="page8"/>
    <w:bookmarkEnd w:id="7"/>
    <w:p>
      <w:pPr>
        <w:ind w:left="1280" w:right="2559"/>
        <w:spacing w:after="0" w:line="237" w:lineRule="auto"/>
        <w:rPr>
          <w:sz w:val="20"/>
          <w:szCs w:val="20"/>
          <w:color w:val="auto"/>
        </w:rPr>
      </w:pPr>
      <w:r>
        <w:rPr>
          <w:rFonts w:ascii="Courier New" w:cs="Courier New" w:eastAsia="Courier New" w:hAnsi="Courier New"/>
          <w:sz w:val="18"/>
          <w:szCs w:val="18"/>
          <w:color w:val="auto"/>
        </w:rPr>
        <w:t>violations of the permits under which we operate or laws or regulations to which we are subject, or seek to impose liability on us for environmental damage for which we may be responsible.</w:t>
      </w:r>
    </w:p>
    <w:p>
      <w:pPr>
        <w:spacing w:after="0" w:line="207" w:lineRule="exact"/>
        <w:rPr>
          <w:sz w:val="20"/>
          <w:szCs w:val="20"/>
          <w:color w:val="auto"/>
        </w:rPr>
      </w:pPr>
    </w:p>
    <w:p>
      <w:pPr>
        <w:jc w:val="both"/>
        <w:ind w:right="2239" w:firstLine="632"/>
        <w:spacing w:after="0" w:line="236" w:lineRule="auto"/>
        <w:rPr>
          <w:sz w:val="20"/>
          <w:szCs w:val="20"/>
          <w:color w:val="auto"/>
        </w:rPr>
      </w:pPr>
      <w:r>
        <w:rPr>
          <w:rFonts w:ascii="Courier New" w:cs="Courier New" w:eastAsia="Courier New" w:hAnsi="Courier New"/>
          <w:sz w:val="18"/>
          <w:szCs w:val="18"/>
          <w:color w:val="auto"/>
        </w:rPr>
        <w:t>The adverse outcome of one or more of these proceedings could have a material adverse effect on our financial position, results of operations or cash flows.</w:t>
      </w:r>
    </w:p>
    <w:p>
      <w:pPr>
        <w:spacing w:after="0" w:line="208"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we may incur fines, penalties or other sanctions that could have a material adverse effect on our financial position, results of operations or cash flows.</w:t>
      </w:r>
    </w:p>
    <w:p>
      <w:pPr>
        <w:spacing w:after="0" w:line="38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such insurance coverage for environmental liability, if we were to incur liability for environmental damage, such liability could have a material adverse effect on our financial position, results of operations or cash flows.</w:t>
      </w:r>
    </w:p>
    <w:p>
      <w:pPr>
        <w:spacing w:after="0" w:line="212" w:lineRule="exact"/>
        <w:rPr>
          <w:sz w:val="20"/>
          <w:szCs w:val="20"/>
          <w:color w:val="auto"/>
        </w:rPr>
      </w:pPr>
    </w:p>
    <w:p>
      <w:pPr>
        <w:jc w:val="both"/>
        <w:ind w:right="2659"/>
        <w:spacing w:after="0" w:line="236" w:lineRule="auto"/>
        <w:rPr>
          <w:sz w:val="20"/>
          <w:szCs w:val="20"/>
          <w:color w:val="auto"/>
        </w:rPr>
      </w:pPr>
      <w:r>
        <w:rPr>
          <w:rFonts w:ascii="Courier New" w:cs="Courier New" w:eastAsia="Courier New" w:hAnsi="Courier New"/>
          <w:sz w:val="18"/>
          <w:szCs w:val="18"/>
          <w:color w:val="auto"/>
        </w:rPr>
        <w:t>THE DEVELOPMENT AND ACCEPTANCE OF ALTERNATIVES TO LANDFILL DISPOSAL AND WASTE-TO-ENERGY FACILITIES COULD REDUCE OUR ABILITY TO OPERATE AT FULL CAPACITY</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state and local governments are increasingly mandating recycling and waste reduction at the source and prohibiting the disposal of certain types of wastes, such as yard wastes, at landfills or waste-to-energy facilities.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14"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FLUCTUATIONS IN THE PRICE OF RECYCLABLE MATERIALS AFFECT OUR OPERATING REVENUES</w:t>
      </w:r>
    </w:p>
    <w:p>
      <w:pPr>
        <w:spacing w:after="0" w:line="208"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Recyclable materials that we process for sale, including paper, plastics, aluminum and other commodities, are subject to significant price fluctuations. These fluctuations will affect our future operating revenues and income.</w:t>
      </w:r>
    </w:p>
    <w:p>
      <w:pPr>
        <w:spacing w:after="0" w:line="207"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THE COMMISSION IS INVESTIGATING THE ACCOUNTING PRACTICES OF WASTE MANAGEMENT HOLDINGS</w:t>
      </w:r>
    </w:p>
    <w:p>
      <w:pPr>
        <w:spacing w:after="0" w:line="208"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The Commission has commenced a formal investigation with respect to the previously filed financial statements (which were subsequently restated) and the related accounting policies, procedures and system of internal controls of Waste Management Holdings, Inc., or "WM Holdings," which we acquired through a merger in July 1998. Several lawsuits and claims have been filed against WM Holdings and some of its former officers and directors in connection with the restatement of WM Holdings' financial statements. We are unable to predict the outcome or impact of the investigation or any previously filed or future lawsuits or claims arising out of the restatement. However, it is reasonably possible that they could have a material adverse impact on our financial condition or results of operations in one or more future periods.</w:t>
      </w: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INTERNATIONAL OPERATIONS ENCOUNTER SOCIAL, POLITICAL AND ECONOMIC RISKS</w:t>
      </w:r>
    </w:p>
    <w:p>
      <w:pPr>
        <w:spacing w:after="0" w:line="224" w:lineRule="exact"/>
        <w:rPr>
          <w:sz w:val="20"/>
          <w:szCs w:val="20"/>
          <w:color w:val="auto"/>
        </w:rPr>
      </w:pPr>
    </w:p>
    <w:p>
      <w:pPr>
        <w:ind w:right="2239" w:firstLine="632"/>
        <w:spacing w:after="0" w:line="236" w:lineRule="auto"/>
        <w:rPr>
          <w:sz w:val="20"/>
          <w:szCs w:val="20"/>
          <w:color w:val="auto"/>
        </w:rPr>
      </w:pPr>
      <w:r>
        <w:rPr>
          <w:rFonts w:ascii="Courier New" w:cs="Courier New" w:eastAsia="Courier New" w:hAnsi="Courier New"/>
          <w:sz w:val="18"/>
          <w:szCs w:val="18"/>
          <w:color w:val="auto"/>
        </w:rPr>
        <w:t>Our operations in foreign countries generally are subject to a number of risks inherent in any business operating in foreign countries, all of which are beyond our control. These risks include:</w:t>
      </w:r>
    </w:p>
    <w:p>
      <w:pPr>
        <w:spacing w:after="0" w:line="203" w:lineRule="exact"/>
        <w:rPr>
          <w:sz w:val="20"/>
          <w:szCs w:val="20"/>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social and economic instability;</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inflation;</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strikes;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nationalization of assets;</w:t>
      </w:r>
    </w:p>
    <w:p>
      <w:pPr>
        <w:sectPr>
          <w:pgSz w:w="11900" w:h="16838" w:orient="portrait"/>
          <w:cols w:equalWidth="0" w:num="1">
            <w:col w:w="10139"/>
          </w:cols>
          <w:pgMar w:left="320" w:top="142" w:right="1440" w:bottom="0" w:gutter="0" w:footer="0" w:header="0"/>
        </w:sectPr>
      </w:pPr>
    </w:p>
    <w:bookmarkStart w:id="8" w:name="page9"/>
    <w:bookmarkEnd w:id="8"/>
    <w:p>
      <w:pPr>
        <w:ind w:left="1280" w:hanging="640"/>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currency restrictions and exchange rate fluctuations;</w:t>
      </w:r>
    </w:p>
    <w:p>
      <w:pPr>
        <w:spacing w:after="0" w:line="206"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nullification, modification or renegotiation of contracts; and</w:t>
      </w:r>
    </w:p>
    <w:p>
      <w:pPr>
        <w:spacing w:after="0" w:line="218" w:lineRule="exact"/>
        <w:rPr>
          <w:rFonts w:ascii="Courier New" w:cs="Courier New" w:eastAsia="Courier New" w:hAnsi="Courier New"/>
          <w:sz w:val="16"/>
          <w:szCs w:val="16"/>
          <w:color w:val="auto"/>
        </w:rPr>
      </w:pPr>
    </w:p>
    <w:p>
      <w:pPr>
        <w:ind w:left="1280" w:hanging="640"/>
        <w:spacing w:after="0"/>
        <w:tabs>
          <w:tab w:leader="none" w:pos="12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w:t>
      </w:r>
    </w:p>
    <w:p>
      <w:pPr>
        <w:spacing w:after="0" w:line="207" w:lineRule="exact"/>
        <w:rPr>
          <w:sz w:val="20"/>
          <w:szCs w:val="20"/>
          <w:color w:val="auto"/>
        </w:rPr>
      </w:pPr>
    </w:p>
    <w:p>
      <w:pPr>
        <w:ind w:right="2239" w:firstLine="632"/>
        <w:spacing w:after="0" w:line="236" w:lineRule="auto"/>
        <w:rPr>
          <w:sz w:val="20"/>
          <w:szCs w:val="20"/>
          <w:color w:val="auto"/>
        </w:rPr>
      </w:pPr>
      <w:r>
        <w:rPr>
          <w:rFonts w:ascii="Courier New" w:cs="Courier New" w:eastAsia="Courier New" w:hAnsi="Courier New"/>
          <w:sz w:val="18"/>
          <w:szCs w:val="18"/>
          <w:color w:val="auto"/>
        </w:rPr>
        <w:t>We can make no prediction as to how existing or future foreign governmental regulations in any jurisdiction may affect us in particular or the waste management industry in general.</w:t>
      </w:r>
    </w:p>
    <w:p>
      <w:pPr>
        <w:spacing w:after="0" w:line="208" w:lineRule="exact"/>
        <w:rPr>
          <w:sz w:val="20"/>
          <w:szCs w:val="20"/>
          <w:color w:val="auto"/>
        </w:rPr>
      </w:pPr>
    </w:p>
    <w:p>
      <w:pPr>
        <w:ind w:right="2439"/>
        <w:spacing w:after="0" w:line="235"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208" w:lineRule="exact"/>
        <w:rPr>
          <w:sz w:val="20"/>
          <w:szCs w:val="20"/>
          <w:color w:val="auto"/>
        </w:rPr>
      </w:pPr>
    </w:p>
    <w:p>
      <w:pPr>
        <w:ind w:right="2239" w:firstLine="632"/>
        <w:spacing w:after="0" w:line="272" w:lineRule="auto"/>
        <w:rPr>
          <w:sz w:val="20"/>
          <w:szCs w:val="20"/>
          <w:color w:val="auto"/>
        </w:rPr>
      </w:pPr>
      <w:r>
        <w:rPr>
          <w:rFonts w:ascii="Courier New" w:cs="Courier New" w:eastAsia="Courier New" w:hAnsi="Courier New"/>
          <w:sz w:val="16"/>
          <w:szCs w:val="16"/>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EFFECT OF CERTAIN ANTI-TAKEOVER PROVISIONS</w:t>
      </w:r>
    </w:p>
    <w:p>
      <w:pPr>
        <w:spacing w:after="0" w:line="207"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Certain provisions of our Restated Certificate of Incorporation and Bylaws may make it more difficult for a third party to acquire us in a transaction that is not approved by our Board of Directors. For example, our Board of Directors has the power to issue up to 10,000,000 shares of our preferred stock in one or more series, and to fix the rights and preferences of any series, without further authorization by the holders of our common stock. In addition, our Board of Directors is divided into three classes, and each class serves for a staggered three-year term. This makes it more difficult for a third party to gain control of our Board of Directors. Generally, these provisions are designed to permit us to develop our businesses and foster our long-term growth without the disruption caused by the threat of a takeover that our Board of Directors does not think is in our best interests or in the best interests of our stockholders. Also, these provisions may discourage a third party from making a tender offer or otherwise attempting to gain control of us even though the attempt might be beneficial economically to us and our stockholders.</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7"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In the normal course of our business, we, in an effort to help keep our stockholders and the public informed about our operations, may from time to time issue or make certain statements, either in writing or orally, that are or contain "forward-looking statements," as that term is defined in the U.S. federal securities laws. Generally, these statements relate to business plans or strategies, projected or anticipated benefits or other consequences of such plans or strategies, projected or anticipated benefits from acquisitions made by or to be made by us, or projections involving anticipated revenues, earnings, or other aspects of operating results. Certain statements contained in this prospectus or in the accompanying prospectus supplement and in the reports and filings with the Commission that we incorporated by reference may be forward-looking statements. The words "may," "expect," "believe," "anticipate," "project," "estimate," their opposites and similar expressions are intended to identify forward-looking statements. We caution readers that such statements are not guarantees of future performance or events and are subject to a number of factors that may tend to influence the accuracy of the statements and the projections upon which the statements are based, including, but not limited to, those discussed above under "Risk Factors." All phases of our operations are subject to a number of uncertainties, risks and other influences, many of which are outside our control, and any one of which, or a combination of which, could materially affect our consolidated financial statements and operations and whether forward-looking statements made by us ultimately prove to be accurate.</w:t>
      </w:r>
    </w:p>
    <w:p>
      <w:pPr>
        <w:spacing w:after="0" w:line="200" w:lineRule="exact"/>
        <w:rPr>
          <w:sz w:val="20"/>
          <w:szCs w:val="20"/>
          <w:color w:val="auto"/>
        </w:rPr>
      </w:pPr>
    </w:p>
    <w:p>
      <w:pPr>
        <w:spacing w:after="0" w:line="393"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These factors are discussed more completely in our filings with the Commission, including our annual report on Form 10-K for the year ended December 31, 1998, and our quarterly reports on Form 10-Q for the quarters ended March 31, 1999, June 30, 1999 and September 30, 1999, which are incorporated by reference into this prospectus.</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jc w:val="both"/>
        <w:ind w:right="2439" w:firstLine="632"/>
        <w:spacing w:after="0" w:line="275" w:lineRule="auto"/>
        <w:rPr>
          <w:sz w:val="20"/>
          <w:szCs w:val="20"/>
          <w:color w:val="auto"/>
        </w:rPr>
      </w:pPr>
      <w:r>
        <w:rPr>
          <w:rFonts w:ascii="Courier New" w:cs="Courier New" w:eastAsia="Courier New" w:hAnsi="Courier New"/>
          <w:sz w:val="16"/>
          <w:szCs w:val="16"/>
          <w:color w:val="auto"/>
        </w:rPr>
        <w:t>Except as otherwise described in any prospectus supplement, we will use the net proceeds from the sale of our debt securities or common stock for general corporate purposes. We will determine any specific allocation of the net proceeds of an offering to a specific purpose at the time of</w:t>
      </w:r>
    </w:p>
    <w:p>
      <w:pPr>
        <w:sectPr>
          <w:pgSz w:w="11900" w:h="16838" w:orient="portrait"/>
          <w:cols w:equalWidth="0" w:num="1">
            <w:col w:w="10139"/>
          </w:cols>
          <w:pgMar w:left="320" w:top="136" w:right="1440" w:bottom="0" w:gutter="0" w:footer="0" w:header="0"/>
        </w:sectPr>
      </w:pPr>
    </w:p>
    <w:bookmarkStart w:id="9" w:name="page10"/>
    <w:bookmarkEnd w:id="9"/>
    <w:p>
      <w:pPr>
        <w:ind w:right="2759"/>
        <w:spacing w:after="0" w:line="235" w:lineRule="auto"/>
        <w:rPr>
          <w:sz w:val="20"/>
          <w:szCs w:val="20"/>
          <w:color w:val="auto"/>
        </w:rPr>
      </w:pPr>
      <w:r>
        <w:rPr>
          <w:rFonts w:ascii="Courier New" w:cs="Courier New" w:eastAsia="Courier New" w:hAnsi="Courier New"/>
          <w:sz w:val="18"/>
          <w:szCs w:val="18"/>
          <w:color w:val="auto"/>
        </w:rPr>
        <w:t>such offering and will describe the specific allocation in the related prospectus supplement.</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We may also issue shares of our common stock to settle litigation and other claims or to satisfy judgments or arbitration awards. We will not receive any cash proceeds from these issuances but will eliminate an actual or potential liability.</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2239" w:firstLine="632"/>
        <w:spacing w:after="0" w:line="235" w:lineRule="auto"/>
        <w:rPr>
          <w:sz w:val="20"/>
          <w:szCs w:val="20"/>
          <w:color w:val="auto"/>
        </w:rPr>
      </w:pPr>
      <w:r>
        <w:rPr>
          <w:rFonts w:ascii="Courier New" w:cs="Courier New" w:eastAsia="Courier New" w:hAnsi="Courier New"/>
          <w:sz w:val="18"/>
          <w:szCs w:val="18"/>
          <w:color w:val="auto"/>
        </w:rPr>
        <w:t>The following table sets forth our consolidated ratios of earnings to fixed charges for the periods as shown: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YEAR ENDED DECEMBER 31,</w:t>
            </w:r>
          </w:p>
        </w:tc>
        <w:tc>
          <w:tcPr>
            <w:tcW w:w="1160" w:type="dxa"/>
            <w:vAlign w:val="bottom"/>
          </w:tcPr>
          <w:p>
            <w:pPr>
              <w:spacing w:after="0"/>
              <w:rPr>
                <w:sz w:val="17"/>
                <w:szCs w:val="17"/>
                <w:color w:val="auto"/>
              </w:rPr>
            </w:pPr>
          </w:p>
        </w:tc>
        <w:tc>
          <w:tcPr>
            <w:tcW w:w="2360" w:type="dxa"/>
            <w:vAlign w:val="bottom"/>
          </w:tcPr>
          <w:p>
            <w:pPr>
              <w:ind w:left="460"/>
              <w:spacing w:after="0"/>
              <w:rPr>
                <w:sz w:val="20"/>
                <w:szCs w:val="20"/>
                <w:color w:val="auto"/>
              </w:rPr>
            </w:pPr>
            <w:r>
              <w:rPr>
                <w:rFonts w:ascii="Courier New" w:cs="Courier New" w:eastAsia="Courier New" w:hAnsi="Courier New"/>
                <w:sz w:val="18"/>
                <w:szCs w:val="18"/>
                <w:color w:val="auto"/>
              </w:rPr>
              <w:t>NINE MONTHS ENDED</w:t>
            </w:r>
          </w:p>
        </w:tc>
      </w:tr>
      <w:tr>
        <w:trPr>
          <w:trHeight w:val="202"/>
        </w:trPr>
        <w:tc>
          <w:tcPr>
            <w:tcW w:w="9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1994</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1995</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1996</w:t>
            </w:r>
          </w:p>
        </w:tc>
        <w:tc>
          <w:tcPr>
            <w:tcW w:w="10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1997</w:t>
            </w:r>
          </w:p>
        </w:tc>
        <w:tc>
          <w:tcPr>
            <w:tcW w:w="11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1998</w:t>
            </w:r>
          </w:p>
        </w:tc>
        <w:tc>
          <w:tcPr>
            <w:tcW w:w="23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SEPTEMBER 30, 1999</w:t>
            </w:r>
          </w:p>
        </w:tc>
      </w:tr>
      <w:tr>
        <w:trPr>
          <w:trHeight w:val="203"/>
        </w:trPr>
        <w:tc>
          <w:tcPr>
            <w:tcW w:w="900" w:type="dxa"/>
            <w:vAlign w:val="bottom"/>
          </w:tcPr>
          <w:p>
            <w:pPr>
              <w:spacing w:after="0"/>
              <w:rPr>
                <w:sz w:val="17"/>
                <w:szCs w:val="17"/>
                <w:color w:val="auto"/>
              </w:rPr>
            </w:pP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w:t>
            </w:r>
          </w:p>
        </w:tc>
        <w:tc>
          <w:tcPr>
            <w:tcW w:w="23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Actual</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2.7x</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2.6x</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2.1x</w:t>
            </w:r>
          </w:p>
        </w:tc>
        <w:tc>
          <w:tcPr>
            <w:tcW w:w="10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5"/>
              </w:rPr>
              <w:t>N/A(1)</w:t>
            </w:r>
          </w:p>
        </w:tc>
        <w:tc>
          <w:tcPr>
            <w:tcW w:w="116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8"/>
              </w:rPr>
              <w:t>N/A(2)</w:t>
            </w:r>
          </w:p>
        </w:tc>
        <w:tc>
          <w:tcPr>
            <w:tcW w:w="2360" w:type="dxa"/>
            <w:vAlign w:val="bottom"/>
          </w:tcPr>
          <w:p>
            <w:pPr>
              <w:ind w:left="1200"/>
              <w:spacing w:after="0" w:line="203" w:lineRule="exact"/>
              <w:rPr>
                <w:sz w:val="20"/>
                <w:szCs w:val="20"/>
                <w:color w:val="auto"/>
              </w:rPr>
            </w:pPr>
            <w:r>
              <w:rPr>
                <w:rFonts w:ascii="Courier New" w:cs="Courier New" w:eastAsia="Courier New" w:hAnsi="Courier New"/>
                <w:sz w:val="18"/>
                <w:szCs w:val="18"/>
                <w:color w:val="auto"/>
              </w:rPr>
              <w:t>N/A(3)</w:t>
            </w:r>
          </w:p>
        </w:tc>
      </w:tr>
    </w:tbl>
    <w:p>
      <w:pPr>
        <w:spacing w:after="0" w:line="207" w:lineRule="exact"/>
        <w:rPr>
          <w:sz w:val="20"/>
          <w:szCs w:val="20"/>
          <w:color w:val="auto"/>
        </w:rPr>
      </w:pPr>
    </w:p>
    <w:p>
      <w:pPr>
        <w:ind w:left="420" w:right="2239" w:hanging="412"/>
        <w:spacing w:after="0" w:line="271" w:lineRule="auto"/>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insufficient to cover fixed charges in 1997. Additional earnings of $660.4 million were necessary to cover fixed charges for this period. The earnings available for fixed charges were negatively impacted by merger costs of $112.7 million (primarily related to our merger with United Waste Systems, Inc. in August 1997), and asset impairments and unusual items of $1.8 billion. The asset impairments and unusual items primarily related to a comprehensive review performed by Waste Management Holdings of its operating assets and investments.</w:t>
      </w:r>
    </w:p>
    <w:p>
      <w:pPr>
        <w:spacing w:after="0" w:line="185" w:lineRule="exact"/>
        <w:rPr>
          <w:rFonts w:ascii="Courier New" w:cs="Courier New" w:eastAsia="Courier New" w:hAnsi="Courier New"/>
          <w:sz w:val="16"/>
          <w:szCs w:val="16"/>
          <w:color w:val="auto"/>
        </w:rPr>
      </w:pPr>
    </w:p>
    <w:p>
      <w:pPr>
        <w:ind w:left="420" w:right="2439"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asset impairments and unusual items of $864.1 million related primarily to the mergers between Waste Management, Inc. and Waste Management Holdings in July 1998, and Waste Management, Inc. and Eastern Environmental Services, Inc. in December 1998.</w:t>
      </w:r>
    </w:p>
    <w:p>
      <w:pPr>
        <w:spacing w:after="0" w:line="211" w:lineRule="exact"/>
        <w:rPr>
          <w:rFonts w:ascii="Courier New" w:cs="Courier New" w:eastAsia="Courier New" w:hAnsi="Courier New"/>
          <w:sz w:val="18"/>
          <w:szCs w:val="18"/>
          <w:color w:val="auto"/>
        </w:rPr>
      </w:pPr>
    </w:p>
    <w:p>
      <w:pPr>
        <w:ind w:left="420" w:right="2239"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for the nine months ended September 30, 1999. Additional earnings of $155.0 million were necessary to cover fixed charges for this period. The earnings available for fixed charges were negatively impacted by merger costs of $111.3 million related to the merger between Waste Management, Inc. and Waste Management Holdings, Inc. in July 1998 and $700.0 million related to the comprehensive review we performed of our operating assets and investments.</w:t>
      </w:r>
    </w:p>
    <w:p>
      <w:pPr>
        <w:spacing w:after="0" w:line="212" w:lineRule="exact"/>
        <w:rPr>
          <w:sz w:val="20"/>
          <w:szCs w:val="20"/>
          <w:color w:val="auto"/>
        </w:rPr>
      </w:pPr>
    </w:p>
    <w:p>
      <w:pPr>
        <w:ind w:right="2339" w:firstLine="632"/>
        <w:spacing w:after="0" w:line="271" w:lineRule="auto"/>
        <w:rPr>
          <w:sz w:val="20"/>
          <w:szCs w:val="20"/>
          <w:color w:val="auto"/>
        </w:rPr>
      </w:pPr>
      <w:r>
        <w:rPr>
          <w:rFonts w:ascii="Courier New" w:cs="Courier New" w:eastAsia="Courier New" w:hAnsi="Courier New"/>
          <w:sz w:val="16"/>
          <w:szCs w:val="16"/>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200" w:lineRule="exact"/>
        <w:rPr>
          <w:sz w:val="20"/>
          <w:szCs w:val="20"/>
          <w:color w:val="auto"/>
        </w:rPr>
      </w:pPr>
    </w:p>
    <w:p>
      <w:pPr>
        <w:spacing w:after="0" w:line="382"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The Debt Securities will constitute either our senior debt, or "Senior Debt Securities," or our subordinated debt, or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us and Texas Commerce Bank National Association, now known as Chase Bank of Texas, National Association, or "Chase Bank," and in the form filed as an exhibit to the Registration Statement of which this prospectus is a part, subject to such amendments or supplements as may be adopted from time to time.</w:t>
      </w:r>
    </w:p>
    <w:p>
      <w:pPr>
        <w:spacing w:after="0" w:line="216"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We have previously entered into a Senior Indenture dated as of September 10, 1997 with Chase Bank in the form filed as an exhibit to our Current Report on Form 8-K (file no. 1-12154) filed with the Commission on September 24, 1997. We have previously entered into a Subordinated Indenture dated as of February 1, 1997 with Chase Bank in the form filed as an exhibit to our Current Report on Form 8-K (file no. 1-12154) filed with the Commission on February 7, 1997. The Senior Debt Indenture and the Subordinated Debt Indenture, as amended or supplemented from time to time,</w:t>
      </w:r>
    </w:p>
    <w:p>
      <w:pPr>
        <w:sectPr>
          <w:pgSz w:w="11900" w:h="16838" w:orient="portrait"/>
          <w:cols w:equalWidth="0" w:num="1">
            <w:col w:w="10139"/>
          </w:cols>
          <w:pgMar w:left="320" w:top="142" w:right="1440" w:bottom="0" w:gutter="0" w:footer="0" w:header="0"/>
        </w:sectPr>
      </w:pPr>
    </w:p>
    <w:bookmarkStart w:id="10" w:name="page11"/>
    <w:bookmarkEnd w:id="10"/>
    <w:p>
      <w:pPr>
        <w:ind w:right="2239"/>
        <w:spacing w:after="0" w:line="269" w:lineRule="auto"/>
        <w:rPr>
          <w:sz w:val="20"/>
          <w:szCs w:val="20"/>
          <w:color w:val="auto"/>
        </w:rPr>
      </w:pPr>
      <w:r>
        <w:rPr>
          <w:rFonts w:ascii="Courier New" w:cs="Courier New" w:eastAsia="Courier New" w:hAnsi="Courier New"/>
          <w:sz w:val="16"/>
          <w:szCs w:val="16"/>
          <w:color w:val="auto"/>
        </w:rPr>
        <w:t>are sometimes hereinafter referred to individually as an "Indenture" and collectively as the "Indentures." Chase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of our covenants and provisions relating to subordination and conversion.</w:t>
      </w:r>
    </w:p>
    <w:p>
      <w:pPr>
        <w:spacing w:after="0" w:line="396"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will be described therein.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TO BOTH SENIOR AND SUBORDINATED DEBT SECURITIES</w:t>
      </w:r>
    </w:p>
    <w:p>
      <w:pPr>
        <w:spacing w:after="0" w:line="207"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General. The Debt Securities will be our unsecured senior or subordinated obligations and may be issued from time to time in one or more series. The Indentures do not limit the amount of Debt Securities, debentures, notes or other types of indebtedness that we may issue or that any of our subsidiaries may issue. The Indentures do not, other than as may be set forth in any prospectus supplement, restrict transactions between us and our affiliates or the payment of dividends or other distributions by us to our stockholders. The rights of our creditors, including holders of Debt Securities, will be limited to our assets and will not be an obligation of any of our Subsidiaries. In addition, other than as may be set forth in any prospectus supplement, the Indentures do not and the Debt Securities will not contain any covenants or other provisions that are intended to afford holders of the Debt Securities special protection in the event we experience either a change of control or a highly leveraged transaction.</w:t>
      </w:r>
    </w:p>
    <w:p>
      <w:pPr>
        <w:spacing w:after="0" w:line="387" w:lineRule="exact"/>
        <w:rPr>
          <w:sz w:val="20"/>
          <w:szCs w:val="20"/>
          <w:color w:val="auto"/>
        </w:rPr>
      </w:pPr>
    </w:p>
    <w:p>
      <w:pPr>
        <w:jc w:val="both"/>
        <w:ind w:right="2659" w:firstLine="632"/>
        <w:spacing w:after="0" w:line="236" w:lineRule="auto"/>
        <w:rPr>
          <w:sz w:val="20"/>
          <w:szCs w:val="20"/>
          <w:color w:val="auto"/>
        </w:rPr>
      </w:pPr>
      <w:r>
        <w:rPr>
          <w:rFonts w:ascii="Courier New" w:cs="Courier New" w:eastAsia="Courier New" w:hAnsi="Courier New"/>
          <w:sz w:val="18"/>
          <w:szCs w:val="18"/>
          <w:color w:val="auto"/>
        </w:rPr>
        <w:t>Reference is made to the prospectus supplement for the following terms of and information relating to the Debt Securities (to the extent such terms are applicable to such Debt Securities):</w:t>
      </w:r>
    </w:p>
    <w:p>
      <w:pPr>
        <w:spacing w:after="0" w:line="203" w:lineRule="exact"/>
        <w:rPr>
          <w:sz w:val="20"/>
          <w:szCs w:val="20"/>
          <w:color w:val="auto"/>
        </w:rPr>
      </w:pPr>
    </w:p>
    <w:p>
      <w:pPr>
        <w:ind w:left="1280" w:hanging="640"/>
        <w:spacing w:after="0"/>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Debt Securities;</w:t>
      </w:r>
    </w:p>
    <w:p>
      <w:pPr>
        <w:spacing w:after="0" w:line="206" w:lineRule="exact"/>
        <w:rPr>
          <w:rFonts w:ascii="Courier New" w:cs="Courier New" w:eastAsia="Courier New" w:hAnsi="Courier New"/>
          <w:sz w:val="18"/>
          <w:szCs w:val="18"/>
          <w:color w:val="auto"/>
        </w:rPr>
      </w:pPr>
    </w:p>
    <w:p>
      <w:pPr>
        <w:ind w:left="1280" w:right="223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classification as either Senior Debt Securities or Subordinated Debt Securities;</w:t>
      </w:r>
    </w:p>
    <w:p>
      <w:pPr>
        <w:spacing w:after="0" w:line="208" w:lineRule="exact"/>
        <w:rPr>
          <w:rFonts w:ascii="Courier New" w:cs="Courier New" w:eastAsia="Courier New" w:hAnsi="Courier New"/>
          <w:sz w:val="18"/>
          <w:szCs w:val="18"/>
          <w:color w:val="auto"/>
        </w:rPr>
      </w:pPr>
    </w:p>
    <w:p>
      <w:pPr>
        <w:ind w:left="1280" w:right="2339" w:hanging="640"/>
        <w:spacing w:after="0" w:line="237"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w:t>
      </w:r>
    </w:p>
    <w:p>
      <w:pPr>
        <w:spacing w:after="0" w:line="211" w:lineRule="exact"/>
        <w:rPr>
          <w:rFonts w:ascii="Courier New" w:cs="Courier New" w:eastAsia="Courier New" w:hAnsi="Courier New"/>
          <w:sz w:val="18"/>
          <w:szCs w:val="18"/>
          <w:color w:val="auto"/>
        </w:rPr>
      </w:pPr>
    </w:p>
    <w:p>
      <w:pPr>
        <w:ind w:left="1280" w:right="307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on the aggregate principal amount of the Debt Securities;</w:t>
      </w:r>
    </w:p>
    <w:p>
      <w:pPr>
        <w:spacing w:after="0" w:line="208" w:lineRule="exact"/>
        <w:rPr>
          <w:rFonts w:ascii="Courier New" w:cs="Courier New" w:eastAsia="Courier New" w:hAnsi="Courier New"/>
          <w:sz w:val="18"/>
          <w:szCs w:val="18"/>
          <w:color w:val="auto"/>
        </w:rPr>
      </w:pPr>
    </w:p>
    <w:p>
      <w:pPr>
        <w:ind w:left="1280" w:right="2239" w:hanging="640"/>
        <w:spacing w:after="0" w:line="237"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Debt Securities are to be issuable as Registered Securities or Bearer Securities or both, whether any of the Debt Securities are to be issuable initially in temporary global form and whether any of the Debt Securities are to be in permanent global form;</w:t>
      </w:r>
    </w:p>
    <w:p>
      <w:pPr>
        <w:spacing w:after="0" w:line="208" w:lineRule="exact"/>
        <w:rPr>
          <w:rFonts w:ascii="Courier New" w:cs="Courier New" w:eastAsia="Courier New" w:hAnsi="Courier New"/>
          <w:sz w:val="18"/>
          <w:szCs w:val="18"/>
          <w:color w:val="auto"/>
        </w:rPr>
      </w:pPr>
    </w:p>
    <w:p>
      <w:pPr>
        <w:ind w:left="1280" w:right="2239" w:hanging="640"/>
        <w:spacing w:after="0" w:line="236"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or prices (expressed as a percentage of the aggregate principal amount thereof) at which the Debt Securities will be issued;</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Debt Securities will mature;</w:t>
      </w:r>
    </w:p>
    <w:p>
      <w:pPr>
        <w:spacing w:after="0" w:line="206" w:lineRule="exact"/>
        <w:rPr>
          <w:rFonts w:ascii="Courier New" w:cs="Courier New" w:eastAsia="Courier New" w:hAnsi="Courier New"/>
          <w:sz w:val="18"/>
          <w:szCs w:val="18"/>
          <w:color w:val="auto"/>
        </w:rPr>
      </w:pPr>
    </w:p>
    <w:p>
      <w:pPr>
        <w:ind w:left="1280" w:right="2239" w:hanging="640"/>
        <w:spacing w:after="0" w:line="279"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per annum (or the method by which such will be determined) at which the Debt Securities will bear interest, if any, and the date from which any such interest will accrue;</w:t>
      </w:r>
    </w:p>
    <w:p>
      <w:pPr>
        <w:spacing w:after="0" w:line="177" w:lineRule="exact"/>
        <w:rPr>
          <w:rFonts w:ascii="Courier New" w:cs="Courier New" w:eastAsia="Courier New" w:hAnsi="Courier New"/>
          <w:sz w:val="16"/>
          <w:szCs w:val="16"/>
          <w:color w:val="auto"/>
        </w:rPr>
      </w:pPr>
    </w:p>
    <w:p>
      <w:pPr>
        <w:ind w:left="1280" w:right="2239" w:hanging="640"/>
        <w:spacing w:after="0" w:line="273"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w:t>
      </w:r>
    </w:p>
    <w:p>
      <w:pPr>
        <w:sectPr>
          <w:pgSz w:w="11900" w:h="16838" w:orient="portrait"/>
          <w:cols w:equalWidth="0" w:num="1">
            <w:col w:w="10139"/>
          </w:cols>
          <w:pgMar w:left="320" w:top="142" w:right="1440" w:bottom="0" w:gutter="0" w:footer="0" w:header="0"/>
        </w:sectPr>
      </w:pPr>
    </w:p>
    <w:bookmarkStart w:id="11" w:name="page12"/>
    <w:bookmarkEnd w:id="11"/>
    <w:p>
      <w:pPr>
        <w:ind w:left="1280" w:right="2239"/>
        <w:spacing w:after="0" w:line="236" w:lineRule="auto"/>
        <w:rPr>
          <w:sz w:val="20"/>
          <w:szCs w:val="20"/>
          <w:color w:val="auto"/>
        </w:rPr>
      </w:pPr>
      <w:r>
        <w:rPr>
          <w:rFonts w:ascii="Courier New" w:cs="Courier New" w:eastAsia="Courier New" w:hAnsi="Courier New"/>
          <w:sz w:val="18"/>
          <w:szCs w:val="18"/>
          <w:color w:val="auto"/>
        </w:rPr>
        <w:t>extent to which, or the manner in which, any interest payable on a temporary global Debt Security on an Interest Payment Date will be paid;</w:t>
      </w:r>
    </w:p>
    <w:p>
      <w:pPr>
        <w:spacing w:after="0" w:line="208" w:lineRule="exact"/>
        <w:rPr>
          <w:sz w:val="20"/>
          <w:szCs w:val="20"/>
          <w:color w:val="auto"/>
        </w:rPr>
      </w:pPr>
    </w:p>
    <w:p>
      <w:pPr>
        <w:ind w:left="1280" w:hanging="640"/>
        <w:spacing w:after="0"/>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mandatory or optional sinking fund or analogous provisions;</w:t>
      </w:r>
    </w:p>
    <w:p>
      <w:pPr>
        <w:spacing w:after="0" w:line="223" w:lineRule="exact"/>
        <w:rPr>
          <w:rFonts w:ascii="Courier New" w:cs="Courier New" w:eastAsia="Courier New" w:hAnsi="Courier New"/>
          <w:sz w:val="16"/>
          <w:szCs w:val="16"/>
          <w:color w:val="auto"/>
        </w:rPr>
      </w:pPr>
    </w:p>
    <w:p>
      <w:pPr>
        <w:ind w:left="1280" w:right="2439" w:hanging="640"/>
        <w:spacing w:after="0" w:line="237"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w:t>
      </w:r>
    </w:p>
    <w:p>
      <w:pPr>
        <w:spacing w:after="0" w:line="211" w:lineRule="exact"/>
        <w:rPr>
          <w:rFonts w:ascii="Courier New" w:cs="Courier New" w:eastAsia="Courier New" w:hAnsi="Courier New"/>
          <w:sz w:val="18"/>
          <w:szCs w:val="18"/>
          <w:color w:val="auto"/>
        </w:rPr>
      </w:pPr>
    </w:p>
    <w:p>
      <w:pPr>
        <w:ind w:left="1280" w:right="2239" w:hanging="640"/>
        <w:spacing w:after="0" w:line="272"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right, if any, or our obligation, if any, to redeem the Debt Securities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w:t>
      </w:r>
    </w:p>
    <w:p>
      <w:pPr>
        <w:spacing w:after="0" w:line="185" w:lineRule="exact"/>
        <w:rPr>
          <w:rFonts w:ascii="Courier New" w:cs="Courier New" w:eastAsia="Courier New" w:hAnsi="Courier New"/>
          <w:sz w:val="16"/>
          <w:szCs w:val="16"/>
          <w:color w:val="auto"/>
        </w:rPr>
      </w:pPr>
    </w:p>
    <w:p>
      <w:pPr>
        <w:ind w:left="1280" w:right="2239" w:hanging="640"/>
        <w:spacing w:after="0" w:line="237"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w:t>
      </w:r>
    </w:p>
    <w:p>
      <w:pPr>
        <w:spacing w:after="0" w:line="209" w:lineRule="exact"/>
        <w:rPr>
          <w:rFonts w:ascii="Courier New" w:cs="Courier New" w:eastAsia="Courier New" w:hAnsi="Courier New"/>
          <w:sz w:val="18"/>
          <w:szCs w:val="18"/>
          <w:color w:val="auto"/>
        </w:rPr>
      </w:pPr>
    </w:p>
    <w:p>
      <w:pPr>
        <w:ind w:left="1280" w:right="2339" w:hanging="640"/>
        <w:spacing w:after="0" w:line="237"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currency or currencies (including composite currencies) in which payment of principal of and any premium and interest on the Debt Securities is payable if other than United States dollars;</w:t>
      </w:r>
    </w:p>
    <w:p>
      <w:pPr>
        <w:spacing w:after="0" w:line="207" w:lineRule="exact"/>
        <w:rPr>
          <w:rFonts w:ascii="Courier New" w:cs="Courier New" w:eastAsia="Courier New" w:hAnsi="Courier New"/>
          <w:sz w:val="18"/>
          <w:szCs w:val="18"/>
          <w:color w:val="auto"/>
        </w:rPr>
      </w:pPr>
    </w:p>
    <w:p>
      <w:pPr>
        <w:ind w:left="1280" w:right="2239" w:hanging="640"/>
        <w:spacing w:after="0" w:line="290"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index used to determine the amount of payments of principal of and any premium and interest on the Debt Securities;</w:t>
      </w:r>
    </w:p>
    <w:p>
      <w:pPr>
        <w:spacing w:after="0" w:line="163" w:lineRule="exact"/>
        <w:rPr>
          <w:rFonts w:ascii="Courier New" w:cs="Courier New" w:eastAsia="Courier New" w:hAnsi="Courier New"/>
          <w:sz w:val="16"/>
          <w:szCs w:val="16"/>
          <w:color w:val="auto"/>
        </w:rPr>
      </w:pPr>
    </w:p>
    <w:p>
      <w:pPr>
        <w:ind w:left="1280" w:hanging="640"/>
        <w:spacing w:after="0"/>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book-entry procedures, if any;</w:t>
      </w:r>
    </w:p>
    <w:p>
      <w:pPr>
        <w:spacing w:after="0" w:line="206" w:lineRule="exact"/>
        <w:rPr>
          <w:rFonts w:ascii="Courier New" w:cs="Courier New" w:eastAsia="Courier New" w:hAnsi="Courier New"/>
          <w:sz w:val="18"/>
          <w:szCs w:val="18"/>
          <w:color w:val="auto"/>
        </w:rPr>
      </w:pPr>
    </w:p>
    <w:p>
      <w:pPr>
        <w:ind w:left="1280" w:right="2339" w:hanging="640"/>
        <w:spacing w:after="0" w:line="236"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deletions from, modification of or additions to the Events of Default or our covenants with respect to such Debt Securities; and</w:t>
      </w:r>
    </w:p>
    <w:p>
      <w:pPr>
        <w:spacing w:after="0" w:line="208" w:lineRule="exact"/>
        <w:rPr>
          <w:rFonts w:ascii="Courier New" w:cs="Courier New" w:eastAsia="Courier New" w:hAnsi="Courier New"/>
          <w:sz w:val="18"/>
          <w:szCs w:val="18"/>
          <w:color w:val="auto"/>
        </w:rPr>
      </w:pPr>
    </w:p>
    <w:p>
      <w:pPr>
        <w:ind w:left="1280" w:right="2339" w:hanging="640"/>
        <w:spacing w:after="0" w:line="237"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Debt Securities not inconsistent with the provisions of the Indentures. (Section 301) Any prospectus supplement will also describe any special provisions for the payment of additional amounts with respect to the Debt Securities.</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We will set forth any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in a prospectus supplement.</w:t>
      </w:r>
    </w:p>
    <w:p>
      <w:pPr>
        <w:spacing w:after="0" w:line="21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The Indentures also provide that Debt Securities of a series may be issuable in temporary or permanent global form. (Section 201)</w:t>
      </w:r>
    </w:p>
    <w:p>
      <w:pPr>
        <w:spacing w:after="0" w:line="210"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w:t>
      </w:r>
    </w:p>
    <w:p>
      <w:pPr>
        <w:sectPr>
          <w:pgSz w:w="11900" w:h="16838" w:orient="portrait"/>
          <w:cols w:equalWidth="0" w:num="1">
            <w:col w:w="10139"/>
          </w:cols>
          <w:pgMar w:left="320" w:top="142" w:right="1440" w:bottom="0" w:gutter="0" w:footer="0" w:header="0"/>
        </w:sectPr>
      </w:pPr>
    </w:p>
    <w:bookmarkStart w:id="12" w:name="page13"/>
    <w:bookmarkEnd w:id="12"/>
    <w:p>
      <w:pPr>
        <w:ind w:right="2239"/>
        <w:spacing w:after="0" w:line="271" w:lineRule="auto"/>
        <w:rPr>
          <w:sz w:val="20"/>
          <w:szCs w:val="20"/>
          <w:color w:val="auto"/>
        </w:rPr>
      </w:pPr>
      <w:r>
        <w:rPr>
          <w:rFonts w:ascii="Courier New" w:cs="Courier New" w:eastAsia="Courier New" w:hAnsi="Courier New"/>
          <w:sz w:val="16"/>
          <w:szCs w:val="16"/>
          <w:color w:val="auto"/>
        </w:rPr>
        <w:t>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388" w:lineRule="exact"/>
        <w:rPr>
          <w:sz w:val="20"/>
          <w:szCs w:val="20"/>
          <w:color w:val="auto"/>
        </w:rPr>
      </w:pPr>
    </w:p>
    <w:p>
      <w:pPr>
        <w:ind w:right="2239" w:firstLine="632"/>
        <w:spacing w:after="0" w:line="268" w:lineRule="auto"/>
        <w:rPr>
          <w:sz w:val="20"/>
          <w:szCs w:val="20"/>
          <w:color w:val="auto"/>
        </w:rPr>
      </w:pPr>
      <w:r>
        <w:rPr>
          <w:rFonts w:ascii="Courier New" w:cs="Courier New" w:eastAsia="Courier New" w:hAnsi="Courier New"/>
          <w:sz w:val="16"/>
          <w:szCs w:val="16"/>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us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Trustee for the series of Debt Securities will serve as Security Registrar. (Section</w:t>
      </w:r>
    </w:p>
    <w:p>
      <w:pPr>
        <w:spacing w:after="0" w:line="1" w:lineRule="exact"/>
        <w:rPr>
          <w:sz w:val="20"/>
          <w:szCs w:val="20"/>
          <w:color w:val="auto"/>
        </w:rPr>
      </w:pPr>
    </w:p>
    <w:p>
      <w:pPr>
        <w:ind w:right="2239" w:firstLine="8"/>
        <w:spacing w:after="0" w:line="270" w:lineRule="auto"/>
        <w:tabs>
          <w:tab w:leader="none" w:pos="526"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prospectus supplement refers to any transfer agents (in addition to the Security Registrar) initially designated by us with respect to any series of Debt Securities, we may at any time rescind the designation of any such transfer agent or approve a change in the location through which any such transfer agent acts, except that, if Debt Securities of a series are issuable solely as Registered Securities, we will be required to maintain a transfer agent in each Place of Payment for such series and, if Debt Securities of a series are also issuable as Bearer Securities, we will be required to maintain (in addition to the Security Registrar) a transfer agent in a Place of Payment for such series located outside the United States. We may at any time designate additional transfer agents with respect to any series of Debt Securities. (Section 1002)</w:t>
      </w:r>
    </w:p>
    <w:p>
      <w:pPr>
        <w:spacing w:after="0" w:line="390" w:lineRule="exact"/>
        <w:rPr>
          <w:sz w:val="20"/>
          <w:szCs w:val="20"/>
          <w:color w:val="auto"/>
        </w:rPr>
      </w:pPr>
    </w:p>
    <w:p>
      <w:pPr>
        <w:ind w:right="2559" w:firstLine="632"/>
        <w:spacing w:after="0" w:line="237" w:lineRule="auto"/>
        <w:rPr>
          <w:sz w:val="20"/>
          <w:szCs w:val="20"/>
          <w:color w:val="auto"/>
        </w:rPr>
      </w:pPr>
      <w:r>
        <w:rPr>
          <w:rFonts w:ascii="Courier New" w:cs="Courier New" w:eastAsia="Courier New" w:hAnsi="Courier New"/>
          <w:sz w:val="18"/>
          <w:szCs w:val="18"/>
          <w:color w:val="auto"/>
        </w:rPr>
        <w:t>Title to any Bearer Securities (including Bearer Securities in permanent global form) and any coupons appertaining thereto will pass by delivery. We, the Trustee, our agents and the agents of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In the event of any redemption in part, we shall not be required to:</w:t>
      </w:r>
    </w:p>
    <w:p>
      <w:pPr>
        <w:spacing w:after="0" w:line="224" w:lineRule="exact"/>
        <w:rPr>
          <w:sz w:val="20"/>
          <w:szCs w:val="20"/>
          <w:color w:val="auto"/>
        </w:rPr>
      </w:pPr>
    </w:p>
    <w:p>
      <w:pPr>
        <w:ind w:left="1280" w:right="2239" w:hanging="640"/>
        <w:spacing w:after="0" w:line="275" w:lineRule="auto"/>
        <w:tabs>
          <w:tab w:leader="none" w:pos="12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register the transfer of or exchange Debt Securities of any series during a period beginning at the opening of business 15 days prior to the selection of Debt Securities of that series for redemption and ending on the close of business on:</w:t>
      </w:r>
    </w:p>
    <w:p>
      <w:pPr>
        <w:spacing w:after="0" w:line="181" w:lineRule="exact"/>
        <w:rPr>
          <w:rFonts w:ascii="Courier New" w:cs="Courier New" w:eastAsia="Courier New" w:hAnsi="Courier New"/>
          <w:sz w:val="16"/>
          <w:szCs w:val="16"/>
          <w:color w:val="auto"/>
        </w:rPr>
      </w:pPr>
    </w:p>
    <w:p>
      <w:pPr>
        <w:ind w:left="1280" w:right="2859" w:hanging="640"/>
        <w:spacing w:after="0" w:line="236"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Debt Securities of the series are issuable only as Registered Securities, the day of mailing of the relevant notice of redemption; and</w:t>
      </w:r>
    </w:p>
    <w:p>
      <w:pPr>
        <w:spacing w:after="0" w:line="208" w:lineRule="exact"/>
        <w:rPr>
          <w:rFonts w:ascii="Courier New" w:cs="Courier New" w:eastAsia="Courier New" w:hAnsi="Courier New"/>
          <w:sz w:val="18"/>
          <w:szCs w:val="18"/>
          <w:color w:val="auto"/>
        </w:rPr>
      </w:pPr>
    </w:p>
    <w:p>
      <w:pPr>
        <w:ind w:left="1280" w:right="2339" w:hanging="640"/>
        <w:spacing w:after="0" w:line="273" w:lineRule="auto"/>
        <w:tabs>
          <w:tab w:leader="none" w:pos="12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w:t>
      </w:r>
    </w:p>
    <w:p>
      <w:pPr>
        <w:spacing w:after="0" w:line="184" w:lineRule="exact"/>
        <w:rPr>
          <w:rFonts w:ascii="Courier New" w:cs="Courier New" w:eastAsia="Courier New" w:hAnsi="Courier New"/>
          <w:sz w:val="16"/>
          <w:szCs w:val="16"/>
          <w:color w:val="auto"/>
        </w:rPr>
      </w:pPr>
    </w:p>
    <w:p>
      <w:pPr>
        <w:ind w:left="1280" w:right="2239" w:hanging="640"/>
        <w:spacing w:after="0" w:line="237"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the transfer of or exchange any Registered Security, or portion thereof, called for redemption, except the unredeemed portion of any Registered Security being redeemed in part; or</w:t>
      </w:r>
    </w:p>
    <w:p>
      <w:pPr>
        <w:spacing w:after="0" w:line="207" w:lineRule="exact"/>
        <w:rPr>
          <w:rFonts w:ascii="Courier New" w:cs="Courier New" w:eastAsia="Courier New" w:hAnsi="Courier New"/>
          <w:sz w:val="18"/>
          <w:szCs w:val="18"/>
          <w:color w:val="auto"/>
        </w:rPr>
      </w:pPr>
    </w:p>
    <w:p>
      <w:pPr>
        <w:ind w:left="1280" w:right="2239" w:hanging="640"/>
        <w:spacing w:after="0" w:line="237"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any Bearer Security called for redemption, except to exchange such Bearer Security for a Registered Security of that series and like tenor which is immediately surrendered for redemption. (Section 305)</w:t>
      </w:r>
    </w:p>
    <w:p>
      <w:pPr>
        <w:spacing w:after="0" w:line="207"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Replacement of Securities and Coupons. We will replace any mutilated Debt Security or any Debt Security with a mutilated coupon at the expense of the Holder upon surrender of the Debt Security to the Trustee. We will replace Debt Securities or coupons that become destroyed, stolen or lost at the expense of the Holder upon delivery to the Trustee of the Debt Security and coupons or evidence of destruction, loss or theft thereof satisfactory to us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w:t>
      </w:r>
    </w:p>
    <w:p>
      <w:pPr>
        <w:sectPr>
          <w:pgSz w:w="11900" w:h="16838" w:orient="portrait"/>
          <w:cols w:equalWidth="0" w:num="1">
            <w:col w:w="10139"/>
          </w:cols>
          <w:pgMar w:left="320" w:top="142" w:right="1440" w:bottom="0" w:gutter="0" w:footer="0" w:header="0"/>
        </w:sectPr>
      </w:pPr>
    </w:p>
    <w:bookmarkStart w:id="13" w:name="page14"/>
    <w:bookmarkEnd w:id="13"/>
    <w:p>
      <w:pPr>
        <w:ind w:right="2339"/>
        <w:spacing w:after="0" w:line="236" w:lineRule="auto"/>
        <w:rPr>
          <w:sz w:val="20"/>
          <w:szCs w:val="20"/>
          <w:color w:val="auto"/>
        </w:rPr>
      </w:pPr>
      <w:r>
        <w:rPr>
          <w:rFonts w:ascii="Courier New" w:cs="Courier New" w:eastAsia="Courier New" w:hAnsi="Courier New"/>
          <w:sz w:val="18"/>
          <w:szCs w:val="18"/>
          <w:color w:val="auto"/>
        </w:rPr>
        <w:t>indemnity satisfactory to the Trustee and to us may be required at the expense of the Holder of such Debt Security or coupon before a replacement Debt Security will be issued. (Section 306)</w:t>
      </w:r>
    </w:p>
    <w:p>
      <w:pPr>
        <w:spacing w:after="0" w:line="208"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we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 our offices or agencies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our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payment of principal of and any premium and interest on Registered Securities will be made at the office of the Paying Agent or Paying Agents as we may designate from time to time, except that at our option, payment of any interest may be made by check mailed on or before the due date to the address of the Person entitled thereto as such address shall appear in the Security Register. (Rule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215"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Unless otherwise indicated in an applicable prospectus supplement, the Trustee for the series of Debt Securities will act as our Paying Agent for payments with respect to Debt Securities which are issuable solely as Registered Securities and we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that we initially designate for the Debt Securities will be named in an applicable prospectus supplement. We may at any time designate additional Paying Agents or rescind the designation of any Paying Agent or approve a change in the office through which any Paying Agent acts, except that, if Debt Securities of a series are issuable solely as Registered Securities, we will be required to maintain a Paying Agent in each Place of Payment for such series and, if Debt Securities of a series are issuable as Bearer Securities, we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209" w:lineRule="exact"/>
        <w:rPr>
          <w:sz w:val="20"/>
          <w:szCs w:val="20"/>
          <w:color w:val="auto"/>
        </w:rPr>
      </w:pPr>
    </w:p>
    <w:p>
      <w:pPr>
        <w:ind w:right="2339" w:firstLine="632"/>
        <w:spacing w:after="0" w:line="272" w:lineRule="auto"/>
        <w:rPr>
          <w:sz w:val="20"/>
          <w:szCs w:val="20"/>
          <w:color w:val="auto"/>
        </w:rPr>
      </w:pPr>
      <w:r>
        <w:rPr>
          <w:rFonts w:ascii="Courier New" w:cs="Courier New" w:eastAsia="Courier New" w:hAnsi="Courier New"/>
          <w:sz w:val="16"/>
          <w:szCs w:val="16"/>
          <w:color w:val="auto"/>
        </w:rPr>
        <w:t>All moneys paid by us to a Paying Agent for the payment of principal of and any premium or interest on any Debt Security which remain unclaimed at the end of two years after such principal, premium or interest shall have become due and payable will (subject to applicable escheat laws) be repaid to us, and the Holder of such Debt Security or any coupon will thereafter look only to us for payment thereof. (Section 1003)</w:t>
      </w:r>
    </w:p>
    <w:p>
      <w:pPr>
        <w:spacing w:after="0" w:line="185"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ectPr>
          <w:pgSz w:w="11900" w:h="16838" w:orient="portrait"/>
          <w:cols w:equalWidth="0" w:num="1">
            <w:col w:w="10139"/>
          </w:cols>
          <w:pgMar w:left="320" w:top="142" w:right="1440" w:bottom="0" w:gutter="0" w:footer="0" w:header="0"/>
        </w:sectPr>
      </w:pPr>
    </w:p>
    <w:bookmarkStart w:id="14" w:name="page15"/>
    <w:bookmarkEnd w:id="14"/>
    <w:p>
      <w:pPr>
        <w:ind w:right="2239" w:firstLine="632"/>
        <w:spacing w:after="0" w:line="279" w:lineRule="auto"/>
        <w:rPr>
          <w:sz w:val="20"/>
          <w:szCs w:val="20"/>
          <w:color w:val="auto"/>
        </w:rPr>
      </w:pPr>
      <w:r>
        <w:rPr>
          <w:rFonts w:ascii="Courier New" w:cs="Courier New" w:eastAsia="Courier New" w:hAnsi="Courier New"/>
          <w:sz w:val="16"/>
          <w:szCs w:val="16"/>
          <w:color w:val="auto"/>
        </w:rPr>
        <w:t>The specific terms of the depository arrangement with respect to a series of Debt Securities in the form of one or more global Debt Securities will be described in the prospectus supplement relating to that series.</w:t>
      </w:r>
    </w:p>
    <w:p>
      <w:pPr>
        <w:spacing w:after="0" w:line="17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Satisfaction and Discharge of Indenture. Each Indenture provides that we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215" w:lineRule="exact"/>
        <w:rPr>
          <w:sz w:val="20"/>
          <w:szCs w:val="20"/>
          <w:color w:val="auto"/>
        </w:rPr>
      </w:pPr>
    </w:p>
    <w:p>
      <w:pPr>
        <w:ind w:right="2239" w:firstLine="632"/>
        <w:spacing w:after="0" w:line="268" w:lineRule="auto"/>
        <w:rPr>
          <w:sz w:val="20"/>
          <w:szCs w:val="20"/>
          <w:color w:val="auto"/>
        </w:rPr>
      </w:pPr>
      <w:r>
        <w:rPr>
          <w:rFonts w:ascii="Courier New" w:cs="Courier New" w:eastAsia="Courier New" w:hAnsi="Courier New"/>
          <w:sz w:val="16"/>
          <w:szCs w:val="16"/>
          <w:color w:val="auto"/>
        </w:rPr>
        <w:t>Defeasance and Discharge. Each Indenture provides that, if we so elect by Board Resolution with respect to the Debt Securities of any series issued under such Indenture (other than convertible Subordinated Debt Securities), we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we have delivered to the Trustee an Opinion of Counsel to the effect that (i) we have received from, or there has been published by, the 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Covenant Defeasance. Each Indenture also provides that, if we so elect by Board Resolution with respect to the Debt Securities of any series issued thereunder, we may omit to comply with certain restrictive covenants, including (in the case of the Senior Debt Indenture) the covenants described under "--Provisions Applicable Solely to Senior Debt Securities--Limitation on Liens" and "--Limitations on Sale and Leaseback Transactions," but excluding (in the case of the Subordinated Debt Indenture) any of our applicable obligations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Our obligations under such Indenture and the Debt Securities of such series other than with respect to such covenants shall remain in full force and effect. (Section 1303)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200" w:lineRule="exact"/>
        <w:rPr>
          <w:sz w:val="20"/>
          <w:szCs w:val="20"/>
          <w:color w:val="auto"/>
        </w:rPr>
      </w:pPr>
    </w:p>
    <w:p>
      <w:pPr>
        <w:spacing w:after="0" w:line="392" w:lineRule="exact"/>
        <w:rPr>
          <w:sz w:val="20"/>
          <w:szCs w:val="20"/>
          <w:color w:val="auto"/>
        </w:rPr>
      </w:pPr>
    </w:p>
    <w:p>
      <w:pPr>
        <w:ind w:right="2339" w:firstLine="632"/>
        <w:spacing w:after="0" w:line="279" w:lineRule="auto"/>
        <w:rPr>
          <w:sz w:val="20"/>
          <w:szCs w:val="20"/>
          <w:color w:val="auto"/>
        </w:rPr>
      </w:pPr>
      <w:r>
        <w:rPr>
          <w:rFonts w:ascii="Courier New" w:cs="Courier New" w:eastAsia="Courier New" w:hAnsi="Courier New"/>
          <w:sz w:val="16"/>
          <w:szCs w:val="16"/>
          <w:color w:val="auto"/>
        </w:rPr>
        <w:t>Although the amount of money and U.S. Government Obligations on deposit with the Trustee would be intended to be sufficient to pay amounts due on the Debt Securities of such series at the time of their Stated</w:t>
      </w:r>
    </w:p>
    <w:p>
      <w:pPr>
        <w:sectPr>
          <w:pgSz w:w="11900" w:h="16838" w:orient="portrait"/>
          <w:cols w:equalWidth="0" w:num="1">
            <w:col w:w="10139"/>
          </w:cols>
          <w:pgMar w:left="320" w:top="344" w:right="1440" w:bottom="0" w:gutter="0" w:footer="0" w:header="0"/>
        </w:sectPr>
      </w:pPr>
    </w:p>
    <w:bookmarkStart w:id="15" w:name="page16"/>
    <w:bookmarkEnd w:id="15"/>
    <w:p>
      <w:pPr>
        <w:ind w:right="2339"/>
        <w:spacing w:after="0" w:line="237" w:lineRule="auto"/>
        <w:rPr>
          <w:sz w:val="20"/>
          <w:szCs w:val="20"/>
          <w:color w:val="auto"/>
        </w:rPr>
      </w:pPr>
      <w:r>
        <w:rPr>
          <w:rFonts w:ascii="Courier New" w:cs="Courier New" w:eastAsia="Courier New" w:hAnsi="Courier New"/>
          <w:sz w:val="18"/>
          <w:szCs w:val="18"/>
          <w:color w:val="auto"/>
        </w:rPr>
        <w:t>Maturity, in the event we exercise our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We shall in any event remain liable for such payments as provided in the applicable Indenture.</w:t>
      </w:r>
    </w:p>
    <w:p>
      <w:pPr>
        <w:spacing w:after="0" w:line="212"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386"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Meetings, Modification and Waiver. We and the Trustee may modify and amend either Indenture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w:t>
      </w:r>
    </w:p>
    <w:p>
      <w:pPr>
        <w:spacing w:after="0" w:line="209" w:lineRule="exact"/>
        <w:rPr>
          <w:sz w:val="20"/>
          <w:szCs w:val="20"/>
          <w:color w:val="auto"/>
        </w:rPr>
      </w:pPr>
    </w:p>
    <w:p>
      <w:pPr>
        <w:ind w:left="640" w:right="2979"/>
        <w:spacing w:after="0" w:line="290" w:lineRule="auto"/>
        <w:tabs>
          <w:tab w:leader="none" w:pos="127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the Stated Maturity of the principal of, or any installment of principal of or interest on, any Debt Security;</w:t>
      </w:r>
    </w:p>
    <w:p>
      <w:pPr>
        <w:spacing w:after="0" w:line="163" w:lineRule="exact"/>
        <w:rPr>
          <w:rFonts w:ascii="Courier New" w:cs="Courier New" w:eastAsia="Courier New" w:hAnsi="Courier New"/>
          <w:sz w:val="16"/>
          <w:szCs w:val="16"/>
          <w:color w:val="auto"/>
        </w:rPr>
      </w:pPr>
    </w:p>
    <w:p>
      <w:pPr>
        <w:ind w:left="1280" w:hanging="640"/>
        <w:spacing w:after="0"/>
        <w:tabs>
          <w:tab w:leader="none" w:pos="12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Date with respect to any Debt Security;</w:t>
      </w:r>
    </w:p>
    <w:p>
      <w:pPr>
        <w:spacing w:after="0" w:line="206" w:lineRule="exact"/>
        <w:rPr>
          <w:rFonts w:ascii="Courier New" w:cs="Courier New" w:eastAsia="Courier New" w:hAnsi="Courier New"/>
          <w:sz w:val="18"/>
          <w:szCs w:val="18"/>
          <w:color w:val="auto"/>
        </w:rPr>
      </w:pPr>
    </w:p>
    <w:p>
      <w:pPr>
        <w:ind w:left="640" w:right="2339"/>
        <w:spacing w:after="0" w:line="235" w:lineRule="auto"/>
        <w:tabs>
          <w:tab w:leader="none" w:pos="127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premium or interest on, any Debt Security;</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pay additional amounts;</w:t>
      </w:r>
    </w:p>
    <w:p>
      <w:pPr>
        <w:spacing w:after="0" w:line="206" w:lineRule="exact"/>
        <w:rPr>
          <w:rFonts w:ascii="Courier New" w:cs="Courier New" w:eastAsia="Courier New" w:hAnsi="Courier New"/>
          <w:sz w:val="18"/>
          <w:szCs w:val="18"/>
          <w:color w:val="auto"/>
        </w:rPr>
      </w:pPr>
    </w:p>
    <w:p>
      <w:pPr>
        <w:ind w:left="640" w:right="2559"/>
        <w:spacing w:after="0" w:line="290" w:lineRule="auto"/>
        <w:tabs>
          <w:tab w:leader="none" w:pos="127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of principal of an Original Issue Discount Security payable upon acceleration of the Maturity thereof;</w:t>
      </w:r>
    </w:p>
    <w:p>
      <w:pPr>
        <w:spacing w:after="0" w:line="169" w:lineRule="exact"/>
        <w:rPr>
          <w:rFonts w:ascii="Courier New" w:cs="Courier New" w:eastAsia="Courier New" w:hAnsi="Courier New"/>
          <w:sz w:val="16"/>
          <w:szCs w:val="16"/>
          <w:color w:val="auto"/>
        </w:rPr>
      </w:pPr>
    </w:p>
    <w:p>
      <w:pPr>
        <w:ind w:left="640" w:right="2439"/>
        <w:spacing w:after="0" w:line="235" w:lineRule="auto"/>
        <w:tabs>
          <w:tab w:leader="none" w:pos="127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coin or currency in which any Debt Security or any premium or interest thereon is payable;</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right of any Holder;</w:t>
      </w:r>
    </w:p>
    <w:p>
      <w:pPr>
        <w:spacing w:after="0" w:line="206" w:lineRule="exact"/>
        <w:rPr>
          <w:rFonts w:ascii="Courier New" w:cs="Courier New" w:eastAsia="Courier New" w:hAnsi="Courier New"/>
          <w:sz w:val="18"/>
          <w:szCs w:val="18"/>
          <w:color w:val="auto"/>
        </w:rPr>
      </w:pPr>
    </w:p>
    <w:p>
      <w:pPr>
        <w:ind w:left="640" w:right="2439"/>
        <w:spacing w:after="0" w:line="236" w:lineRule="auto"/>
        <w:tabs>
          <w:tab w:leader="none" w:pos="127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Debt Security or any conversion right with respect thereto;</w:t>
      </w:r>
    </w:p>
    <w:p>
      <w:pPr>
        <w:spacing w:after="0" w:line="208" w:lineRule="exact"/>
        <w:rPr>
          <w:rFonts w:ascii="Courier New" w:cs="Courier New" w:eastAsia="Courier New" w:hAnsi="Courier New"/>
          <w:sz w:val="18"/>
          <w:szCs w:val="18"/>
          <w:color w:val="auto"/>
        </w:rPr>
      </w:pPr>
    </w:p>
    <w:p>
      <w:pPr>
        <w:ind w:left="640" w:right="2239"/>
        <w:spacing w:after="0" w:line="237" w:lineRule="auto"/>
        <w:tabs>
          <w:tab w:leader="none" w:pos="106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Outstanding Securities of any series, the consent of whose Holders is required for modification or amendment of such Indenture or for waiver of compliance with certain provisions of such Indenture or for waiver of certain defaults;</w:t>
      </w:r>
    </w:p>
    <w:p>
      <w:pPr>
        <w:spacing w:after="0" w:line="208" w:lineRule="exact"/>
        <w:rPr>
          <w:rFonts w:ascii="Courier New" w:cs="Courier New" w:eastAsia="Courier New" w:hAnsi="Courier New"/>
          <w:sz w:val="18"/>
          <w:szCs w:val="18"/>
          <w:color w:val="auto"/>
        </w:rPr>
      </w:pPr>
    </w:p>
    <w:p>
      <w:pPr>
        <w:ind w:left="640" w:right="2339"/>
        <w:spacing w:after="0" w:line="235" w:lineRule="auto"/>
        <w:tabs>
          <w:tab w:leader="none" w:pos="127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requirements contained in such Indenture for quorum or voting;</w:t>
      </w:r>
    </w:p>
    <w:p>
      <w:pPr>
        <w:spacing w:after="0" w:line="208" w:lineRule="exact"/>
        <w:rPr>
          <w:rFonts w:ascii="Courier New" w:cs="Courier New" w:eastAsia="Courier New" w:hAnsi="Courier New"/>
          <w:sz w:val="18"/>
          <w:szCs w:val="18"/>
          <w:color w:val="auto"/>
        </w:rPr>
      </w:pPr>
    </w:p>
    <w:p>
      <w:pPr>
        <w:ind w:left="640" w:right="2339"/>
        <w:spacing w:after="0" w:line="290" w:lineRule="auto"/>
        <w:tabs>
          <w:tab w:leader="none" w:pos="127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our obligation, if any, to maintain an office or agency in the places and for the purposes required by such Indenture;</w:t>
      </w:r>
    </w:p>
    <w:p>
      <w:pPr>
        <w:spacing w:after="0" w:line="169" w:lineRule="exact"/>
        <w:rPr>
          <w:rFonts w:ascii="Courier New" w:cs="Courier New" w:eastAsia="Courier New" w:hAnsi="Courier New"/>
          <w:sz w:val="16"/>
          <w:szCs w:val="16"/>
          <w:color w:val="auto"/>
        </w:rPr>
      </w:pPr>
    </w:p>
    <w:p>
      <w:pPr>
        <w:ind w:left="640" w:right="3079"/>
        <w:spacing w:after="0" w:line="235" w:lineRule="auto"/>
        <w:tabs>
          <w:tab w:leader="none" w:pos="127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affect the right to convert Subordinated Debt Securities, if applicable; or</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any of the above provisions.  (Section 902)</w:t>
      </w:r>
    </w:p>
    <w:p>
      <w:pPr>
        <w:spacing w:after="0" w:line="207"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The Subordinated Debt Indenture may not be amended to alter the subordination of any outstanding Subordinated Debt Securities without the consent of each holder of Senior Indebtedness (as defined below under "--Provisions Applicable Solely to Subordinated Debt Securities") then outstanding that would be adversely affected thereby. (Section 907 of the Subordinated Debt Indenture)</w:t>
      </w:r>
    </w:p>
    <w:p>
      <w:pPr>
        <w:spacing w:after="0" w:line="209"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The Holders of a majority in aggregate principal amount of the Outstanding Securities of each series may, on behalf of all Holders of that series, waive, insofar as that series is concerned, our compliance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 that series, waive any past default under the</w:t>
      </w:r>
    </w:p>
    <w:p>
      <w:pPr>
        <w:sectPr>
          <w:pgSz w:w="11900" w:h="16838" w:orient="portrait"/>
          <w:cols w:equalWidth="0" w:num="1">
            <w:col w:w="10139"/>
          </w:cols>
          <w:pgMar w:left="320" w:top="142" w:right="1440" w:bottom="0" w:gutter="0" w:footer="0" w:header="0"/>
        </w:sectPr>
      </w:pPr>
    </w:p>
    <w:bookmarkStart w:id="16" w:name="page17"/>
    <w:bookmarkEnd w:id="16"/>
    <w:p>
      <w:pPr>
        <w:ind w:right="2239"/>
        <w:spacing w:after="0" w:line="237" w:lineRule="auto"/>
        <w:rPr>
          <w:sz w:val="20"/>
          <w:szCs w:val="20"/>
          <w:color w:val="auto"/>
        </w:rPr>
      </w:pPr>
      <w:r>
        <w:rPr>
          <w:rFonts w:ascii="Courier New" w:cs="Courier New" w:eastAsia="Courier New" w:hAnsi="Courier New"/>
          <w:sz w:val="18"/>
          <w:szCs w:val="18"/>
          <w:color w:val="auto"/>
        </w:rPr>
        <w:t>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209" w:lineRule="exact"/>
        <w:rPr>
          <w:sz w:val="20"/>
          <w:szCs w:val="20"/>
          <w:color w:val="auto"/>
        </w:rPr>
      </w:pPr>
    </w:p>
    <w:p>
      <w:pPr>
        <w:ind w:right="2239" w:firstLine="632"/>
        <w:spacing w:after="0" w:line="268"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w:t>
      </w:r>
    </w:p>
    <w:p>
      <w:pPr>
        <w:ind w:right="223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214"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Each Indenture contains provisions for convening meetings of the Holders of a series if Debt Securities of that series are issuable as Bearer Securities. (Section 1401) A meeting may be called at any time by the Trustee, and also, upon request, by us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 reconvened meeting, will be Persons holding or representing a majority in aggregate principal amount of the Outstanding Securities of a series. (Section 1404)</w:t>
      </w:r>
    </w:p>
    <w:p>
      <w:pPr>
        <w:spacing w:after="0" w:line="210"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210" w:lineRule="exact"/>
        <w:rPr>
          <w:sz w:val="20"/>
          <w:szCs w:val="20"/>
          <w:color w:val="auto"/>
        </w:rPr>
      </w:pPr>
    </w:p>
    <w:p>
      <w:pPr>
        <w:ind w:right="2339" w:firstLine="632"/>
        <w:spacing w:after="0" w:line="236" w:lineRule="auto"/>
        <w:rPr>
          <w:sz w:val="20"/>
          <w:szCs w:val="20"/>
          <w:color w:val="auto"/>
        </w:rPr>
      </w:pPr>
      <w:r>
        <w:rPr>
          <w:rFonts w:ascii="Courier New" w:cs="Courier New" w:eastAsia="Courier New" w:hAnsi="Courier New"/>
          <w:sz w:val="18"/>
          <w:szCs w:val="18"/>
          <w:color w:val="auto"/>
        </w:rPr>
        <w:t>Governing Law. The Indentures, the Debt Securities and coupons will be governed by, and construed in accordance with, the laws of the State of New York. (Section 113)</w:t>
      </w:r>
    </w:p>
    <w:p>
      <w:pPr>
        <w:spacing w:after="0" w:line="208" w:lineRule="exact"/>
        <w:rPr>
          <w:sz w:val="20"/>
          <w:szCs w:val="20"/>
          <w:color w:val="auto"/>
        </w:rPr>
      </w:pPr>
    </w:p>
    <w:p>
      <w:pPr>
        <w:ind w:right="2439" w:firstLine="632"/>
        <w:spacing w:after="0" w:line="236" w:lineRule="auto"/>
        <w:rPr>
          <w:sz w:val="20"/>
          <w:szCs w:val="20"/>
          <w:color w:val="auto"/>
        </w:rPr>
      </w:pPr>
      <w:r>
        <w:rPr>
          <w:rFonts w:ascii="Courier New" w:cs="Courier New" w:eastAsia="Courier New" w:hAnsi="Courier New"/>
          <w:sz w:val="18"/>
          <w:szCs w:val="18"/>
          <w:color w:val="auto"/>
        </w:rPr>
        <w:t>Regarding the Trustee. The Trustee appointed and serving as trustee pursuant to each of the Senior Debt Indenture and the Subordinated Debt Indenture is Chase Bank.</w:t>
      </w:r>
    </w:p>
    <w:p>
      <w:pPr>
        <w:spacing w:after="0" w:line="208" w:lineRule="exact"/>
        <w:rPr>
          <w:sz w:val="20"/>
          <w:szCs w:val="20"/>
          <w:color w:val="auto"/>
        </w:rPr>
      </w:pPr>
    </w:p>
    <w:p>
      <w:pPr>
        <w:ind w:right="2559" w:firstLine="632"/>
        <w:spacing w:after="0" w:line="268" w:lineRule="auto"/>
        <w:rPr>
          <w:sz w:val="20"/>
          <w:szCs w:val="20"/>
          <w:color w:val="auto"/>
        </w:rPr>
      </w:pPr>
      <w:r>
        <w:rPr>
          <w:rFonts w:ascii="Courier New" w:cs="Courier New" w:eastAsia="Courier New" w:hAnsi="Courier New"/>
          <w:sz w:val="16"/>
          <w:szCs w:val="16"/>
          <w:color w:val="auto"/>
        </w:rPr>
        <w:t>Each Indenture contains certain limitations on the right of the Trustee, should it become our creditor, to obtain payment of claims in certain cases, or to realize for its own account on certain property received in respect of any such claim as security or otherwise. (Section</w:t>
      </w:r>
    </w:p>
    <w:p>
      <w:pPr>
        <w:ind w:right="2759" w:firstLine="8"/>
        <w:spacing w:after="0" w:line="279" w:lineRule="auto"/>
        <w:tabs>
          <w:tab w:leader="none" w:pos="526"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is permitted to engage in certain other transactions; however, if it acquires any conflicting interest (as described in the Indentures), it must eliminate such conflict or resign. (Section 608)</w:t>
      </w:r>
    </w:p>
    <w:p>
      <w:pPr>
        <w:spacing w:after="0" w:line="178" w:lineRule="exact"/>
        <w:rPr>
          <w:sz w:val="20"/>
          <w:szCs w:val="20"/>
          <w:color w:val="auto"/>
        </w:rPr>
      </w:pPr>
    </w:p>
    <w:p>
      <w:pPr>
        <w:jc w:val="both"/>
        <w:ind w:right="2239" w:firstLine="632"/>
        <w:spacing w:after="0" w:line="237" w:lineRule="auto"/>
        <w:rPr>
          <w:sz w:val="20"/>
          <w:szCs w:val="20"/>
          <w:color w:val="auto"/>
        </w:rPr>
      </w:pPr>
      <w:r>
        <w:rPr>
          <w:rFonts w:ascii="Courier New" w:cs="Courier New" w:eastAsia="Courier New" w:hAnsi="Courier New"/>
          <w:sz w:val="18"/>
          <w:szCs w:val="18"/>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209" w:lineRule="exact"/>
        <w:rPr>
          <w:sz w:val="20"/>
          <w:szCs w:val="20"/>
          <w:color w:val="auto"/>
        </w:rPr>
      </w:pPr>
    </w:p>
    <w:p>
      <w:pPr>
        <w:jc w:val="both"/>
        <w:ind w:right="2239" w:firstLine="632"/>
        <w:spacing w:after="0" w:line="290" w:lineRule="auto"/>
        <w:rPr>
          <w:sz w:val="20"/>
          <w:szCs w:val="20"/>
          <w:color w:val="auto"/>
        </w:rPr>
      </w:pPr>
      <w:r>
        <w:rPr>
          <w:rFonts w:ascii="Courier New" w:cs="Courier New" w:eastAsia="Courier New" w:hAnsi="Courier New"/>
          <w:sz w:val="16"/>
          <w:szCs w:val="16"/>
          <w:color w:val="auto"/>
        </w:rPr>
        <w:t>In case an Event of Default shall occur (and shall not be cured) under any Indenture relating to a series of Debt Securities and is known to</w:t>
      </w:r>
    </w:p>
    <w:p>
      <w:pPr>
        <w:sectPr>
          <w:pgSz w:w="11900" w:h="16838" w:orient="portrait"/>
          <w:cols w:equalWidth="0" w:num="1">
            <w:col w:w="10139"/>
          </w:cols>
          <w:pgMar w:left="320" w:top="142" w:right="1440" w:bottom="0" w:gutter="0" w:footer="0" w:header="0"/>
        </w:sectPr>
      </w:pPr>
    </w:p>
    <w:bookmarkStart w:id="17" w:name="page18"/>
    <w:bookmarkEnd w:id="17"/>
    <w:p>
      <w:pPr>
        <w:ind w:right="2239"/>
        <w:spacing w:after="0" w:line="237" w:lineRule="auto"/>
        <w:rPr>
          <w:sz w:val="20"/>
          <w:szCs w:val="20"/>
          <w:color w:val="auto"/>
        </w:rPr>
      </w:pPr>
      <w:r>
        <w:rPr>
          <w:rFonts w:ascii="Courier New" w:cs="Courier New" w:eastAsia="Courier New" w:hAnsi="Courier New"/>
          <w:sz w:val="18"/>
          <w:szCs w:val="18"/>
          <w:color w:val="auto"/>
        </w:rPr>
        <w:t>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212"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 Indenture Act. In such event, the obligor must take prompt steps to have a successor trustee appointed in the manner provided in the indenture from which the trustee has resigned. Accordingly, Chase Bank, as trustee under the Senior Debt Indenture and the Subordinated Debt Indenture, could be required to resign as trustee under one of such Indentures should a default occur under one of such Indentures. In such event, we would be required to take prompt steps to have a successor trustee or successor trustees appointed in the manner provided in the applicable Indenture.</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Chase Bank, as the trustee under the Senior Debt Indenture and the Subordinated Debt Indenture, may be a depositary for funds of, may make loans to and may perform other routine banking services for us and certain of our affiliates in the normal course of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SENIOR DEBT SECURITIES</w:t>
      </w:r>
    </w:p>
    <w:p>
      <w:pPr>
        <w:spacing w:after="0" w:line="207" w:lineRule="exact"/>
        <w:rPr>
          <w:sz w:val="20"/>
          <w:szCs w:val="20"/>
          <w:color w:val="auto"/>
        </w:rPr>
      </w:pPr>
    </w:p>
    <w:p>
      <w:pPr>
        <w:ind w:right="2239" w:firstLine="632"/>
        <w:spacing w:after="0" w:line="273" w:lineRule="auto"/>
        <w:rPr>
          <w:sz w:val="20"/>
          <w:szCs w:val="20"/>
          <w:color w:val="auto"/>
        </w:rPr>
      </w:pPr>
      <w:r>
        <w:rPr>
          <w:rFonts w:ascii="Courier New" w:cs="Courier New" w:eastAsia="Courier New" w:hAnsi="Courier New"/>
          <w:sz w:val="16"/>
          <w:szCs w:val="16"/>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184" w:lineRule="exact"/>
        <w:rPr>
          <w:sz w:val="20"/>
          <w:szCs w:val="20"/>
          <w:color w:val="auto"/>
        </w:rPr>
      </w:pPr>
    </w:p>
    <w:p>
      <w:pPr>
        <w:jc w:val="both"/>
        <w:ind w:right="2439" w:firstLine="632"/>
        <w:spacing w:after="0" w:line="236" w:lineRule="auto"/>
        <w:rPr>
          <w:sz w:val="20"/>
          <w:szCs w:val="20"/>
          <w:color w:val="auto"/>
        </w:rPr>
      </w:pPr>
      <w:r>
        <w:rPr>
          <w:rFonts w:ascii="Courier New" w:cs="Courier New" w:eastAsia="Courier New" w:hAnsi="Courier New"/>
          <w:sz w:val="18"/>
          <w:szCs w:val="18"/>
          <w:color w:val="auto"/>
        </w:rPr>
        <w:t>Certain Definitions. For purposes of the following discussion, the following definitions are applicable (Section 1008 and 1009 of the Senior Debt Indenture).</w:t>
      </w:r>
    </w:p>
    <w:p>
      <w:pPr>
        <w:spacing w:after="0" w:line="208"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"Attributable Debt" shall mean, as of any particular time, the present value, discounted at a rate per annum equal to (i) the implied lease rate of or (ii) if the implied lease rate is not known to us, then the weighted average interest rate of all Senior Debt Securities outstanding at the time under the Senior Debt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207" w:lineRule="exact"/>
        <w:rPr>
          <w:sz w:val="20"/>
          <w:szCs w:val="20"/>
          <w:color w:val="auto"/>
        </w:rPr>
      </w:pPr>
    </w:p>
    <w:p>
      <w:pPr>
        <w:ind w:right="2559" w:firstLine="632"/>
        <w:spacing w:after="0" w:line="268" w:lineRule="auto"/>
        <w:rPr>
          <w:sz w:val="20"/>
          <w:szCs w:val="20"/>
          <w:color w:val="auto"/>
        </w:rPr>
      </w:pPr>
      <w:r>
        <w:rPr>
          <w:rFonts w:ascii="Courier New" w:cs="Courier New" w:eastAsia="Courier New" w:hAnsi="Courier New"/>
          <w:sz w:val="16"/>
          <w:szCs w:val="16"/>
          <w:color w:val="auto"/>
        </w:rPr>
        <w:t>"Consolidated Net Tangible Assets" shall mean, at any date of determination, the total amount of our assets after deducting therefrom:</w:t>
      </w:r>
    </w:p>
    <w:p>
      <w:pPr>
        <w:ind w:right="2239" w:firstLine="8"/>
        <w:spacing w:after="0" w:line="270"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and our consolidated subsidiaries' consolidated balance sheet for our most recently completed fiscal quarter, prepared in accordance with United States generally accepted accounting principles.</w:t>
      </w:r>
    </w:p>
    <w:p>
      <w:pPr>
        <w:spacing w:after="0" w:line="188"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w:t>
      </w:r>
    </w:p>
    <w:p>
      <w:pPr>
        <w:sectPr>
          <w:pgSz w:w="11900" w:h="16838" w:orient="portrait"/>
          <w:cols w:equalWidth="0" w:num="1">
            <w:col w:w="10139"/>
          </w:cols>
          <w:pgMar w:left="320" w:top="142" w:right="1440" w:bottom="0" w:gutter="0" w:footer="0" w:header="0"/>
        </w:sectPr>
      </w:pPr>
    </w:p>
    <w:bookmarkStart w:id="18" w:name="page19"/>
    <w:bookmarkEnd w:id="18"/>
    <w:p>
      <w:pPr>
        <w:ind w:right="2239"/>
        <w:spacing w:after="0" w:line="237" w:lineRule="auto"/>
        <w:rPr>
          <w:sz w:val="20"/>
          <w:szCs w:val="20"/>
          <w:color w:val="auto"/>
        </w:rPr>
      </w:pPr>
      <w:r>
        <w:rPr>
          <w:rFonts w:ascii="Courier New" w:cs="Courier New" w:eastAsia="Courier New" w:hAnsi="Courier New"/>
          <w:sz w:val="18"/>
          <w:szCs w:val="18"/>
          <w:color w:val="auto"/>
        </w:rPr>
        <w:t>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"Indebtedness" of any Person shall mean</w:t>
      </w:r>
    </w:p>
    <w:p>
      <w:pPr>
        <w:spacing w:after="0" w:line="207" w:lineRule="exact"/>
        <w:rPr>
          <w:sz w:val="20"/>
          <w:szCs w:val="20"/>
          <w:color w:val="auto"/>
        </w:rPr>
      </w:pPr>
    </w:p>
    <w:p>
      <w:pPr>
        <w:ind w:left="640" w:right="2559"/>
        <w:spacing w:after="0" w:line="237" w:lineRule="auto"/>
        <w:tabs>
          <w:tab w:leader="none" w:pos="106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210" w:lineRule="exact"/>
        <w:rPr>
          <w:rFonts w:ascii="Courier New" w:cs="Courier New" w:eastAsia="Courier New" w:hAnsi="Courier New"/>
          <w:sz w:val="18"/>
          <w:szCs w:val="18"/>
          <w:color w:val="auto"/>
        </w:rPr>
      </w:pPr>
    </w:p>
    <w:p>
      <w:pPr>
        <w:ind w:left="640" w:right="2559"/>
        <w:spacing w:after="0" w:line="237" w:lineRule="auto"/>
        <w:tabs>
          <w:tab w:leader="none" w:pos="106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207" w:lineRule="exact"/>
        <w:rPr>
          <w:rFonts w:ascii="Courier New" w:cs="Courier New" w:eastAsia="Courier New" w:hAnsi="Courier New"/>
          <w:sz w:val="18"/>
          <w:szCs w:val="18"/>
          <w:color w:val="auto"/>
        </w:rPr>
      </w:pPr>
    </w:p>
    <w:p>
      <w:pPr>
        <w:ind w:left="640" w:right="2559"/>
        <w:spacing w:after="0" w:line="235" w:lineRule="auto"/>
        <w:tabs>
          <w:tab w:leader="none" w:pos="106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not so included as liabilities in accordance with generally accepted accounting principles,</w:t>
      </w:r>
    </w:p>
    <w:p>
      <w:pPr>
        <w:spacing w:after="0" w:line="208" w:lineRule="exact"/>
        <w:rPr>
          <w:rFonts w:ascii="Courier New" w:cs="Courier New" w:eastAsia="Courier New" w:hAnsi="Courier New"/>
          <w:sz w:val="18"/>
          <w:szCs w:val="18"/>
          <w:color w:val="auto"/>
        </w:rPr>
      </w:pPr>
    </w:p>
    <w:p>
      <w:pPr>
        <w:ind w:left="640" w:right="2239" w:firstLine="632"/>
        <w:spacing w:after="0" w:line="237" w:lineRule="auto"/>
        <w:tabs>
          <w:tab w:leader="none" w:pos="1693"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203"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Guaranties of such Person.</w:t>
      </w:r>
    </w:p>
    <w:p>
      <w:pPr>
        <w:spacing w:after="0" w:line="207" w:lineRule="exact"/>
        <w:rPr>
          <w:sz w:val="20"/>
          <w:szCs w:val="20"/>
          <w:color w:val="auto"/>
        </w:rPr>
      </w:pPr>
    </w:p>
    <w:p>
      <w:pPr>
        <w:ind w:right="2339" w:firstLine="632"/>
        <w:spacing w:after="0" w:line="268" w:lineRule="auto"/>
        <w:rPr>
          <w:sz w:val="20"/>
          <w:szCs w:val="20"/>
          <w:color w:val="auto"/>
        </w:rPr>
      </w:pPr>
      <w:r>
        <w:rPr>
          <w:rFonts w:ascii="Courier New" w:cs="Courier New" w:eastAsia="Courier New" w:hAnsi="Courier New"/>
          <w:sz w:val="16"/>
          <w:szCs w:val="16"/>
          <w:color w:val="auto"/>
        </w:rPr>
        <w:t>"Principal Property" shall mean any waste processing, waste disposal or resource recovery plant or similar facility located within the United States (other than its territories and possessions and Puerto Rico) or Canada and owned by, or leased to, us or any Restricted Subsidiary, except</w:t>
      </w:r>
    </w:p>
    <w:p>
      <w:pPr>
        <w:ind w:right="2239" w:firstLine="8"/>
        <w:spacing w:after="0" w:line="268" w:lineRule="auto"/>
        <w:tabs>
          <w:tab w:leader="none" w:pos="42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plant or facility (i) owned or leased jointly or in common with one or more persons other than us and any Restricted Subsidiaries in which our and our Restricted Subsidiaries' interest does not exceed 50%, or</w:t>
      </w:r>
    </w:p>
    <w:p>
      <w:pPr>
        <w:ind w:right="2239" w:firstLine="8"/>
        <w:spacing w:after="0" w:line="237" w:lineRule="auto"/>
        <w:tabs>
          <w:tab w:leader="none" w:pos="52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the Board of Directors determines in good faith is not of material importance to our and our subsidiaries', as an entity, total business conducted, or assets owned, or (b) any portion of such plant or facility which the Board of Directors determines in good faith not to be of material importance to the use or operation thereof.</w:t>
      </w:r>
    </w:p>
    <w:p>
      <w:pPr>
        <w:spacing w:after="0" w:line="208"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"Restricted Subsidiary" shall mean any Subsidiary (other than any Subsidiary of which we own directly or indirectly 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shall designate as a Restricted Subsidiary in an Officers' Certificate delivered to the Trustee.</w:t>
      </w:r>
    </w:p>
    <w:p>
      <w:pPr>
        <w:spacing w:after="0" w:line="187" w:lineRule="exact"/>
        <w:rPr>
          <w:sz w:val="20"/>
          <w:szCs w:val="20"/>
          <w:color w:val="auto"/>
        </w:rPr>
      </w:pPr>
    </w:p>
    <w:p>
      <w:pPr>
        <w:ind w:right="2759" w:firstLine="632"/>
        <w:spacing w:after="0" w:line="237" w:lineRule="auto"/>
        <w:rPr>
          <w:sz w:val="20"/>
          <w:szCs w:val="20"/>
          <w:color w:val="auto"/>
        </w:rPr>
      </w:pPr>
      <w:r>
        <w:rPr>
          <w:rFonts w:ascii="Courier New" w:cs="Courier New" w:eastAsia="Courier New" w:hAnsi="Courier New"/>
          <w:sz w:val="18"/>
          <w:szCs w:val="18"/>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08"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Consolidation, Merger, Sale. The Senior Debt Indenture provides that we may not consolidate with or merge into any other Person or convey, transfer or lease our properties and assets substantially as an entirety to any Person, unless (1) the Person formed by such consolidation or into which we are merged or the Person which acquires by conveyance or transfer, or which leases, our properties and assets we are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to be performed or observed on our part; and (2) immediately after giving effect to such transaction and treating any indebtedness which becomes our or our Subsidiary's obligation</w:t>
      </w:r>
    </w:p>
    <w:p>
      <w:pPr>
        <w:sectPr>
          <w:pgSz w:w="11900" w:h="16838" w:orient="portrait"/>
          <w:cols w:equalWidth="0" w:num="1">
            <w:col w:w="10139"/>
          </w:cols>
          <w:pgMar w:left="320" w:top="142" w:right="1440" w:bottom="0" w:gutter="0" w:footer="0" w:header="0"/>
        </w:sectPr>
      </w:pPr>
    </w:p>
    <w:bookmarkStart w:id="19" w:name="page20"/>
    <w:bookmarkEnd w:id="19"/>
    <w:p>
      <w:pPr>
        <w:ind w:right="2239"/>
        <w:spacing w:after="0" w:line="238" w:lineRule="auto"/>
        <w:rPr>
          <w:sz w:val="20"/>
          <w:szCs w:val="20"/>
          <w:color w:val="auto"/>
        </w:rPr>
      </w:pPr>
      <w:r>
        <w:rPr>
          <w:rFonts w:ascii="Courier New" w:cs="Courier New" w:eastAsia="Courier New" w:hAnsi="Courier New"/>
          <w:sz w:val="18"/>
          <w:szCs w:val="18"/>
          <w:color w:val="auto"/>
        </w:rPr>
        <w:t>as a result of such transaction as having been incurred by us or our Subsidiary at the time of such transaction, no Event of Default, and no event which, after notice or lapse of time or both, would become an Event of Default, shall have happened and be continuing. 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Senior Debt Indenture with the same effect as if such successor Person had been named as us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207" w:lineRule="exact"/>
        <w:rPr>
          <w:sz w:val="20"/>
          <w:szCs w:val="20"/>
          <w:color w:val="auto"/>
        </w:rPr>
      </w:pPr>
    </w:p>
    <w:p>
      <w:pPr>
        <w:ind w:right="2339" w:firstLine="632"/>
        <w:spacing w:after="0" w:line="279" w:lineRule="auto"/>
        <w:rPr>
          <w:sz w:val="20"/>
          <w:szCs w:val="20"/>
          <w:color w:val="auto"/>
        </w:rPr>
      </w:pPr>
      <w:r>
        <w:rPr>
          <w:rFonts w:ascii="Courier New" w:cs="Courier New" w:eastAsia="Courier New" w:hAnsi="Courier New"/>
          <w:sz w:val="16"/>
          <w:szCs w:val="16"/>
          <w:color w:val="auto"/>
        </w:rPr>
        <w:t>Limitation on Liens. Unless provided otherwise in the applicable prospectus supplement, the provisions of this covenant shall apply to each series of Senior Debt Securities issued under the Senior Debt Indenture:</w:t>
      </w:r>
    </w:p>
    <w:p>
      <w:pPr>
        <w:spacing w:after="0" w:line="178" w:lineRule="exact"/>
        <w:rPr>
          <w:sz w:val="20"/>
          <w:szCs w:val="20"/>
          <w:color w:val="auto"/>
        </w:rPr>
      </w:pPr>
    </w:p>
    <w:p>
      <w:pPr>
        <w:ind w:left="640" w:right="2239"/>
        <w:spacing w:after="0" w:line="238" w:lineRule="auto"/>
        <w:tabs>
          <w:tab w:leader="none" w:pos="106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not, and we will not permit any of our Restricted Subsidiaries to, create, incur, assume or suffer to exist, directly or indirectly, any Indebtedness secured by a Security Interest upon any Principal Property of us or of a Restricted Subsidiary, whether owned as of the date of this Indenture or hereafter acquired, without making effective provision (and we hereby covenant that in any such case we shall make or cause to be made effective provision) whereby the Senior Debt Securities of that series then outstanding and any other Indebtedness of us or any Restricted Subsidiary then entitled thereto shall be secured by such Security Interest equally and ratably with (or, in the case of the Senior Debt Securities of that series and if we shall so determine, prior to) any and all other Indebtedness of us or any Restricted Subsidiary thereby secured for so long as any such other Indebtedness of us or any Restricted Subsidiary shall be so secured; provided, that nothing in the Senior Debt Indenture shall prevent, restrict or apply to Indebtedness secured by:</w:t>
      </w:r>
    </w:p>
    <w:p>
      <w:pPr>
        <w:spacing w:after="0" w:line="207" w:lineRule="exact"/>
        <w:rPr>
          <w:rFonts w:ascii="Courier New" w:cs="Courier New" w:eastAsia="Courier New" w:hAnsi="Courier New"/>
          <w:sz w:val="18"/>
          <w:szCs w:val="18"/>
          <w:color w:val="auto"/>
        </w:rPr>
      </w:pPr>
    </w:p>
    <w:p>
      <w:pPr>
        <w:ind w:left="640" w:right="2239" w:firstLine="632"/>
        <w:spacing w:after="0" w:line="268" w:lineRule="auto"/>
        <w:tabs>
          <w:tab w:leader="none" w:pos="1693"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w:t>
      </w:r>
    </w:p>
    <w:p>
      <w:pPr>
        <w:ind w:left="640" w:right="2239"/>
        <w:spacing w:after="0" w:line="269" w:lineRule="auto"/>
        <w:tabs>
          <w:tab w:leader="none" w:pos="106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us or any Restricted Subsidiary; or (c) any conditional sales agreement or other title retention agreement with respect to any property or assets acquired by us or any Restricted Subsidiary, or (d) any Security Interest existing on the property or assets or shares of stock of a corporation or firm at the time such corporation or firm is merged into or consolidated with us or any Restricted Subsidiary or at the time of a sale, lease or other disposition of the property or assets of such corporation or firm as an entirety or substantially as an entirety to us or any Restricted Subsidiary or at the time such corporation becomes a Restricted Subsidiary; or (e) any Security Interest existing on the property, assets or shares of stock of any successor which shall have become us in accordance with the provisions of the covenant described in "--Provisions Applicable Solely to Senior Debt Securities--Consolidation, Merger and Sale of Assets"; provided, in each case, that any such Security Interest described in the foregoing clauses (b), (c), (d) or (e) does not attach to or affect property or assets owned by us or any Restricted Subsidiary prior to the event referred to in such clauses; or</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left="640" w:right="2239" w:firstLine="632"/>
        <w:spacing w:after="0" w:line="237" w:lineRule="auto"/>
        <w:tabs>
          <w:tab w:leader="none" w:pos="169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207" w:lineRule="exact"/>
        <w:rPr>
          <w:rFonts w:ascii="Courier New" w:cs="Courier New" w:eastAsia="Courier New" w:hAnsi="Courier New"/>
          <w:sz w:val="18"/>
          <w:szCs w:val="18"/>
          <w:color w:val="auto"/>
        </w:rPr>
      </w:pPr>
    </w:p>
    <w:p>
      <w:pPr>
        <w:ind w:left="640" w:right="2239" w:firstLine="632"/>
        <w:spacing w:after="0" w:line="272" w:lineRule="auto"/>
        <w:tabs>
          <w:tab w:leader="none" w:pos="169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w:t>
      </w:r>
    </w:p>
    <w:p>
      <w:pPr>
        <w:sectPr>
          <w:pgSz w:w="11900" w:h="16838" w:orient="portrait"/>
          <w:cols w:equalWidth="0" w:num="1">
            <w:col w:w="10139"/>
          </w:cols>
          <w:pgMar w:left="320" w:top="142" w:right="1440" w:bottom="0" w:gutter="0" w:footer="0" w:header="0"/>
        </w:sectPr>
      </w:pPr>
    </w:p>
    <w:bookmarkStart w:id="20" w:name="page21"/>
    <w:bookmarkEnd w:id="20"/>
    <w:p>
      <w:pPr>
        <w:ind w:left="640" w:right="2239"/>
        <w:spacing w:after="0" w:line="237" w:lineRule="auto"/>
        <w:rPr>
          <w:sz w:val="20"/>
          <w:szCs w:val="20"/>
          <w:color w:val="auto"/>
        </w:rPr>
      </w:pPr>
      <w:r>
        <w:rPr>
          <w:rFonts w:ascii="Courier New" w:cs="Courier New" w:eastAsia="Courier New" w:hAnsi="Courier New"/>
          <w:sz w:val="18"/>
          <w:szCs w:val="18"/>
          <w:color w:val="auto"/>
        </w:rPr>
        <w:t>Interest arising by reason of one or more letters of credit in connection with any international waste management contract to be performed by us or any of our Subsidiaries or our or their respective affiliates); or</w:t>
      </w:r>
    </w:p>
    <w:p>
      <w:pPr>
        <w:spacing w:after="0" w:line="207" w:lineRule="exact"/>
        <w:rPr>
          <w:sz w:val="20"/>
          <w:szCs w:val="20"/>
          <w:color w:val="auto"/>
        </w:rPr>
      </w:pPr>
    </w:p>
    <w:p>
      <w:pPr>
        <w:ind w:left="640" w:right="2239" w:firstLine="632"/>
        <w:spacing w:after="0" w:line="275" w:lineRule="auto"/>
        <w:tabs>
          <w:tab w:leader="none" w:pos="169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81" w:lineRule="exact"/>
        <w:rPr>
          <w:rFonts w:ascii="Courier New" w:cs="Courier New" w:eastAsia="Courier New" w:hAnsi="Courier New"/>
          <w:sz w:val="16"/>
          <w:szCs w:val="16"/>
          <w:color w:val="auto"/>
        </w:rPr>
      </w:pPr>
    </w:p>
    <w:p>
      <w:pPr>
        <w:ind w:left="640" w:right="2559" w:firstLine="632"/>
        <w:spacing w:after="0" w:line="237" w:lineRule="auto"/>
        <w:tabs>
          <w:tab w:leader="none" w:pos="169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(including judgment liens) arising in connection with legal proceedings so long as such proceedings are being contested in good faith and, in the case of judgment liens, execution thereon is stayed; or</w:t>
      </w:r>
    </w:p>
    <w:p>
      <w:pPr>
        <w:spacing w:after="0" w:line="207" w:lineRule="exact"/>
        <w:rPr>
          <w:rFonts w:ascii="Courier New" w:cs="Courier New" w:eastAsia="Courier New" w:hAnsi="Courier New"/>
          <w:sz w:val="18"/>
          <w:szCs w:val="18"/>
          <w:color w:val="auto"/>
        </w:rPr>
      </w:pPr>
    </w:p>
    <w:p>
      <w:pPr>
        <w:ind w:left="640" w:right="2339" w:firstLine="632"/>
        <w:spacing w:after="0" w:line="236" w:lineRule="auto"/>
        <w:tabs>
          <w:tab w:leader="none" w:pos="169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liens on fixtures located on premises leased by us or any Restricted Subsidiary in the ordinary course of business; or</w:t>
      </w:r>
    </w:p>
    <w:p>
      <w:pPr>
        <w:spacing w:after="0" w:line="208" w:lineRule="exact"/>
        <w:rPr>
          <w:rFonts w:ascii="Courier New" w:cs="Courier New" w:eastAsia="Courier New" w:hAnsi="Courier New"/>
          <w:sz w:val="18"/>
          <w:szCs w:val="18"/>
          <w:color w:val="auto"/>
        </w:rPr>
      </w:pPr>
    </w:p>
    <w:p>
      <w:pPr>
        <w:ind w:left="640" w:right="3179" w:firstLine="632"/>
        <w:spacing w:after="0" w:line="236" w:lineRule="auto"/>
        <w:tabs>
          <w:tab w:leader="none" w:pos="169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 favor of any governmental authority in connection with the financing of the cost of construction or acquisition of property; or</w:t>
      </w:r>
    </w:p>
    <w:p>
      <w:pPr>
        <w:spacing w:after="0" w:line="208" w:lineRule="exact"/>
        <w:rPr>
          <w:rFonts w:ascii="Courier New" w:cs="Courier New" w:eastAsia="Courier New" w:hAnsi="Courier New"/>
          <w:sz w:val="18"/>
          <w:szCs w:val="18"/>
          <w:color w:val="auto"/>
        </w:rPr>
      </w:pPr>
    </w:p>
    <w:p>
      <w:pPr>
        <w:ind w:left="640" w:right="2239" w:firstLine="632"/>
        <w:spacing w:after="0" w:line="237" w:lineRule="auto"/>
        <w:tabs>
          <w:tab w:leader="none" w:pos="169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by reason of deposits to qualify us or any Restricted Subsidiary to conduct business, to maintain self-insurance, or to obtain the benefit of, or comply with, laws; or</w:t>
      </w:r>
    </w:p>
    <w:p>
      <w:pPr>
        <w:spacing w:after="0" w:line="207" w:lineRule="exact"/>
        <w:rPr>
          <w:rFonts w:ascii="Courier New" w:cs="Courier New" w:eastAsia="Courier New" w:hAnsi="Courier New"/>
          <w:sz w:val="18"/>
          <w:szCs w:val="18"/>
          <w:color w:val="auto"/>
        </w:rPr>
      </w:pPr>
    </w:p>
    <w:p>
      <w:pPr>
        <w:ind w:left="640" w:right="2239" w:firstLine="632"/>
        <w:spacing w:after="0" w:line="236" w:lineRule="auto"/>
        <w:tabs>
          <w:tab w:leader="none" w:pos="169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that secures any Indebtedness of a Restricted Subsidiary owing to us or another Restricted Subsidiary or by us to a Restricted Subsidiary, or</w:t>
      </w:r>
    </w:p>
    <w:p>
      <w:pPr>
        <w:spacing w:after="0" w:line="208" w:lineRule="exact"/>
        <w:rPr>
          <w:rFonts w:ascii="Courier New" w:cs="Courier New" w:eastAsia="Courier New" w:hAnsi="Courier New"/>
          <w:sz w:val="18"/>
          <w:szCs w:val="18"/>
          <w:color w:val="auto"/>
        </w:rPr>
      </w:pPr>
    </w:p>
    <w:p>
      <w:pPr>
        <w:ind w:left="640" w:right="2239" w:firstLine="632"/>
        <w:spacing w:after="0" w:line="236" w:lineRule="auto"/>
        <w:tabs>
          <w:tab w:leader="none" w:pos="179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incurred in connection with pollution control, sewage or solid waste disposal, industrial revenue or similar financing; or</w:t>
      </w:r>
    </w:p>
    <w:p>
      <w:pPr>
        <w:spacing w:after="0" w:line="208" w:lineRule="exact"/>
        <w:rPr>
          <w:rFonts w:ascii="Courier New" w:cs="Courier New" w:eastAsia="Courier New" w:hAnsi="Courier New"/>
          <w:sz w:val="18"/>
          <w:szCs w:val="18"/>
          <w:color w:val="auto"/>
        </w:rPr>
      </w:pPr>
    </w:p>
    <w:p>
      <w:pPr>
        <w:ind w:left="640" w:right="2239" w:firstLine="632"/>
        <w:spacing w:after="0" w:line="237" w:lineRule="auto"/>
        <w:tabs>
          <w:tab w:leader="none" w:pos="179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Restricted Subsidiary, provided that such program is on terms comparable for similar transactions, or any document executed by us or any Restricted Subsidiary in connection therewith, and provided that such Security Interest is limited to the trade or other receivables in respect of which such program is created or exists and the proceeds thereof, or</w:t>
      </w:r>
    </w:p>
    <w:p>
      <w:pPr>
        <w:spacing w:after="0" w:line="213" w:lineRule="exact"/>
        <w:rPr>
          <w:rFonts w:ascii="Courier New" w:cs="Courier New" w:eastAsia="Courier New" w:hAnsi="Courier New"/>
          <w:sz w:val="18"/>
          <w:szCs w:val="18"/>
          <w:color w:val="auto"/>
        </w:rPr>
      </w:pPr>
    </w:p>
    <w:p>
      <w:pPr>
        <w:ind w:left="640" w:right="2239" w:firstLine="632"/>
        <w:spacing w:after="0" w:line="237" w:lineRule="auto"/>
        <w:tabs>
          <w:tab w:leader="none" w:pos="179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Notwithstanding the foregoing provisions, we or any of our Restricted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may create, incur, assume or suffer to exist any Indebtedness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secured by a Security Interest without so securing the Senior Debt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of that series if, at the time such Security Interest becomes 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Interest upon any of our or our Restricted Subsidiaries' Principal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and after giving effect thereto, the aggregate outstanding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 of all Indebtedness of us and our Restricted Subsidiaries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secured by Security Interests permitted by this sentence (excluding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secured by a Security Interest existing as of the date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Debt Indenture, but including the Attributable Debt in respect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and Leaseback Transactions, other than Sale and Leaseback Transactions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if the Attributable Debt in respect thereof had been Indebtedness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secured by a Security Interest, would have been permitted by clause (1)(a)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above, other Sale and Leaseback Transactions the proceeds of which have</w:t>
      </w:r>
    </w:p>
    <w:p>
      <w:pPr>
        <w:spacing w:after="0" w:line="238" w:lineRule="auto"/>
        <w:rPr>
          <w:sz w:val="20"/>
          <w:szCs w:val="20"/>
          <w:color w:val="auto"/>
        </w:rPr>
      </w:pPr>
      <w:r>
        <w:rPr>
          <w:rFonts w:ascii="Courier New" w:cs="Courier New" w:eastAsia="Courier New" w:hAnsi="Courier New"/>
          <w:sz w:val="18"/>
          <w:szCs w:val="18"/>
          <w:color w:val="auto"/>
        </w:rPr>
        <w:t>been applied or committed to be applied in accordance with the covenant</w:t>
      </w:r>
    </w:p>
    <w:p>
      <w:pPr>
        <w:spacing w:after="0" w:line="238" w:lineRule="auto"/>
        <w:rPr>
          <w:sz w:val="20"/>
          <w:szCs w:val="20"/>
          <w:color w:val="auto"/>
        </w:rPr>
      </w:pPr>
      <w:r>
        <w:rPr>
          <w:rFonts w:ascii="Courier New" w:cs="Courier New" w:eastAsia="Courier New" w:hAnsi="Courier New"/>
          <w:sz w:val="18"/>
          <w:szCs w:val="18"/>
          <w:color w:val="auto"/>
        </w:rPr>
        <w:t>described in "--Provisions Applicable Solely to Senior Debt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Securities--Limitations on Sale and Leaseback Transactions" and other than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and Leaseback Transactions between us and any Restricted Subsidiary)</w:t>
      </w:r>
    </w:p>
    <w:p>
      <w:pPr>
        <w:spacing w:after="0" w:line="238" w:lineRule="auto"/>
        <w:rPr>
          <w:sz w:val="20"/>
          <w:szCs w:val="20"/>
          <w:color w:val="auto"/>
        </w:rPr>
      </w:pPr>
      <w:r>
        <w:rPr>
          <w:rFonts w:ascii="Courier New" w:cs="Courier New" w:eastAsia="Courier New" w:hAnsi="Courier New"/>
          <w:sz w:val="18"/>
          <w:szCs w:val="18"/>
          <w:color w:val="auto"/>
        </w:rPr>
        <w:t>does not exceed 15% of Consolidated Net Tangible Assets. (Section 1008 of</w:t>
      </w:r>
    </w:p>
    <w:p>
      <w:pPr>
        <w:spacing w:after="0" w:line="238" w:lineRule="auto"/>
        <w:rPr>
          <w:sz w:val="20"/>
          <w:szCs w:val="20"/>
          <w:color w:val="auto"/>
        </w:rPr>
      </w:pPr>
      <w:r>
        <w:rPr>
          <w:rFonts w:ascii="Courier New" w:cs="Courier New" w:eastAsia="Courier New" w:hAnsi="Courier New"/>
          <w:sz w:val="18"/>
          <w:szCs w:val="18"/>
          <w:color w:val="auto"/>
        </w:rPr>
        <w:t>the Senior Debt Indenture)</w:t>
      </w:r>
    </w:p>
    <w:p>
      <w:pPr>
        <w:spacing w:after="0" w:line="207" w:lineRule="exact"/>
        <w:rPr>
          <w:sz w:val="20"/>
          <w:szCs w:val="20"/>
          <w:color w:val="auto"/>
        </w:rPr>
      </w:pPr>
    </w:p>
    <w:p>
      <w:pPr>
        <w:ind w:left="640" w:right="2239"/>
        <w:spacing w:after="0" w:line="275" w:lineRule="auto"/>
        <w:tabs>
          <w:tab w:leader="none" w:pos="106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upon any consolidation or merger of any Restricted Subsidiary with or into any other corporation, or upon any consolidation or merger of any other corporation with or into us or any Restricted Subsidiary or upon any sale or conveyance of the Principal Property</w:t>
      </w:r>
    </w:p>
    <w:p>
      <w:pPr>
        <w:sectPr>
          <w:pgSz w:w="11900" w:h="16838" w:orient="portrait"/>
          <w:cols w:equalWidth="0" w:num="1">
            <w:col w:w="10139"/>
          </w:cols>
          <w:pgMar w:left="320" w:top="142" w:right="1440" w:bottom="0" w:gutter="0" w:footer="0" w:header="0"/>
        </w:sectPr>
      </w:pPr>
    </w:p>
    <w:bookmarkStart w:id="21" w:name="page22"/>
    <w:bookmarkEnd w:id="21"/>
    <w:p>
      <w:pPr>
        <w:ind w:left="640" w:right="2239"/>
        <w:spacing w:after="0" w:line="269" w:lineRule="auto"/>
        <w:rPr>
          <w:sz w:val="20"/>
          <w:szCs w:val="20"/>
          <w:color w:val="auto"/>
        </w:rPr>
      </w:pPr>
      <w:r>
        <w:rPr>
          <w:rFonts w:ascii="Courier New" w:cs="Courier New" w:eastAsia="Courier New" w:hAnsi="Courier New"/>
          <w:sz w:val="16"/>
          <w:szCs w:val="16"/>
          <w:color w:val="auto"/>
        </w:rPr>
        <w:t>of any Restricted Subsidiary as an entirety or substantially as an entirety to any other Person, or upon any acquisition by us or any Restricted Subsidiary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us or such Restricted Subsidiary then entitled thereto) by a direct lien on all such Principal Property prior to all liens other than any liens theretofore existing thereon by a supplemental indenture or otherwise. (Section 1008 of the Senior Debt Indenture)</w:t>
      </w:r>
    </w:p>
    <w:p>
      <w:pPr>
        <w:spacing w:after="0" w:line="396"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207"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 (a) we or such Restricted Subsidiary would be entitled, pursuant to the covenant described in "--Provisions Applicable Solely to Senior Debt Securities--Limitation on Liens," to incur Indebtedness secured by a Security Interest on the property to be leased without equally and ratably securing the Senior Debt Securities of that series, or (b) we shall, and in any such case we covenant that we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us which ranks senior to or pari passu with the Senior Debt Securities of that series or of funded debt for money borrowed, incurred or assumed by any Restricted Subsidiary (other than, in either case, funded debt owed by us or any Restricted Subsidiary), or (c) we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200" w:lineRule="exact"/>
        <w:rPr>
          <w:sz w:val="20"/>
          <w:szCs w:val="20"/>
          <w:color w:val="auto"/>
        </w:rPr>
      </w:pPr>
    </w:p>
    <w:p>
      <w:pPr>
        <w:spacing w:after="0" w:line="390"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Notwithstanding the foregoing, we may, and may permit any Restricted Subsidiary to, effect any Sale and Leaseback Transaction that is not acceptable pursuant to clauses (a) through (c), inclusive, of the foregoing covenant, provided that the Attributable Debt associated with such Sale and Leaseback Transaction, together with the aggregate principal amount of outstanding debt secured by Security Interests upon Principal Property not acceptable pursuant to clauses (1) through (12) of the covenant described in "--Provisions Applicable Solely to Senior Debt Securities--Limitation on Liens," inclusive, do not exceed 15% of Consolidated Net Tangible Assets. (Section 1009 of the Senior Debt Indenture)</w:t>
      </w:r>
    </w:p>
    <w:p>
      <w:pPr>
        <w:spacing w:after="0" w:line="18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Events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208" w:lineRule="exact"/>
        <w:rPr>
          <w:sz w:val="20"/>
          <w:szCs w:val="20"/>
          <w:color w:val="auto"/>
        </w:rPr>
      </w:pPr>
    </w:p>
    <w:p>
      <w:pPr>
        <w:ind w:left="640" w:right="2239" w:firstLine="632"/>
        <w:spacing w:after="0" w:line="236" w:lineRule="auto"/>
        <w:tabs>
          <w:tab w:leader="none" w:pos="169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Senior Debt Security of that series when it becomes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left="640" w:right="2239" w:firstLine="632"/>
        <w:spacing w:after="0" w:line="237" w:lineRule="auto"/>
        <w:tabs>
          <w:tab w:leader="none" w:pos="169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207" w:lineRule="exact"/>
        <w:rPr>
          <w:rFonts w:ascii="Courier New" w:cs="Courier New" w:eastAsia="Courier New" w:hAnsi="Courier New"/>
          <w:sz w:val="18"/>
          <w:szCs w:val="18"/>
          <w:color w:val="auto"/>
        </w:rPr>
      </w:pPr>
    </w:p>
    <w:p>
      <w:pPr>
        <w:jc w:val="both"/>
        <w:ind w:left="640" w:right="2339" w:firstLine="632"/>
        <w:spacing w:after="0" w:line="290" w:lineRule="auto"/>
        <w:tabs>
          <w:tab w:leader="none" w:pos="190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deposit of any sinking fund payment, when and as due by the terms of a Senior Debt Security of that series; or</w:t>
      </w:r>
    </w:p>
    <w:p>
      <w:pPr>
        <w:spacing w:after="0" w:line="169"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of our other</w:t>
      </w:r>
    </w:p>
    <w:p>
      <w:pPr>
        <w:sectPr>
          <w:pgSz w:w="11900" w:h="16838" w:orient="portrait"/>
          <w:cols w:equalWidth="0" w:num="1">
            <w:col w:w="10139"/>
          </w:cols>
          <w:pgMar w:left="320" w:top="142" w:right="1440" w:bottom="0" w:gutter="0" w:footer="0" w:header="0"/>
        </w:sectPr>
      </w:pPr>
    </w:p>
    <w:bookmarkStart w:id="22" w:name="page23"/>
    <w:bookmarkEnd w:id="22"/>
    <w:p>
      <w:pPr>
        <w:ind w:left="640" w:right="2239"/>
        <w:spacing w:after="0" w:line="237" w:lineRule="auto"/>
        <w:rPr>
          <w:sz w:val="20"/>
          <w:szCs w:val="20"/>
          <w:color w:val="auto"/>
        </w:rPr>
      </w:pPr>
      <w:r>
        <w:rPr>
          <w:rFonts w:ascii="Courier New" w:cs="Courier New" w:eastAsia="Courier New" w:hAnsi="Courier New"/>
          <w:sz w:val="18"/>
          <w:szCs w:val="18"/>
          <w:color w:val="auto"/>
        </w:rPr>
        <w:t>covenants or warranties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us by the Trustee or to us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217" w:lineRule="exact"/>
        <w:rPr>
          <w:sz w:val="20"/>
          <w:szCs w:val="20"/>
          <w:color w:val="auto"/>
        </w:rPr>
      </w:pPr>
    </w:p>
    <w:p>
      <w:pPr>
        <w:ind w:left="1700" w:hanging="428"/>
        <w:spacing w:after="0"/>
        <w:tabs>
          <w:tab w:leader="none" w:pos="170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w:t>
      </w:r>
    </w:p>
    <w:p>
      <w:pPr>
        <w:spacing w:after="0" w:line="21" w:lineRule="exact"/>
        <w:rPr>
          <w:rFonts w:ascii="Courier New" w:cs="Courier New" w:eastAsia="Courier New" w:hAnsi="Courier New"/>
          <w:sz w:val="16"/>
          <w:szCs w:val="16"/>
          <w:color w:val="auto"/>
        </w:rPr>
      </w:pPr>
    </w:p>
    <w:p>
      <w:pPr>
        <w:ind w:left="640" w:right="2239"/>
        <w:spacing w:after="0" w:line="270" w:lineRule="auto"/>
        <w:tabs>
          <w:tab w:leader="none" w:pos="106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decree or order for relief in respect of us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389" w:lineRule="exact"/>
        <w:rPr>
          <w:rFonts w:ascii="Courier New" w:cs="Courier New" w:eastAsia="Courier New" w:hAnsi="Courier New"/>
          <w:sz w:val="16"/>
          <w:szCs w:val="16"/>
          <w:color w:val="auto"/>
        </w:rPr>
      </w:pPr>
    </w:p>
    <w:p>
      <w:pPr>
        <w:ind w:left="640" w:right="2239" w:firstLine="632"/>
        <w:spacing w:after="0" w:line="269" w:lineRule="auto"/>
        <w:tabs>
          <w:tab w:leader="none" w:pos="1693"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us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640" w:right="2339" w:firstLine="632"/>
        <w:spacing w:after="0" w:line="236" w:lineRule="auto"/>
        <w:tabs>
          <w:tab w:leader="none" w:pos="1693"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Senior Debt Securities of that series. (Section 501 of the Senior Debt Indenture)</w:t>
      </w:r>
    </w:p>
    <w:p>
      <w:pPr>
        <w:spacing w:after="0" w:line="208"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Remedies. 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us and the Trustee, may rescind and annul such declaration and its consequences if:</w:t>
      </w:r>
    </w:p>
    <w:p>
      <w:pPr>
        <w:spacing w:after="0" w:line="208" w:lineRule="exact"/>
        <w:rPr>
          <w:sz w:val="20"/>
          <w:szCs w:val="20"/>
          <w:color w:val="auto"/>
        </w:rPr>
      </w:pPr>
    </w:p>
    <w:p>
      <w:pPr>
        <w:ind w:left="1280" w:right="3179" w:hanging="8"/>
        <w:spacing w:after="0" w:line="235" w:lineRule="auto"/>
        <w:tabs>
          <w:tab w:leader="none" w:pos="191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paid or deposited with the Trustee a sum sufficient to pay:</w:t>
      </w:r>
    </w:p>
    <w:p>
      <w:pPr>
        <w:spacing w:after="0" w:line="208" w:lineRule="exact"/>
        <w:rPr>
          <w:sz w:val="20"/>
          <w:szCs w:val="20"/>
          <w:color w:val="auto"/>
        </w:rPr>
      </w:pPr>
    </w:p>
    <w:p>
      <w:pPr>
        <w:ind w:left="1280" w:right="2659" w:hanging="8"/>
        <w:spacing w:after="0" w:line="235" w:lineRule="auto"/>
        <w:tabs>
          <w:tab w:leader="none" w:pos="191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Senior Debt Securities of that series;</w:t>
      </w:r>
    </w:p>
    <w:p>
      <w:pPr>
        <w:spacing w:after="0" w:line="208" w:lineRule="exact"/>
        <w:rPr>
          <w:rFonts w:ascii="Courier New" w:cs="Courier New" w:eastAsia="Courier New" w:hAnsi="Courier New"/>
          <w:sz w:val="18"/>
          <w:szCs w:val="18"/>
          <w:color w:val="auto"/>
        </w:rPr>
      </w:pPr>
    </w:p>
    <w:p>
      <w:pPr>
        <w:ind w:left="1280" w:right="2239" w:hanging="8"/>
        <w:spacing w:after="0" w:line="237" w:lineRule="auto"/>
        <w:tabs>
          <w:tab w:leader="none" w:pos="1701"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Senior Debt Securities of that series which has become due otherwise than by such declaration of acceleration and any interest thereon at the rate or rates prescribed therefor in such Senior Debt Securities;</w:t>
      </w:r>
    </w:p>
    <w:p>
      <w:pPr>
        <w:sectPr>
          <w:pgSz w:w="11900" w:h="16838" w:orient="portrait"/>
          <w:cols w:equalWidth="0" w:num="1">
            <w:col w:w="10139"/>
          </w:cols>
          <w:pgMar w:left="320" w:top="142" w:right="1440" w:bottom="0" w:gutter="0" w:footer="0" w:header="0"/>
        </w:sectPr>
      </w:pPr>
    </w:p>
    <w:bookmarkStart w:id="23" w:name="page24"/>
    <w:bookmarkEnd w:id="23"/>
    <w:p>
      <w:pPr>
        <w:ind w:left="1700" w:hanging="428"/>
        <w:spacing w:after="0"/>
        <w:tabs>
          <w:tab w:leader="none" w:pos="17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w:t>
      </w:r>
    </w:p>
    <w:p>
      <w:pPr>
        <w:spacing w:after="0" w:line="4" w:lineRule="exact"/>
        <w:rPr>
          <w:rFonts w:ascii="Courier New" w:cs="Courier New" w:eastAsia="Courier New" w:hAnsi="Courier New"/>
          <w:sz w:val="18"/>
          <w:szCs w:val="18"/>
          <w:color w:val="auto"/>
        </w:rPr>
      </w:pPr>
    </w:p>
    <w:p>
      <w:pPr>
        <w:ind w:left="1280" w:right="23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upon overdue interest at the rate or rates prescribed therefor in such Senior Debt Securities; and</w:t>
      </w:r>
    </w:p>
    <w:p>
      <w:pPr>
        <w:spacing w:after="0" w:line="208" w:lineRule="exact"/>
        <w:rPr>
          <w:rFonts w:ascii="Courier New" w:cs="Courier New" w:eastAsia="Courier New" w:hAnsi="Courier New"/>
          <w:sz w:val="18"/>
          <w:szCs w:val="18"/>
          <w:color w:val="auto"/>
        </w:rPr>
      </w:pPr>
    </w:p>
    <w:p>
      <w:pPr>
        <w:ind w:left="1280" w:right="2339" w:hanging="8"/>
        <w:spacing w:after="0" w:line="236" w:lineRule="auto"/>
        <w:tabs>
          <w:tab w:leader="none" w:pos="170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8" w:lineRule="exact"/>
        <w:rPr>
          <w:sz w:val="20"/>
          <w:szCs w:val="20"/>
          <w:color w:val="auto"/>
        </w:rPr>
      </w:pPr>
    </w:p>
    <w:p>
      <w:pPr>
        <w:ind w:left="640" w:right="2439" w:firstLine="632"/>
        <w:spacing w:after="0" w:line="237" w:lineRule="auto"/>
        <w:tabs>
          <w:tab w:leader="none" w:pos="169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Senior Debt Securities of that series, other than the non-payment of the principal of Senior Debt Securities of that series which has become due solely by such declaration of acceleration, have been cured or waived as provided in the Senior Debt Indenture.</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we,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21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w:t>
      </w:r>
    </w:p>
    <w:p>
      <w:pPr>
        <w:spacing w:after="0" w:line="214" w:lineRule="exact"/>
        <w:rPr>
          <w:sz w:val="20"/>
          <w:szCs w:val="20"/>
          <w:color w:val="auto"/>
        </w:rPr>
      </w:pPr>
    </w:p>
    <w:p>
      <w:pPr>
        <w:ind w:left="640" w:right="2439" w:firstLine="632"/>
        <w:spacing w:after="0" w:line="236" w:lineRule="auto"/>
        <w:tabs>
          <w:tab w:leader="none" w:pos="16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Senior Debt Securities of that series;</w:t>
      </w:r>
    </w:p>
    <w:p>
      <w:pPr>
        <w:spacing w:after="0" w:line="208" w:lineRule="exact"/>
        <w:rPr>
          <w:rFonts w:ascii="Courier New" w:cs="Courier New" w:eastAsia="Courier New" w:hAnsi="Courier New"/>
          <w:sz w:val="18"/>
          <w:szCs w:val="18"/>
          <w:color w:val="auto"/>
        </w:rPr>
      </w:pPr>
    </w:p>
    <w:p>
      <w:pPr>
        <w:ind w:left="640" w:right="2239" w:firstLine="632"/>
        <w:spacing w:after="0" w:line="237" w:lineRule="auto"/>
        <w:tabs>
          <w:tab w:leader="none" w:pos="16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Senior Debt Securities of that series shall have been made written request to the Trustee to institute proceedings in respect of such Event of Default in its own name as Trustee under the Senior Debt Indenture;</w:t>
      </w:r>
    </w:p>
    <w:p>
      <w:pPr>
        <w:spacing w:after="0" w:line="208" w:lineRule="exact"/>
        <w:rPr>
          <w:rFonts w:ascii="Courier New" w:cs="Courier New" w:eastAsia="Courier New" w:hAnsi="Courier New"/>
          <w:sz w:val="18"/>
          <w:szCs w:val="18"/>
          <w:color w:val="auto"/>
        </w:rPr>
      </w:pPr>
    </w:p>
    <w:p>
      <w:pPr>
        <w:ind w:left="640" w:right="2439" w:firstLine="632"/>
        <w:spacing w:after="0" w:line="236" w:lineRule="auto"/>
        <w:tabs>
          <w:tab w:leader="none" w:pos="16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640" w:right="2439" w:firstLine="632"/>
        <w:spacing w:after="0" w:line="236" w:lineRule="auto"/>
        <w:tabs>
          <w:tab w:leader="none" w:pos="16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for 60 days after its receipt of such notice, request and offer of indemnity has failed to institute any such proceeding; and</w:t>
      </w:r>
    </w:p>
    <w:p>
      <w:pPr>
        <w:spacing w:after="0" w:line="208" w:lineRule="exact"/>
        <w:rPr>
          <w:rFonts w:ascii="Courier New" w:cs="Courier New" w:eastAsia="Courier New" w:hAnsi="Courier New"/>
          <w:sz w:val="18"/>
          <w:szCs w:val="18"/>
          <w:color w:val="auto"/>
        </w:rPr>
      </w:pPr>
    </w:p>
    <w:p>
      <w:pPr>
        <w:ind w:left="640" w:right="2239" w:firstLine="632"/>
        <w:spacing w:after="0" w:line="275" w:lineRule="auto"/>
        <w:tabs>
          <w:tab w:leader="none" w:pos="169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Senior Debt Securities of that series. (Section 507 of the Senior Debt Indenture)</w:t>
      </w:r>
    </w:p>
    <w:p>
      <w:pPr>
        <w:spacing w:after="0" w:line="182"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 Senior Debt Security or coupon, or to institute suit for the enforcement of any such payment on or after such respective dates shall not be impaired or affected without the consent of such Holder. (Sections 508, 902 of the Senior Debt Indenture)</w:t>
      </w:r>
    </w:p>
    <w:p>
      <w:pPr>
        <w:spacing w:after="0" w:line="212"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w:t>
      </w:r>
    </w:p>
    <w:p>
      <w:pPr>
        <w:sectPr>
          <w:pgSz w:w="11900" w:h="16838" w:orient="portrait"/>
          <w:cols w:equalWidth="0" w:num="1">
            <w:col w:w="10139"/>
          </w:cols>
          <w:pgMar w:left="320" w:top="339" w:right="1440" w:bottom="0" w:gutter="0" w:footer="0" w:header="0"/>
        </w:sectPr>
      </w:pPr>
    </w:p>
    <w:bookmarkStart w:id="24" w:name="page25"/>
    <w:bookmarkEnd w:id="24"/>
    <w:p>
      <w:pPr>
        <w:ind w:right="2239"/>
        <w:spacing w:after="0" w:line="238" w:lineRule="auto"/>
        <w:rPr>
          <w:sz w:val="20"/>
          <w:szCs w:val="20"/>
          <w:color w:val="auto"/>
        </w:rPr>
      </w:pPr>
      <w:r>
        <w:rPr>
          <w:rFonts w:ascii="Courier New" w:cs="Courier New" w:eastAsia="Courier New" w:hAnsi="Courier New"/>
          <w:sz w:val="18"/>
          <w:szCs w:val="18"/>
          <w:color w:val="auto"/>
        </w:rPr>
        <w:t>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If a default occurs under the Senior Debt Indenture with respect to Senior Debt Securities of any series, the Trustee shall give the Holders of Senior Debt Securities of such series notice of such default as and to the 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215"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209" w:lineRule="exact"/>
        <w:rPr>
          <w:sz w:val="20"/>
          <w:szCs w:val="20"/>
          <w:color w:val="auto"/>
        </w:rPr>
      </w:pPr>
    </w:p>
    <w:p>
      <w:pPr>
        <w:ind w:left="640" w:right="2339" w:firstLine="632"/>
        <w:spacing w:after="0" w:line="271" w:lineRule="auto"/>
        <w:tabs>
          <w:tab w:leader="none" w:pos="169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179" w:lineRule="exact"/>
        <w:rPr>
          <w:rFonts w:ascii="Courier New" w:cs="Courier New" w:eastAsia="Courier New" w:hAnsi="Courier New"/>
          <w:sz w:val="16"/>
          <w:szCs w:val="16"/>
          <w:color w:val="auto"/>
        </w:rPr>
      </w:pPr>
    </w:p>
    <w:p>
      <w:pPr>
        <w:ind w:left="1900" w:hanging="628"/>
        <w:spacing w:after="0"/>
        <w:tabs>
          <w:tab w:leader="none" w:pos="190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the sum of all Dollar amounts determined</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under (i) and add thereto any amounts due and payable in Dollars; and</w:t>
      </w:r>
    </w:p>
    <w:p>
      <w:pPr>
        <w:spacing w:after="0" w:line="224" w:lineRule="exact"/>
        <w:rPr>
          <w:sz w:val="20"/>
          <w:szCs w:val="20"/>
          <w:color w:val="auto"/>
        </w:rPr>
      </w:pPr>
    </w:p>
    <w:p>
      <w:pPr>
        <w:ind w:left="640" w:right="2239" w:firstLine="632"/>
        <w:spacing w:after="0" w:line="237" w:lineRule="auto"/>
        <w:tabs>
          <w:tab w:leader="none" w:pos="190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w:t>
      </w:r>
    </w:p>
    <w:p>
      <w:pPr>
        <w:spacing w:after="0" w:line="210" w:lineRule="exact"/>
        <w:rPr>
          <w:sz w:val="20"/>
          <w:szCs w:val="20"/>
          <w:color w:val="auto"/>
        </w:rPr>
      </w:pPr>
    </w:p>
    <w:p>
      <w:pPr>
        <w:ind w:right="2339" w:firstLine="632"/>
        <w:spacing w:after="0" w:line="272"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 Debt Securities to whom amounts are payable under the Senior Debt Indenture. (Sections 506, 902 of the Senior Debt Indenture)</w:t>
      </w:r>
    </w:p>
    <w:p>
      <w:pPr>
        <w:spacing w:after="0" w:line="185"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To the fullest extent allowed under applicable law, if for the purpose of obtaining judgment against us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us is calculated as above and the time the Trustee converts the Judgment Currency into the Required Currency to make payments under the foregoing provisions of the Senior Debt Indenture to Holders of Senior Debt Securities, but payment of such judgment shall discharge all</w:t>
      </w:r>
    </w:p>
    <w:p>
      <w:pPr>
        <w:sectPr>
          <w:pgSz w:w="11900" w:h="16838" w:orient="portrait"/>
          <w:cols w:equalWidth="0" w:num="1">
            <w:col w:w="10139"/>
          </w:cols>
          <w:pgMar w:left="320" w:top="142" w:right="1440" w:bottom="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amounts owed by us on the claim or claims underlying such judgment.</w:t>
      </w:r>
    </w:p>
    <w:p>
      <w:pPr>
        <w:spacing w:after="0" w:line="238" w:lineRule="auto"/>
        <w:rPr>
          <w:sz w:val="20"/>
          <w:szCs w:val="20"/>
          <w:color w:val="auto"/>
        </w:rPr>
      </w:pPr>
      <w:r>
        <w:rPr>
          <w:rFonts w:ascii="Courier New" w:cs="Courier New" w:eastAsia="Courier New" w:hAnsi="Courier New"/>
          <w:sz w:val="18"/>
          <w:szCs w:val="18"/>
          <w:color w:val="auto"/>
        </w:rPr>
        <w:t>(Section 506 of the Senior Debt Indenture)</w:t>
      </w:r>
    </w:p>
    <w:p>
      <w:pPr>
        <w:spacing w:after="0" w:line="207" w:lineRule="exact"/>
        <w:rPr>
          <w:sz w:val="20"/>
          <w:szCs w:val="20"/>
          <w:color w:val="auto"/>
        </w:rPr>
      </w:pPr>
    </w:p>
    <w:p>
      <w:pPr>
        <w:ind w:right="2339" w:firstLine="632"/>
        <w:spacing w:after="0" w:line="236"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Senior Debt Indenture. (Section 1006)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SUBORDINATED DEBT SECURITIES</w:t>
      </w:r>
    </w:p>
    <w:p>
      <w:pPr>
        <w:spacing w:after="0" w:line="207" w:lineRule="exact"/>
        <w:rPr>
          <w:sz w:val="20"/>
          <w:szCs w:val="20"/>
          <w:color w:val="auto"/>
        </w:rPr>
      </w:pPr>
    </w:p>
    <w:p>
      <w:pPr>
        <w:ind w:right="2239" w:firstLine="632"/>
        <w:spacing w:after="0" w:line="268" w:lineRule="auto"/>
        <w:rPr>
          <w:sz w:val="20"/>
          <w:szCs w:val="20"/>
          <w:color w:val="auto"/>
        </w:rPr>
      </w:pPr>
      <w:r>
        <w:rPr>
          <w:rFonts w:ascii="Courier New" w:cs="Courier New" w:eastAsia="Courier New" w:hAnsi="Courier New"/>
          <w:sz w:val="16"/>
          <w:szCs w:val="16"/>
          <w:color w:val="auto"/>
        </w:rPr>
        <w:t>Consolidation, Merger, Sale. The Subordinated Debt Indenture provides that we may not consolidate with or merge into any other Person or convey, transfer or lease its properties and assets substantially as an entirety to any Person, unless (1) the Person formed by such consolidation or into which we merge or the Person which acquires by conveyance or transfer, or which leases, our properties and assets substantially as an entirety shall be a corporation, partnership or trust, organized and validly existing under the laws of the United States,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to be performed or observed on our part; and (2) immediately after giving effect to such transaction and treating any indebtedness which becomes our or our subsidiaries' obligation as a result of such transaction as having been incurred by us or such Subsidiary at the time of such transaction, no Event of Default, and no event which, after notice or lapse of time or both, would become an Event of Default, shall have happened and be continuing. 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Subordinated Debt Indenture with the same effect as if such successor Person had been named as us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Events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208" w:lineRule="exact"/>
        <w:rPr>
          <w:sz w:val="20"/>
          <w:szCs w:val="20"/>
          <w:color w:val="auto"/>
        </w:rPr>
      </w:pPr>
    </w:p>
    <w:p>
      <w:pPr>
        <w:ind w:left="640" w:right="2339" w:firstLine="632"/>
        <w:spacing w:after="0" w:line="279" w:lineRule="auto"/>
        <w:tabs>
          <w:tab w:leader="none" w:pos="1693"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interest upon any Subordinated Debt Security of that series when it becomes due and payable, and continuance of such default for a period of 30 days; or</w:t>
      </w:r>
    </w:p>
    <w:p>
      <w:pPr>
        <w:spacing w:after="0" w:line="177" w:lineRule="exact"/>
        <w:rPr>
          <w:rFonts w:ascii="Courier New" w:cs="Courier New" w:eastAsia="Courier New" w:hAnsi="Courier New"/>
          <w:sz w:val="16"/>
          <w:szCs w:val="16"/>
          <w:color w:val="auto"/>
        </w:rPr>
      </w:pPr>
    </w:p>
    <w:p>
      <w:pPr>
        <w:ind w:left="640" w:right="2339" w:firstLine="632"/>
        <w:spacing w:after="0" w:line="275" w:lineRule="auto"/>
        <w:tabs>
          <w:tab w:leader="none" w:pos="1693"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181" w:lineRule="exact"/>
        <w:rPr>
          <w:rFonts w:ascii="Courier New" w:cs="Courier New" w:eastAsia="Courier New" w:hAnsi="Courier New"/>
          <w:sz w:val="16"/>
          <w:szCs w:val="16"/>
          <w:color w:val="auto"/>
        </w:rPr>
      </w:pPr>
    </w:p>
    <w:p>
      <w:pPr>
        <w:ind w:left="640" w:right="2559" w:firstLine="632"/>
        <w:spacing w:after="0" w:line="236" w:lineRule="auto"/>
        <w:tabs>
          <w:tab w:leader="none" w:pos="1693"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Subordinated Debt Security of that series; or</w:t>
      </w:r>
    </w:p>
    <w:p>
      <w:pPr>
        <w:spacing w:after="0" w:line="208" w:lineRule="exact"/>
        <w:rPr>
          <w:rFonts w:ascii="Courier New" w:cs="Courier New" w:eastAsia="Courier New" w:hAnsi="Courier New"/>
          <w:sz w:val="18"/>
          <w:szCs w:val="18"/>
          <w:color w:val="auto"/>
        </w:rPr>
      </w:pPr>
    </w:p>
    <w:p>
      <w:pPr>
        <w:ind w:left="640" w:right="2239" w:firstLine="632"/>
        <w:spacing w:after="0" w:line="270" w:lineRule="auto"/>
        <w:tabs>
          <w:tab w:leader="none" w:pos="1693"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of our other covenants or warranties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us by the Trustee or to us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386" w:lineRule="exact"/>
        <w:rPr>
          <w:rFonts w:ascii="Courier New" w:cs="Courier New" w:eastAsia="Courier New" w:hAnsi="Courier New"/>
          <w:sz w:val="16"/>
          <w:szCs w:val="16"/>
          <w:color w:val="auto"/>
        </w:rPr>
      </w:pPr>
    </w:p>
    <w:p>
      <w:pPr>
        <w:ind w:left="1700" w:hanging="428"/>
        <w:spacing w:after="0"/>
        <w:tabs>
          <w:tab w:leader="none" w:pos="1700"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w:t>
      </w:r>
    </w:p>
    <w:p>
      <w:pPr>
        <w:spacing w:after="0" w:line="21" w:lineRule="exact"/>
        <w:rPr>
          <w:rFonts w:ascii="Courier New" w:cs="Courier New" w:eastAsia="Courier New" w:hAnsi="Courier New"/>
          <w:sz w:val="16"/>
          <w:szCs w:val="16"/>
          <w:color w:val="auto"/>
        </w:rPr>
      </w:pPr>
    </w:p>
    <w:p>
      <w:pPr>
        <w:ind w:left="640" w:right="2339"/>
        <w:spacing w:after="0" w:line="275" w:lineRule="auto"/>
        <w:tabs>
          <w:tab w:leader="none" w:pos="106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decree or order for relief in respect of us in an involuntary case or proceeding under any applicable Federal or State bankruptcy, insolvency, reorganization or other similar law or (B) a decree or order adjudging us a bankrupt or insolvent, or approving as properly</w:t>
      </w:r>
    </w:p>
    <w:p>
      <w:pPr>
        <w:sectPr>
          <w:pgSz w:w="11900" w:h="16838" w:orient="portrait"/>
          <w:cols w:equalWidth="0" w:num="1">
            <w:col w:w="10139"/>
          </w:cols>
          <w:pgMar w:left="320" w:top="136" w:right="1440" w:bottom="0" w:gutter="0" w:footer="0" w:header="0"/>
        </w:sectPr>
      </w:pPr>
    </w:p>
    <w:bookmarkStart w:id="26" w:name="page27"/>
    <w:bookmarkEnd w:id="26"/>
    <w:p>
      <w:pPr>
        <w:ind w:left="640" w:right="2239"/>
        <w:spacing w:after="0" w:line="237" w:lineRule="auto"/>
        <w:rPr>
          <w:sz w:val="20"/>
          <w:szCs w:val="20"/>
          <w:color w:val="auto"/>
        </w:rPr>
      </w:pPr>
      <w:r>
        <w:rPr>
          <w:rFonts w:ascii="Courier New" w:cs="Courier New" w:eastAsia="Courier New" w:hAnsi="Courier New"/>
          <w:sz w:val="18"/>
          <w:szCs w:val="18"/>
          <w:color w:val="auto"/>
        </w:rPr>
        <w:t>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12" w:lineRule="exact"/>
        <w:rPr>
          <w:sz w:val="20"/>
          <w:szCs w:val="20"/>
          <w:color w:val="auto"/>
        </w:rPr>
      </w:pPr>
    </w:p>
    <w:p>
      <w:pPr>
        <w:ind w:left="640" w:right="2239" w:firstLine="632"/>
        <w:spacing w:after="0" w:line="269" w:lineRule="auto"/>
        <w:tabs>
          <w:tab w:leader="none" w:pos="169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us to the entry of a decree or order for relief in respect of us in an involuntary case or proceeding under any applicable Federal or State bankruptcy, insolvency, reorganization or other similar law or the commencement of any bankruptcy or insolvency case or proceeding against us, or the filing by us of a petition or answer or consent seeking reorganization or relief under any applicable Federal or State law, or the consent by us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640" w:right="2759" w:firstLine="632"/>
        <w:spacing w:after="0" w:line="236" w:lineRule="auto"/>
        <w:tabs>
          <w:tab w:leader="none" w:pos="169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Subordinated Debt Securities of that series. (Section 501 of the Subordinated Debt Indenture)</w:t>
      </w:r>
    </w:p>
    <w:p>
      <w:pPr>
        <w:spacing w:after="0" w:line="208"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Remedies. 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us and the Trustee, may rescind and annul such declaration and its consequences if:</w:t>
      </w:r>
    </w:p>
    <w:p>
      <w:pPr>
        <w:spacing w:after="0" w:line="394" w:lineRule="exact"/>
        <w:rPr>
          <w:sz w:val="20"/>
          <w:szCs w:val="20"/>
          <w:color w:val="auto"/>
        </w:rPr>
      </w:pPr>
    </w:p>
    <w:p>
      <w:pPr>
        <w:ind w:left="640" w:right="3179" w:firstLine="632"/>
        <w:spacing w:after="0" w:line="235" w:lineRule="auto"/>
        <w:tabs>
          <w:tab w:leader="none" w:pos="190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paid or deposited with the Trustee a sum sufficient to pay:</w:t>
      </w:r>
    </w:p>
    <w:p>
      <w:pPr>
        <w:spacing w:after="0" w:line="208" w:lineRule="exact"/>
        <w:rPr>
          <w:sz w:val="20"/>
          <w:szCs w:val="20"/>
          <w:color w:val="auto"/>
        </w:rPr>
      </w:pPr>
    </w:p>
    <w:p>
      <w:pPr>
        <w:ind w:left="1280" w:right="2339" w:hanging="8"/>
        <w:spacing w:after="0" w:line="235" w:lineRule="auto"/>
        <w:tabs>
          <w:tab w:leader="none" w:pos="191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Subordinated Debt Securities of that series;</w:t>
      </w:r>
    </w:p>
    <w:p>
      <w:pPr>
        <w:spacing w:after="0" w:line="208" w:lineRule="exact"/>
        <w:rPr>
          <w:rFonts w:ascii="Courier New" w:cs="Courier New" w:eastAsia="Courier New" w:hAnsi="Courier New"/>
          <w:sz w:val="18"/>
          <w:szCs w:val="18"/>
          <w:color w:val="auto"/>
        </w:rPr>
      </w:pPr>
    </w:p>
    <w:p>
      <w:pPr>
        <w:ind w:left="1280" w:right="2239" w:hanging="8"/>
        <w:spacing w:after="0" w:line="237" w:lineRule="auto"/>
        <w:tabs>
          <w:tab w:leader="none" w:pos="170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Subordinated Debt Securities of that series which has become due otherwise than by such declaration of acceleration and any interest thereon at the rate or rates prescribed therefor in such Subordinated Debt Securities;</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w:t>
      </w:r>
    </w:p>
    <w:p>
      <w:pPr>
        <w:spacing w:after="0" w:line="4" w:lineRule="exact"/>
        <w:rPr>
          <w:rFonts w:ascii="Courier New" w:cs="Courier New" w:eastAsia="Courier New" w:hAnsi="Courier New"/>
          <w:sz w:val="18"/>
          <w:szCs w:val="18"/>
          <w:color w:val="auto"/>
        </w:rPr>
      </w:pPr>
    </w:p>
    <w:p>
      <w:pPr>
        <w:ind w:left="1280" w:right="23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interest upon overdue interest at the rate or rates prescribed therefor in such Subordinated Debt Securities, and</w:t>
      </w:r>
    </w:p>
    <w:p>
      <w:pPr>
        <w:spacing w:after="0" w:line="169" w:lineRule="exact"/>
        <w:rPr>
          <w:rFonts w:ascii="Courier New" w:cs="Courier New" w:eastAsia="Courier New" w:hAnsi="Courier New"/>
          <w:sz w:val="18"/>
          <w:szCs w:val="18"/>
          <w:color w:val="auto"/>
        </w:rPr>
      </w:pPr>
    </w:p>
    <w:p>
      <w:pPr>
        <w:ind w:left="1280" w:right="2339" w:hanging="8"/>
        <w:spacing w:after="0" w:line="236" w:lineRule="auto"/>
        <w:tabs>
          <w:tab w:leader="none" w:pos="1701"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8" w:lineRule="exact"/>
        <w:rPr>
          <w:sz w:val="20"/>
          <w:szCs w:val="20"/>
          <w:color w:val="auto"/>
        </w:rPr>
      </w:pPr>
    </w:p>
    <w:p>
      <w:pPr>
        <w:ind w:left="640" w:right="2559" w:firstLine="632"/>
        <w:spacing w:after="0" w:line="273" w:lineRule="auto"/>
        <w:tabs>
          <w:tab w:leader="none" w:pos="169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w:t>
      </w:r>
    </w:p>
    <w:p>
      <w:pPr>
        <w:spacing w:after="0" w:line="184" w:lineRule="exact"/>
        <w:rPr>
          <w:sz w:val="20"/>
          <w:szCs w:val="20"/>
          <w:color w:val="auto"/>
        </w:rPr>
      </w:pPr>
    </w:p>
    <w:p>
      <w:pPr>
        <w:jc w:val="both"/>
        <w:ind w:right="2339" w:firstLine="632"/>
        <w:spacing w:after="0" w:line="275" w:lineRule="auto"/>
        <w:rPr>
          <w:sz w:val="20"/>
          <w:szCs w:val="20"/>
          <w:color w:val="auto"/>
        </w:rPr>
      </w:pPr>
      <w:r>
        <w:rPr>
          <w:rFonts w:ascii="Courier New" w:cs="Courier New" w:eastAsia="Courier New" w:hAnsi="Courier New"/>
          <w:sz w:val="16"/>
          <w:szCs w:val="16"/>
          <w:color w:val="auto"/>
        </w:rPr>
        <w:t>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w:t>
      </w:r>
    </w:p>
    <w:p>
      <w:pPr>
        <w:sectPr>
          <w:pgSz w:w="11900" w:h="16838" w:orient="portrait"/>
          <w:cols w:equalWidth="0" w:num="1">
            <w:col w:w="10139"/>
          </w:cols>
          <w:pgMar w:left="320" w:top="142" w:right="1440" w:bottom="0" w:gutter="0" w:footer="0" w:header="0"/>
        </w:sectPr>
      </w:pPr>
    </w:p>
    <w:bookmarkStart w:id="27" w:name="page28"/>
    <w:bookmarkEnd w:id="27"/>
    <w:p>
      <w:pPr>
        <w:ind w:right="2339"/>
        <w:spacing w:after="0" w:line="237" w:lineRule="auto"/>
        <w:rPr>
          <w:sz w:val="20"/>
          <w:szCs w:val="20"/>
          <w:color w:val="auto"/>
        </w:rPr>
      </w:pPr>
      <w:r>
        <w:rPr>
          <w:rFonts w:ascii="Courier New" w:cs="Courier New" w:eastAsia="Courier New" w:hAnsi="Courier New"/>
          <w:sz w:val="18"/>
          <w:szCs w:val="18"/>
          <w:color w:val="auto"/>
        </w:rPr>
        <w:t>Subordinated Debt Indenture and such proceeding has been discontinued or abandoned for any reason, or has been determined adversely to the Trustee or to such Holder, then and in every such case, subject to any determination in such proceeding, we,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14"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w:t>
      </w:r>
    </w:p>
    <w:p>
      <w:pPr>
        <w:spacing w:after="0" w:line="386" w:lineRule="exact"/>
        <w:rPr>
          <w:sz w:val="20"/>
          <w:szCs w:val="20"/>
          <w:color w:val="auto"/>
        </w:rPr>
      </w:pPr>
    </w:p>
    <w:p>
      <w:pPr>
        <w:ind w:left="640" w:right="2759" w:firstLine="632"/>
        <w:spacing w:after="0" w:line="236" w:lineRule="auto"/>
        <w:tabs>
          <w:tab w:leader="none" w:pos="169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Subordinated Debt Securities of that series;</w:t>
      </w:r>
    </w:p>
    <w:p>
      <w:pPr>
        <w:spacing w:after="0" w:line="208" w:lineRule="exact"/>
        <w:rPr>
          <w:rFonts w:ascii="Courier New" w:cs="Courier New" w:eastAsia="Courier New" w:hAnsi="Courier New"/>
          <w:sz w:val="18"/>
          <w:szCs w:val="18"/>
          <w:color w:val="auto"/>
        </w:rPr>
      </w:pPr>
    </w:p>
    <w:p>
      <w:pPr>
        <w:ind w:left="640" w:right="2239" w:firstLine="632"/>
        <w:spacing w:after="0" w:line="237" w:lineRule="auto"/>
        <w:tabs>
          <w:tab w:leader="none" w:pos="169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w:t>
      </w:r>
    </w:p>
    <w:p>
      <w:pPr>
        <w:spacing w:after="0" w:line="208" w:lineRule="exact"/>
        <w:rPr>
          <w:rFonts w:ascii="Courier New" w:cs="Courier New" w:eastAsia="Courier New" w:hAnsi="Courier New"/>
          <w:sz w:val="18"/>
          <w:szCs w:val="18"/>
          <w:color w:val="auto"/>
        </w:rPr>
      </w:pPr>
    </w:p>
    <w:p>
      <w:pPr>
        <w:ind w:left="640" w:right="2439" w:firstLine="632"/>
        <w:spacing w:after="0" w:line="236" w:lineRule="auto"/>
        <w:tabs>
          <w:tab w:leader="none" w:pos="169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640" w:right="2439" w:firstLine="632"/>
        <w:spacing w:after="0" w:line="236" w:lineRule="auto"/>
        <w:tabs>
          <w:tab w:leader="none" w:pos="169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for 60 days after its receipt of such notice, request and offer of indemnity has failed to institute any such proceeding; and</w:t>
      </w:r>
    </w:p>
    <w:p>
      <w:pPr>
        <w:spacing w:after="0" w:line="208" w:lineRule="exact"/>
        <w:rPr>
          <w:rFonts w:ascii="Courier New" w:cs="Courier New" w:eastAsia="Courier New" w:hAnsi="Courier New"/>
          <w:sz w:val="18"/>
          <w:szCs w:val="18"/>
          <w:color w:val="auto"/>
        </w:rPr>
      </w:pPr>
    </w:p>
    <w:p>
      <w:pPr>
        <w:ind w:left="640" w:right="2239" w:firstLine="632"/>
        <w:spacing w:after="0" w:line="237" w:lineRule="auto"/>
        <w:tabs>
          <w:tab w:leader="none" w:pos="169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Subordinated Debt Securities of that series. (Section 507 of the Subordinated Debt Indenture)</w:t>
      </w:r>
    </w:p>
    <w:p>
      <w:pPr>
        <w:spacing w:after="0" w:line="208" w:lineRule="exact"/>
        <w:rPr>
          <w:sz w:val="20"/>
          <w:szCs w:val="20"/>
          <w:color w:val="auto"/>
        </w:rPr>
      </w:pPr>
    </w:p>
    <w:p>
      <w:pPr>
        <w:ind w:right="2339" w:firstLine="632"/>
        <w:spacing w:after="0" w:line="270" w:lineRule="auto"/>
        <w:rPr>
          <w:sz w:val="20"/>
          <w:szCs w:val="20"/>
          <w:color w:val="auto"/>
        </w:rPr>
      </w:pPr>
      <w:r>
        <w:rPr>
          <w:rFonts w:ascii="Courier New" w:cs="Courier New" w:eastAsia="Courier New" w:hAnsi="Courier New"/>
          <w:sz w:val="16"/>
          <w:szCs w:val="16"/>
          <w:color w:val="auto"/>
        </w:rPr>
        <w:t>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391"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w:t>
      </w:r>
    </w:p>
    <w:p>
      <w:pPr>
        <w:sectPr>
          <w:pgSz w:w="11900" w:h="16838" w:orient="portrait"/>
          <w:cols w:equalWidth="0" w:num="1">
            <w:col w:w="10139"/>
          </w:cols>
          <w:pgMar w:left="320" w:top="142" w:right="1440" w:bottom="0" w:gutter="0" w:footer="0" w:header="0"/>
        </w:sectPr>
      </w:pPr>
    </w:p>
    <w:bookmarkStart w:id="28" w:name="page29"/>
    <w:bookmarkEnd w:id="28"/>
    <w:p>
      <w:pPr>
        <w:ind w:right="2439"/>
        <w:spacing w:after="0" w:line="237" w:lineRule="auto"/>
        <w:rPr>
          <w:sz w:val="20"/>
          <w:szCs w:val="20"/>
          <w:color w:val="auto"/>
        </w:rPr>
      </w:pPr>
      <w:r>
        <w:rPr>
          <w:rFonts w:ascii="Courier New" w:cs="Courier New" w:eastAsia="Courier New" w:hAnsi="Courier New"/>
          <w:sz w:val="18"/>
          <w:szCs w:val="18"/>
          <w:color w:val="auto"/>
        </w:rPr>
        <w:t>been cured, for every purpose of the Subordinated Debt Indenture; but no such waiver shall extend to any subsequent or other default or impair any right consequent thereon. (Sections 902, 513 of the Subordinated Debt Indenture)</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216"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w:t>
      </w:r>
    </w:p>
    <w:p>
      <w:pPr>
        <w:spacing w:after="0" w:line="209" w:lineRule="exact"/>
        <w:rPr>
          <w:sz w:val="20"/>
          <w:szCs w:val="20"/>
          <w:color w:val="auto"/>
        </w:rPr>
      </w:pPr>
    </w:p>
    <w:p>
      <w:pPr>
        <w:ind w:left="640" w:right="2239" w:firstLine="632"/>
        <w:spacing w:after="0" w:line="237" w:lineRule="auto"/>
        <w:tabs>
          <w:tab w:leader="none" w:pos="1693"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207"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the sum of all Dollar amounts determined under</w:t>
      </w:r>
    </w:p>
    <w:p>
      <w:pPr>
        <w:ind w:left="1060" w:hanging="420"/>
        <w:spacing w:after="0" w:line="238" w:lineRule="auto"/>
        <w:tabs>
          <w:tab w:leader="none" w:pos="10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add thereto any amounts due and payable in Dollars; and</w:t>
      </w:r>
    </w:p>
    <w:p>
      <w:pPr>
        <w:spacing w:after="0" w:line="207" w:lineRule="exact"/>
        <w:rPr>
          <w:rFonts w:ascii="Courier New" w:cs="Courier New" w:eastAsia="Courier New" w:hAnsi="Courier New"/>
          <w:sz w:val="18"/>
          <w:szCs w:val="18"/>
          <w:color w:val="auto"/>
        </w:rPr>
      </w:pPr>
    </w:p>
    <w:p>
      <w:pPr>
        <w:ind w:left="640" w:right="2239" w:firstLine="632"/>
        <w:spacing w:after="0" w:line="237" w:lineRule="auto"/>
        <w:tabs>
          <w:tab w:leader="none" w:pos="1904"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individual amounts determined in (i) or any individual amounts due and payable in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w:t>
      </w:r>
    </w:p>
    <w:p>
      <w:pPr>
        <w:spacing w:after="0" w:line="210"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210"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To the fullest extent allowed under applicable law, if for the purpose of obtaining judgment against us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we benefit from any windfall in payments to Holders of Subordinated Debt Securities under the Subordinated Debt Indenture caused by a change in exchange rates between the time the amount of a judgment against us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us on the claim or claims underlying such judgment. (Section 506 of the Subordinated Debt Indenture)</w:t>
      </w:r>
    </w:p>
    <w:p>
      <w:pPr>
        <w:spacing w:after="0" w:line="393" w:lineRule="exact"/>
        <w:rPr>
          <w:sz w:val="20"/>
          <w:szCs w:val="20"/>
          <w:color w:val="auto"/>
        </w:rPr>
      </w:pPr>
    </w:p>
    <w:p>
      <w:pPr>
        <w:ind w:right="2339" w:firstLine="632"/>
        <w:spacing w:after="0" w:line="279" w:lineRule="auto"/>
        <w:rPr>
          <w:sz w:val="20"/>
          <w:szCs w:val="20"/>
          <w:color w:val="auto"/>
        </w:rPr>
      </w:pPr>
      <w:r>
        <w:rPr>
          <w:rFonts w:ascii="Courier New" w:cs="Courier New" w:eastAsia="Courier New" w:hAnsi="Courier New"/>
          <w:sz w:val="16"/>
          <w:szCs w:val="16"/>
          <w:color w:val="auto"/>
        </w:rPr>
        <w:t>We are required to furnish to the Trustee annually a statement as to our compliance with all conditions and covenants under the Subordinated Debt Indenture. (Section 1007 of the Subordinated Debt Indenture)</w:t>
      </w:r>
    </w:p>
    <w:p>
      <w:pPr>
        <w:spacing w:after="0" w:line="178" w:lineRule="exact"/>
        <w:rPr>
          <w:sz w:val="20"/>
          <w:szCs w:val="20"/>
          <w:color w:val="auto"/>
        </w:rPr>
      </w:pPr>
    </w:p>
    <w:p>
      <w:pPr>
        <w:ind w:right="2239" w:firstLine="632"/>
        <w:spacing w:after="0" w:line="279" w:lineRule="auto"/>
        <w:rPr>
          <w:sz w:val="20"/>
          <w:szCs w:val="20"/>
          <w:color w:val="auto"/>
        </w:rPr>
      </w:pPr>
      <w:r>
        <w:rPr>
          <w:rFonts w:ascii="Courier New" w:cs="Courier New" w:eastAsia="Courier New" w:hAnsi="Courier New"/>
          <w:sz w:val="16"/>
          <w:szCs w:val="16"/>
          <w:color w:val="auto"/>
        </w:rPr>
        <w:t>Subordination. The Subordinated Debt Securities will be subordinate and junior in right of payment, to the extent set forth in the Subordinated Debt Indenture, to all our Senior Indebtedness (as defined below). If we</w:t>
      </w:r>
    </w:p>
    <w:p>
      <w:pPr>
        <w:sectPr>
          <w:pgSz w:w="11900" w:h="16838" w:orient="portrait"/>
          <w:cols w:equalWidth="0" w:num="1">
            <w:col w:w="10139"/>
          </w:cols>
          <w:pgMar w:left="320" w:top="142" w:right="1440" w:bottom="0" w:gutter="0" w:footer="0" w:header="0"/>
        </w:sectPr>
      </w:pPr>
    </w:p>
    <w:bookmarkStart w:id="29" w:name="page30"/>
    <w:bookmarkEnd w:id="29"/>
    <w:p>
      <w:pPr>
        <w:ind w:right="2239"/>
        <w:spacing w:after="0" w:line="238" w:lineRule="auto"/>
        <w:rPr>
          <w:sz w:val="20"/>
          <w:szCs w:val="20"/>
          <w:color w:val="auto"/>
        </w:rPr>
      </w:pPr>
      <w:r>
        <w:rPr>
          <w:rFonts w:ascii="Courier New" w:cs="Courier New" w:eastAsia="Courier New" w:hAnsi="Courier New"/>
          <w:sz w:val="18"/>
          <w:szCs w:val="18"/>
          <w:color w:val="auto"/>
        </w:rPr>
        <w:t>should default in the payment of any principal of or premium or interest on any Senior Indebtedness when the same become due and payable, whether at maturity or a date fixed for prepayment or by declaration of acceleration or otherwise, then, upon written notice of such default to us by the holders of such Senior Indebtedness or any trustee therefor and subject to certain of our rights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our capital stock (or cash in lieu of fractional shares thereof) pursuant to any conversion right of the Subordinated Debt Securities or otherwise made in our capital stock. (Sections 1601, 1604 and 1605 of the Subordinated Debt Indenture)</w:t>
      </w:r>
    </w:p>
    <w:p>
      <w:pPr>
        <w:spacing w:after="0" w:line="207" w:lineRule="exact"/>
        <w:rPr>
          <w:sz w:val="20"/>
          <w:szCs w:val="20"/>
          <w:color w:val="auto"/>
        </w:rPr>
      </w:pPr>
    </w:p>
    <w:p>
      <w:pPr>
        <w:jc w:val="both"/>
        <w:ind w:right="2439" w:firstLine="632"/>
        <w:spacing w:after="0" w:line="236" w:lineRule="auto"/>
        <w:rPr>
          <w:sz w:val="20"/>
          <w:szCs w:val="20"/>
          <w:color w:val="auto"/>
        </w:rPr>
      </w:pPr>
      <w:r>
        <w:rPr>
          <w:rFonts w:ascii="Courier New" w:cs="Courier New" w:eastAsia="Courier New" w:hAnsi="Courier New"/>
          <w:sz w:val="18"/>
          <w:szCs w:val="18"/>
          <w:color w:val="auto"/>
        </w:rPr>
        <w:t>"Senior Indebtedness" is defined in Section 101 of the Subordinated Debt Indenture as our Indebtedness (as defined below) outstanding at any time except:</w:t>
      </w:r>
    </w:p>
    <w:p>
      <w:pPr>
        <w:spacing w:after="0" w:line="208" w:lineRule="exact"/>
        <w:rPr>
          <w:sz w:val="20"/>
          <w:szCs w:val="20"/>
          <w:color w:val="auto"/>
        </w:rPr>
      </w:pPr>
    </w:p>
    <w:p>
      <w:pPr>
        <w:ind w:left="640" w:right="2559"/>
        <w:spacing w:after="0" w:line="237" w:lineRule="auto"/>
        <w:tabs>
          <w:tab w:leader="none" w:pos="106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as to which, by the terms of the instrument creating or evidencing the same, it is provided that such Indebtedness is not senior in right of payment to the Subordinated Debt Securities;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Subordinated Debt Securities;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our Indebtedness to any wholly-owned Subsidiary;</w:t>
      </w:r>
    </w:p>
    <w:p>
      <w:pPr>
        <w:spacing w:after="0" w:line="206" w:lineRule="exact"/>
        <w:rPr>
          <w:rFonts w:ascii="Courier New" w:cs="Courier New" w:eastAsia="Courier New" w:hAnsi="Courier New"/>
          <w:sz w:val="18"/>
          <w:szCs w:val="18"/>
          <w:color w:val="auto"/>
        </w:rPr>
      </w:pPr>
    </w:p>
    <w:p>
      <w:pPr>
        <w:ind w:left="640" w:right="2239"/>
        <w:spacing w:after="0" w:line="237" w:lineRule="auto"/>
        <w:tabs>
          <w:tab w:leader="none" w:pos="1061"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accruing after the filing of a petition initiating certain bankruptcy or insolvency proceedings unless such interest is an allowed claim enforceable against us in a proceeding under federal or state bankruptcy laws;</w:t>
      </w:r>
    </w:p>
    <w:p>
      <w:pPr>
        <w:spacing w:after="0" w:line="207" w:lineRule="exact"/>
        <w:rPr>
          <w:rFonts w:ascii="Courier New" w:cs="Courier New" w:eastAsia="Courier New" w:hAnsi="Courier New"/>
          <w:sz w:val="18"/>
          <w:szCs w:val="18"/>
          <w:color w:val="auto"/>
        </w:rPr>
      </w:pPr>
    </w:p>
    <w:p>
      <w:pPr>
        <w:ind w:left="640" w:right="2559"/>
        <w:spacing w:after="0" w:line="236" w:lineRule="auto"/>
        <w:tabs>
          <w:tab w:leader="none" w:pos="127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under performance guarantees, support agreements and other agreements in the nature thereof relating to the obligations of any Subsidiary, and</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accounts payable.</w:t>
      </w:r>
    </w:p>
    <w:p>
      <w:pPr>
        <w:spacing w:after="0" w:line="207" w:lineRule="exact"/>
        <w:rPr>
          <w:sz w:val="20"/>
          <w:szCs w:val="20"/>
          <w:color w:val="auto"/>
        </w:rPr>
      </w:pPr>
    </w:p>
    <w:p>
      <w:pPr>
        <w:ind w:right="2659" w:firstLine="632"/>
        <w:spacing w:after="0" w:line="235" w:lineRule="auto"/>
        <w:rPr>
          <w:sz w:val="20"/>
          <w:szCs w:val="20"/>
          <w:color w:val="auto"/>
        </w:rPr>
      </w:pPr>
      <w:r>
        <w:rPr>
          <w:rFonts w:ascii="Courier New" w:cs="Courier New" w:eastAsia="Courier New" w:hAnsi="Courier New"/>
          <w:sz w:val="18"/>
          <w:szCs w:val="18"/>
          <w:color w:val="auto"/>
        </w:rPr>
        <w:t>"Indebtedness" is defined in Section 101 of the Subordinated Debt Indenture as, with respect to any Person:</w:t>
      </w:r>
    </w:p>
    <w:p>
      <w:pPr>
        <w:spacing w:after="0" w:line="208" w:lineRule="exact"/>
        <w:rPr>
          <w:sz w:val="20"/>
          <w:szCs w:val="20"/>
          <w:color w:val="auto"/>
        </w:rPr>
      </w:pPr>
    </w:p>
    <w:p>
      <w:pPr>
        <w:ind w:left="640" w:right="2239"/>
        <w:spacing w:after="0" w:line="237" w:lineRule="auto"/>
        <w:tabs>
          <w:tab w:leader="none" w:pos="106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w:t>
      </w:r>
    </w:p>
    <w:p>
      <w:pPr>
        <w:spacing w:after="0" w:line="210" w:lineRule="exact"/>
        <w:rPr>
          <w:rFonts w:ascii="Courier New" w:cs="Courier New" w:eastAsia="Courier New" w:hAnsi="Courier New"/>
          <w:sz w:val="18"/>
          <w:szCs w:val="18"/>
          <w:color w:val="auto"/>
        </w:rPr>
      </w:pPr>
    </w:p>
    <w:p>
      <w:pPr>
        <w:ind w:left="640" w:right="2339" w:firstLine="632"/>
        <w:spacing w:after="0" w:line="275" w:lineRule="auto"/>
        <w:tabs>
          <w:tab w:leader="none" w:pos="1798"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and interest, if any, on indebtedness for money borrowed, incurred, assumed or guaranteed by such Person in connection with the acquisition by it or any of its subsidiaries of any other businesses properties or other assets; and</w:t>
      </w:r>
    </w:p>
    <w:p>
      <w:pPr>
        <w:spacing w:after="0" w:line="181" w:lineRule="exact"/>
        <w:rPr>
          <w:rFonts w:ascii="Courier New" w:cs="Courier New" w:eastAsia="Courier New" w:hAnsi="Courier New"/>
          <w:sz w:val="16"/>
          <w:szCs w:val="16"/>
          <w:color w:val="auto"/>
        </w:rPr>
      </w:pPr>
    </w:p>
    <w:p>
      <w:pPr>
        <w:ind w:left="640" w:right="2239" w:firstLine="632"/>
        <w:spacing w:after="0" w:line="237" w:lineRule="auto"/>
        <w:tabs>
          <w:tab w:leader="none" w:pos="1904"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obligations which such Person capitalizes in accordance with Statement of Financial Accounting Standards No. 13 promulgated by the Financial Accounting Standards Board or such other generally accepted accounting principles as may be from time to time in effect,</w:t>
      </w:r>
    </w:p>
    <w:p>
      <w:pPr>
        <w:spacing w:after="0" w:line="208" w:lineRule="exact"/>
        <w:rPr>
          <w:rFonts w:ascii="Courier New" w:cs="Courier New" w:eastAsia="Courier New" w:hAnsi="Courier New"/>
          <w:sz w:val="18"/>
          <w:szCs w:val="18"/>
          <w:color w:val="auto"/>
        </w:rPr>
      </w:pPr>
    </w:p>
    <w:p>
      <w:pPr>
        <w:ind w:left="640" w:right="2239"/>
        <w:spacing w:after="0" w:line="237" w:lineRule="auto"/>
        <w:tabs>
          <w:tab w:leader="none" w:pos="106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w:t>
      </w:r>
    </w:p>
    <w:p>
      <w:pPr>
        <w:spacing w:after="0" w:line="211" w:lineRule="exact"/>
        <w:rPr>
          <w:rFonts w:ascii="Courier New" w:cs="Courier New" w:eastAsia="Courier New" w:hAnsi="Courier New"/>
          <w:sz w:val="18"/>
          <w:szCs w:val="18"/>
          <w:color w:val="auto"/>
        </w:rPr>
      </w:pPr>
    </w:p>
    <w:p>
      <w:pPr>
        <w:jc w:val="both"/>
        <w:ind w:left="640" w:right="2239"/>
        <w:spacing w:after="0" w:line="268" w:lineRule="auto"/>
        <w:tabs>
          <w:tab w:leader="none" w:pos="1061"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amendments, modifications, refundings, renewals or extensions of any indebtedness or obligation described as Indebtedness in clause</w:t>
      </w:r>
    </w:p>
    <w:p>
      <w:pPr>
        <w:ind w:left="1060" w:hanging="420"/>
        <w:spacing w:after="0" w:line="238" w:lineRule="auto"/>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(b) above.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If (i) without our consent a court having jurisdiction shall enter</w:t>
      </w:r>
    </w:p>
    <w:p>
      <w:pPr>
        <w:spacing w:after="0" w:line="4" w:lineRule="exact"/>
        <w:rPr>
          <w:sz w:val="20"/>
          <w:szCs w:val="20"/>
          <w:color w:val="auto"/>
        </w:rPr>
      </w:pPr>
    </w:p>
    <w:p>
      <w:pPr>
        <w:ind w:right="2239" w:firstLine="8"/>
        <w:spacing w:after="0" w:line="275" w:lineRule="auto"/>
        <w:tabs>
          <w:tab w:leader="none" w:pos="42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order for relief with respect to us under the United States federal bankruptcy laws, (B) a judgment, order or decree adjudging us a bankrupt or insolvent, or (C) an order for relief for reorganization, arrangement, adjustment or composition of or in respect of us under the United States</w:t>
      </w:r>
    </w:p>
    <w:p>
      <w:pPr>
        <w:sectPr>
          <w:pgSz w:w="11900" w:h="16838" w:orient="portrait"/>
          <w:cols w:equalWidth="0" w:num="1">
            <w:col w:w="10139"/>
          </w:cols>
          <w:pgMar w:left="320" w:top="142" w:right="1440" w:bottom="0" w:gutter="0" w:footer="0" w:header="0"/>
        </w:sectPr>
      </w:pPr>
    </w:p>
    <w:bookmarkStart w:id="30" w:name="page31"/>
    <w:bookmarkEnd w:id="30"/>
    <w:p>
      <w:pPr>
        <w:ind w:right="2239"/>
        <w:spacing w:after="0" w:line="268" w:lineRule="auto"/>
        <w:rPr>
          <w:sz w:val="20"/>
          <w:szCs w:val="20"/>
          <w:color w:val="auto"/>
        </w:rPr>
      </w:pPr>
      <w:r>
        <w:rPr>
          <w:rFonts w:ascii="Courier New" w:cs="Courier New" w:eastAsia="Courier New" w:hAnsi="Courier New"/>
          <w:sz w:val="16"/>
          <w:szCs w:val="16"/>
          <w:color w:val="auto"/>
        </w:rPr>
        <w:t>federal bankruptcy laws or state insolvency laws or (ii) we shall institute proceedings for the entry of an order for relief with respect to us under the United States federal bankruptcy laws or for an adjudication of insolvency, or shall consent to the institution of bankruptcy or insolvency proceedings against us,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us or of substantially all of our property, or we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of our other obligations ranking on a parity with the Subordinated Debt Securities, will be entitled to be repaid from our remaining assets the amounts at that time due and owing on account of unpaid principal of and any premium and interest on the Subordinated Debt Securities and such other obligations before any payment or other distribution, whether in cash, property or otherwise, shall be made on account of any of our capital stock or obligations ranking junior to the Subordinated Debt Securities and such other obligations. (Section 1601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us and our creditors other than the holders of such Senior Indebtedness, on the one hand, and such Holders, on the other hand, be deemed to be a payment by us on account of such Senior Indebtedness, and not on account of the Subordinated Debt Securities of such series. (Section 1601 of the Subordinated Debt Indenture)</w:t>
      </w:r>
    </w:p>
    <w:p>
      <w:pPr>
        <w:spacing w:after="0" w:line="200" w:lineRule="exact"/>
        <w:rPr>
          <w:sz w:val="20"/>
          <w:szCs w:val="20"/>
          <w:color w:val="auto"/>
        </w:rPr>
      </w:pPr>
    </w:p>
    <w:p>
      <w:pPr>
        <w:spacing w:after="0" w:line="398" w:lineRule="exact"/>
        <w:rPr>
          <w:sz w:val="20"/>
          <w:szCs w:val="20"/>
          <w:color w:val="auto"/>
        </w:rPr>
      </w:pPr>
    </w:p>
    <w:p>
      <w:pPr>
        <w:ind w:right="2339" w:firstLine="632"/>
        <w:spacing w:after="0" w:line="236" w:lineRule="auto"/>
        <w:rPr>
          <w:sz w:val="20"/>
          <w:szCs w:val="20"/>
          <w:color w:val="auto"/>
        </w:rPr>
      </w:pPr>
      <w:r>
        <w:rPr>
          <w:rFonts w:ascii="Courier New" w:cs="Courier New" w:eastAsia="Courier New" w:hAnsi="Courier New"/>
          <w:sz w:val="18"/>
          <w:szCs w:val="18"/>
          <w:color w:val="auto"/>
        </w:rPr>
        <w:t>The prospectus supplement respecting any series of Subordinated Debt Securities will set forth any subordination provisions applicable to such series in addition to or different from those described above.</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By reason of such subordination, in the event of a liquidation,</w:t>
      </w:r>
    </w:p>
    <w:p>
      <w:pPr>
        <w:sectPr>
          <w:pgSz w:w="11900" w:h="16838" w:orient="portrait"/>
          <w:cols w:equalWidth="0" w:num="1">
            <w:col w:w="10139"/>
          </w:cols>
          <w:pgMar w:left="320" w:top="142" w:right="1440" w:bottom="0" w:gutter="0" w:footer="0" w:header="0"/>
        </w:sectPr>
      </w:pPr>
    </w:p>
    <w:bookmarkStart w:id="31" w:name="page32"/>
    <w:bookmarkEnd w:id="31"/>
    <w:p>
      <w:pPr>
        <w:ind w:right="2339"/>
        <w:spacing w:after="0" w:line="270" w:lineRule="auto"/>
        <w:rPr>
          <w:sz w:val="20"/>
          <w:szCs w:val="20"/>
          <w:color w:val="auto"/>
        </w:rPr>
      </w:pPr>
      <w:r>
        <w:rPr>
          <w:rFonts w:ascii="Courier New" w:cs="Courier New" w:eastAsia="Courier New" w:hAnsi="Courier New"/>
          <w:sz w:val="16"/>
          <w:szCs w:val="16"/>
          <w:color w:val="auto"/>
        </w:rPr>
        <w:t>bankruptcy, reorganization, insolvency, receivership or similar proceeding involving us or an assignment for the benefit of creditors of us or any of our Subsidiaries or a marshaling of assets or liabilities of us and our Subsidiaries, holders of Senior Indebtedness and holders of our other obligations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18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209"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The holder of any convertible Subordinated Debt Securities will have the right exercisable at any time prior to maturity, unless previously redeemed or otherwise purchased by us,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388" w:lineRule="exact"/>
        <w:rPr>
          <w:sz w:val="20"/>
          <w:szCs w:val="20"/>
          <w:color w:val="auto"/>
        </w:rPr>
      </w:pPr>
    </w:p>
    <w:p>
      <w:pPr>
        <w:ind w:right="2239" w:firstLine="632"/>
        <w:spacing w:after="0" w:line="238" w:lineRule="auto"/>
        <w:rPr>
          <w:sz w:val="20"/>
          <w:szCs w:val="20"/>
          <w:color w:val="auto"/>
        </w:rPr>
      </w:pPr>
      <w:r>
        <w:rPr>
          <w:rFonts w:ascii="Courier New" w:cs="Courier New" w:eastAsia="Courier New" w:hAnsi="Courier New"/>
          <w:sz w:val="18"/>
          <w:szCs w:val="18"/>
          <w:color w:val="auto"/>
        </w:rPr>
        <w:t>In certain events, the conversion price or conversion rate will be subject to adjustment as set forth in the Subordinated Debt Indenture. Such events include the issuance of shares of our common stock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our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We have been advised by our counsel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10"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Fractional shares of common stock will not be issued upon conversion, but, in lieu thereof, we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200" w:lineRule="exact"/>
        <w:rPr>
          <w:sz w:val="20"/>
          <w:szCs w:val="20"/>
          <w:color w:val="auto"/>
        </w:rPr>
      </w:pPr>
    </w:p>
    <w:p>
      <w:pPr>
        <w:spacing w:after="0" w:line="397" w:lineRule="exact"/>
        <w:rPr>
          <w:sz w:val="20"/>
          <w:szCs w:val="20"/>
          <w:color w:val="auto"/>
        </w:rPr>
      </w:pPr>
    </w:p>
    <w:p>
      <w:pPr>
        <w:ind w:right="2339" w:firstLine="632"/>
        <w:spacing w:after="0" w:line="272" w:lineRule="auto"/>
        <w:rPr>
          <w:sz w:val="20"/>
          <w:szCs w:val="20"/>
          <w:color w:val="auto"/>
        </w:rPr>
      </w:pPr>
      <w:r>
        <w:rPr>
          <w:rFonts w:ascii="Courier New" w:cs="Courier New" w:eastAsia="Courier New" w:hAnsi="Courier New"/>
          <w:sz w:val="16"/>
          <w:szCs w:val="16"/>
          <w:color w:val="auto"/>
        </w:rPr>
        <w:t>In the case of any consolidation or merger of us (with certain exceptions) or any conveyance, transfer or lease of our properties and assets substantially as an entirety to any Person, each holder of convertible Subordinated Debt Securities, after the consolidation, merger, conveyance, transfer or lease, will have the right to convert such convertible Subordinated Debt Securities only into the kind and amount of</w:t>
      </w:r>
    </w:p>
    <w:p>
      <w:pPr>
        <w:sectPr>
          <w:pgSz w:w="11900" w:h="16838" w:orient="portrait"/>
          <w:cols w:equalWidth="0" w:num="1">
            <w:col w:w="10139"/>
          </w:cols>
          <w:pgMar w:left="320" w:top="142" w:right="1440" w:bottom="0" w:gutter="0" w:footer="0" w:header="0"/>
        </w:sectPr>
      </w:pPr>
    </w:p>
    <w:bookmarkStart w:id="32" w:name="page33"/>
    <w:bookmarkEnd w:id="32"/>
    <w:p>
      <w:pPr>
        <w:ind w:right="2339"/>
        <w:spacing w:after="0" w:line="237" w:lineRule="auto"/>
        <w:rPr>
          <w:sz w:val="20"/>
          <w:szCs w:val="20"/>
          <w:color w:val="auto"/>
        </w:rPr>
      </w:pPr>
      <w:r>
        <w:rPr>
          <w:rFonts w:ascii="Courier New" w:cs="Courier New" w:eastAsia="Courier New" w:hAnsi="Courier New"/>
          <w:sz w:val="18"/>
          <w:szCs w:val="18"/>
          <w:color w:val="auto"/>
        </w:rPr>
        <w:t>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We are authorized to issue 1,500,000,000 shares of common stock, of which 627,807,809 shares were outstanding at January 4, 2000. We are also authorized to issue 10,000,000 shares of preferred stock, none of which were outstanding on that 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Dividends. Holders of common stock are entitled to receive dividends when declared by our Board of Directors. In certain cases, common stockholders may not receive dividends until we satisfy our obligations to any preferred stockholders.</w:t>
      </w:r>
    </w:p>
    <w:p>
      <w:pPr>
        <w:spacing w:after="0" w:line="207" w:lineRule="exact"/>
        <w:rPr>
          <w:sz w:val="20"/>
          <w:szCs w:val="20"/>
          <w:color w:val="auto"/>
        </w:rPr>
      </w:pPr>
    </w:p>
    <w:p>
      <w:pPr>
        <w:jc w:val="both"/>
        <w:ind w:right="2339" w:firstLine="632"/>
        <w:spacing w:after="0" w:line="268" w:lineRule="auto"/>
        <w:rPr>
          <w:sz w:val="20"/>
          <w:szCs w:val="20"/>
          <w:color w:val="auto"/>
        </w:rPr>
      </w:pPr>
      <w:r>
        <w:rPr>
          <w:rFonts w:ascii="Courier New" w:cs="Courier New" w:eastAsia="Courier New" w:hAnsi="Courier New"/>
          <w:sz w:val="16"/>
          <w:szCs w:val="16"/>
          <w:color w:val="auto"/>
        </w:rPr>
        <w:t>Voting Rights. Each share of common stock is entitled to one vote in the election of directors and in each other matter we may ask stockholders to vote on. Common stockholders do not have cumulative voting rights.</w:t>
      </w:r>
    </w:p>
    <w:p>
      <w:pPr>
        <w:ind w:right="2239"/>
        <w:spacing w:after="0" w:line="237" w:lineRule="auto"/>
        <w:rPr>
          <w:sz w:val="20"/>
          <w:szCs w:val="20"/>
          <w:color w:val="auto"/>
        </w:rPr>
      </w:pPr>
      <w:r>
        <w:rPr>
          <w:rFonts w:ascii="Courier New" w:cs="Courier New" w:eastAsia="Courier New" w:hAnsi="Courier New"/>
          <w:sz w:val="18"/>
          <w:szCs w:val="18"/>
          <w:color w:val="auto"/>
        </w:rPr>
        <w:t>Accordingly, the holders of a majority of shares voting for the election of directors can elect all of the directors standing for election. Because members of our Board of Directors serve staggered three-year terms, only about one third of our directors are elected each year.</w:t>
      </w:r>
    </w:p>
    <w:p>
      <w:pPr>
        <w:spacing w:after="0" w:line="207" w:lineRule="exact"/>
        <w:rPr>
          <w:sz w:val="20"/>
          <w:szCs w:val="20"/>
          <w:color w:val="auto"/>
        </w:rPr>
      </w:pPr>
    </w:p>
    <w:p>
      <w:pPr>
        <w:ind w:right="2559" w:firstLine="632"/>
        <w:spacing w:after="0" w:line="237" w:lineRule="auto"/>
        <w:rPr>
          <w:sz w:val="20"/>
          <w:szCs w:val="20"/>
          <w:color w:val="auto"/>
        </w:rPr>
      </w:pPr>
      <w:r>
        <w:rPr>
          <w:rFonts w:ascii="Courier New" w:cs="Courier New" w:eastAsia="Courier New" w:hAnsi="Courier New"/>
          <w:sz w:val="18"/>
          <w:szCs w:val="18"/>
          <w:color w:val="auto"/>
        </w:rPr>
        <w:t>Fully Paid Status. All outstanding shares of our common stock are validly issued, fully paid and non-assessable. The shares offered hereby will also be, upon issuance and sale, validly issued, fully paid and non-assessable.</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Liquidation or Dissolution. If we liquidate, dissolve or wind up our business, whether or not voluntarily, common stockholders will share ratably in the assets remaining after we pay our creditors and any preferred stockholders.</w:t>
      </w:r>
    </w:p>
    <w:p>
      <w:pPr>
        <w:spacing w:after="0" w:line="207" w:lineRule="exact"/>
        <w:rPr>
          <w:sz w:val="20"/>
          <w:szCs w:val="20"/>
          <w:color w:val="auto"/>
        </w:rPr>
      </w:pPr>
    </w:p>
    <w:p>
      <w:pPr>
        <w:ind w:right="2559" w:firstLine="632"/>
        <w:spacing w:after="0" w:line="235" w:lineRule="auto"/>
        <w:rPr>
          <w:sz w:val="20"/>
          <w:szCs w:val="20"/>
          <w:color w:val="auto"/>
        </w:rPr>
      </w:pPr>
      <w:r>
        <w:rPr>
          <w:rFonts w:ascii="Courier New" w:cs="Courier New" w:eastAsia="Courier New" w:hAnsi="Courier New"/>
          <w:sz w:val="18"/>
          <w:szCs w:val="18"/>
          <w:color w:val="auto"/>
        </w:rPr>
        <w:t>Listing. Our common stock is listed on the New York Stock Exchange under the trading symbol "WMI."</w:t>
      </w:r>
    </w:p>
    <w:p>
      <w:pPr>
        <w:spacing w:after="0" w:line="208" w:lineRule="exact"/>
        <w:rPr>
          <w:sz w:val="20"/>
          <w:szCs w:val="20"/>
          <w:color w:val="auto"/>
        </w:rPr>
      </w:pPr>
    </w:p>
    <w:p>
      <w:pPr>
        <w:ind w:right="2559" w:firstLine="632"/>
        <w:spacing w:after="0" w:line="290" w:lineRule="auto"/>
        <w:rPr>
          <w:sz w:val="20"/>
          <w:szCs w:val="20"/>
          <w:color w:val="auto"/>
        </w:rPr>
      </w:pPr>
      <w:r>
        <w:rPr>
          <w:rFonts w:ascii="Courier New" w:cs="Courier New" w:eastAsia="Courier New" w:hAnsi="Courier New"/>
          <w:sz w:val="16"/>
          <w:szCs w:val="16"/>
          <w:color w:val="auto"/>
        </w:rPr>
        <w:t>Transfer Agent and Registrar. The transfer agent and registrar for the common stock is Harris Trust and Savings Bank, Chicago, Illinois.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209"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8"/>
          <w:szCs w:val="18"/>
          <w:color w:val="auto"/>
        </w:rPr>
        <w:t>DELAWARE LAW AND CERTAIN PROVISIONS OF THE RESTATED CERTIFICATE OF INCORPORATION</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We are a Delaware corporation and are governed by the Delaware General Corporation Law, in addition to our Restated Certificate of Incorporation and Bylaws, certain provisions of which are summarized below. You should read the actual provisions of these documents.</w:t>
      </w:r>
    </w:p>
    <w:p>
      <w:pPr>
        <w:spacing w:after="0" w:line="20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8"/>
          <w:szCs w:val="18"/>
          <w:color w:val="auto"/>
        </w:rPr>
        <w:t>Section 203 of the Delaware law provides that an "Interested</w:t>
      </w:r>
    </w:p>
    <w:p>
      <w:pPr>
        <w:spacing w:after="0" w:line="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Stockholder," which is generally defined to mean any beneficial owner of</w:t>
      </w:r>
    </w:p>
    <w:p>
      <w:pPr>
        <w:sectPr>
          <w:pgSz w:w="11900" w:h="16838" w:orient="portrait"/>
          <w:cols w:equalWidth="0" w:num="1">
            <w:col w:w="10139"/>
          </w:cols>
          <w:pgMar w:left="320" w:top="142" w:right="1440" w:bottom="0" w:gutter="0" w:footer="0" w:header="0"/>
        </w:sectPr>
      </w:pPr>
    </w:p>
    <w:bookmarkStart w:id="33" w:name="page34"/>
    <w:bookmarkEnd w:id="33"/>
    <w:p>
      <w:pPr>
        <w:ind w:right="2659"/>
        <w:spacing w:after="0" w:line="237" w:lineRule="auto"/>
        <w:rPr>
          <w:sz w:val="20"/>
          <w:szCs w:val="20"/>
          <w:color w:val="auto"/>
        </w:rPr>
      </w:pPr>
      <w:r>
        <w:rPr>
          <w:rFonts w:ascii="Courier New" w:cs="Courier New" w:eastAsia="Courier New" w:hAnsi="Courier New"/>
          <w:sz w:val="18"/>
          <w:szCs w:val="18"/>
          <w:color w:val="auto"/>
        </w:rPr>
        <w:t>15% to 85% of the corporation's voting stock, may not engage in any "business combination" with the corporation for a period of three years after the date on which the person became an Interested Stockholder, unless:</w:t>
      </w:r>
    </w:p>
    <w:p>
      <w:pPr>
        <w:spacing w:after="0" w:line="207" w:lineRule="exact"/>
        <w:rPr>
          <w:sz w:val="20"/>
          <w:szCs w:val="20"/>
          <w:color w:val="auto"/>
        </w:rPr>
      </w:pPr>
    </w:p>
    <w:p>
      <w:pPr>
        <w:ind w:left="640" w:right="2979"/>
        <w:spacing w:after="0" w:line="279" w:lineRule="auto"/>
        <w:tabs>
          <w:tab w:leader="none" w:pos="1166"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such date, the corporation's board of directors approved either the business combination or the transaction in which the stockholder became an Interested Stockholder; or</w:t>
      </w:r>
    </w:p>
    <w:p>
      <w:pPr>
        <w:spacing w:after="0" w:line="177" w:lineRule="exact"/>
        <w:rPr>
          <w:rFonts w:ascii="Courier New" w:cs="Courier New" w:eastAsia="Courier New" w:hAnsi="Courier New"/>
          <w:sz w:val="16"/>
          <w:szCs w:val="16"/>
          <w:color w:val="auto"/>
        </w:rPr>
      </w:pPr>
    </w:p>
    <w:p>
      <w:pPr>
        <w:ind w:left="640" w:right="2559"/>
        <w:spacing w:after="0" w:line="237" w:lineRule="auto"/>
        <w:tabs>
          <w:tab w:leader="none" w:pos="1166"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208" w:lineRule="exact"/>
        <w:rPr>
          <w:sz w:val="20"/>
          <w:szCs w:val="20"/>
          <w:color w:val="auto"/>
        </w:rPr>
      </w:pPr>
    </w:p>
    <w:p>
      <w:pPr>
        <w:jc w:val="both"/>
        <w:ind w:right="2979" w:firstLine="632"/>
        <w:spacing w:after="0" w:line="236" w:lineRule="auto"/>
        <w:rPr>
          <w:sz w:val="20"/>
          <w:szCs w:val="20"/>
          <w:color w:val="auto"/>
        </w:rPr>
      </w:pPr>
      <w:r>
        <w:rPr>
          <w:rFonts w:ascii="Courier New" w:cs="Courier New" w:eastAsia="Courier New" w:hAnsi="Courier New"/>
          <w:sz w:val="18"/>
          <w:szCs w:val="18"/>
          <w:color w:val="auto"/>
        </w:rPr>
        <w:t>Section 203 defines the term "business combination" to include mergers, asset sales and other transactions resulting in a financial benefit to the Interested Stockholder.</w:t>
      </w:r>
    </w:p>
    <w:p>
      <w:pPr>
        <w:spacing w:after="0" w:line="208" w:lineRule="exact"/>
        <w:rPr>
          <w:sz w:val="20"/>
          <w:szCs w:val="20"/>
          <w:color w:val="auto"/>
        </w:rPr>
      </w:pPr>
    </w:p>
    <w:p>
      <w:pPr>
        <w:ind w:right="2339" w:firstLine="632"/>
        <w:spacing w:after="0" w:line="271" w:lineRule="auto"/>
        <w:rPr>
          <w:sz w:val="20"/>
          <w:szCs w:val="20"/>
          <w:color w:val="auto"/>
        </w:rPr>
      </w:pPr>
      <w:r>
        <w:rPr>
          <w:rFonts w:ascii="Courier New" w:cs="Courier New" w:eastAsia="Courier New" w:hAnsi="Courier New"/>
          <w:sz w:val="16"/>
          <w:szCs w:val="16"/>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Restated Certificate of Incorporation, may elect not to be governed by Section 203. Such an election would be effective 12 months after its adoption.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LIABILITY AND INDEMNIFICATION OF OFFICERS AND DIRECTORS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Our Restated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209"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213"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We also have entered into contracts with certain of our directors and executive officers to pay the reasonable fees and expenses of his or her counsel, as well as any judgments, fines, penalties, excise taxes, amounts paid in settlement and other liabilities, which the individual may incur in any claim or proceeding (including an action on our behalf) by reason of having served us as a director, officer, agent or fiduciary. These agreements also provide for us to pay the individual's defense costs before the proceeding is over, so long as the director or officer undertakes to repay us should a court later determine that the director or officer was not entitled to indemnification.</w:t>
      </w:r>
    </w:p>
    <w:p>
      <w:pPr>
        <w:spacing w:after="0" w:line="214"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We may sell the securities to or through underwriters or dealers, and we also may sell the securities directly to other purchasers or through agents. We may also issue shares of our common stock directly to certain persons in order to settle litigation and other claims or to satisfy judgments or arbitration awards.</w:t>
      </w:r>
    </w:p>
    <w:p>
      <w:pPr>
        <w:spacing w:after="0" w:line="208" w:lineRule="exact"/>
        <w:rPr>
          <w:sz w:val="20"/>
          <w:szCs w:val="20"/>
          <w:color w:val="auto"/>
        </w:rPr>
      </w:pPr>
    </w:p>
    <w:p>
      <w:pPr>
        <w:ind w:right="2339" w:firstLine="632"/>
        <w:spacing w:after="0" w:line="290" w:lineRule="auto"/>
        <w:rPr>
          <w:sz w:val="20"/>
          <w:szCs w:val="20"/>
          <w:color w:val="auto"/>
        </w:rPr>
      </w:pPr>
      <w:r>
        <w:rPr>
          <w:rFonts w:ascii="Courier New" w:cs="Courier New" w:eastAsia="Courier New" w:hAnsi="Courier New"/>
          <w:sz w:val="16"/>
          <w:szCs w:val="16"/>
          <w:color w:val="auto"/>
        </w:rPr>
        <w:t>The distribution of the securities may be effected from time to time in one or more transactions at a fixed price or prices, which may be</w:t>
      </w:r>
    </w:p>
    <w:p>
      <w:pPr>
        <w:sectPr>
          <w:pgSz w:w="11900" w:h="16838" w:orient="portrait"/>
          <w:cols w:equalWidth="0" w:num="1">
            <w:col w:w="10139"/>
          </w:cols>
          <w:pgMar w:left="320" w:top="142" w:right="1440" w:bottom="0" w:gutter="0" w:footer="0" w:header="0"/>
        </w:sectPr>
      </w:pPr>
    </w:p>
    <w:bookmarkStart w:id="34" w:name="page35"/>
    <w:bookmarkEnd w:id="34"/>
    <w:p>
      <w:pPr>
        <w:ind w:right="2239"/>
        <w:spacing w:after="0" w:line="235" w:lineRule="auto"/>
        <w:rPr>
          <w:sz w:val="20"/>
          <w:szCs w:val="20"/>
          <w:color w:val="auto"/>
        </w:rPr>
      </w:pPr>
      <w:r>
        <w:rPr>
          <w:rFonts w:ascii="Courier New" w:cs="Courier New" w:eastAsia="Courier New" w:hAnsi="Courier New"/>
          <w:sz w:val="18"/>
          <w:szCs w:val="18"/>
          <w:color w:val="auto"/>
        </w:rPr>
        <w:t>changed, at market prices prevailing at the time of sale, at prices related to such prevailing market prices or at negotiated prices.</w:t>
      </w:r>
    </w:p>
    <w:p>
      <w:pPr>
        <w:spacing w:after="0" w:line="208"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In connection with the sale of the securities, underwriters may receive compensation from us, or purchasers of securities for whom they may act as agents in the form of discounts, concessions or commissions. Underwriters, dealers and agents that participate in the distribution of securities may be deemed to be underwriters, and any discounts or commissions they receive from us or the purchasers of securities, and any profit on their resale of securities may be deemed to be underwriting discounts and commissions under the Securities Act. We will identify any person deemed to be an underwriter and will describe the compensation they receive from us in a prospectus supplement.</w:t>
      </w:r>
    </w:p>
    <w:p>
      <w:pPr>
        <w:spacing w:after="0" w:line="214"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Debt securities, when first issued, will have no established trading market. If we sell debt securities to or through any underwriters or agents for public offering and sale, they may make a market in those debt securities. However, the underwriters or agents will not be obligated to do so and may discontinue any market making at any time without notice. There can be no assurance as to the liquidity of any market that may develop for the debt securities.</w:t>
      </w:r>
    </w:p>
    <w:p>
      <w:pPr>
        <w:spacing w:after="0" w:line="210" w:lineRule="exact"/>
        <w:rPr>
          <w:sz w:val="20"/>
          <w:szCs w:val="20"/>
          <w:color w:val="auto"/>
        </w:rPr>
      </w:pPr>
    </w:p>
    <w:p>
      <w:pPr>
        <w:ind w:right="2439" w:firstLine="632"/>
        <w:spacing w:after="0" w:line="275" w:lineRule="auto"/>
        <w:rPr>
          <w:sz w:val="20"/>
          <w:szCs w:val="20"/>
          <w:color w:val="auto"/>
        </w:rPr>
      </w:pPr>
      <w:r>
        <w:rPr>
          <w:rFonts w:ascii="Courier New" w:cs="Courier New" w:eastAsia="Courier New" w:hAnsi="Courier New"/>
          <w:sz w:val="16"/>
          <w:szCs w:val="16"/>
          <w:color w:val="auto"/>
        </w:rPr>
        <w:t>We may enter into agreements with underwriters, dealers and agents who participate in the distribution of securities that could entitle them to indemnification by us against or contribution from us toward certain liabilities, including liabilities under the Securities Act.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DELAYED DELIVERY ARRANGEMENT</w:t>
      </w:r>
    </w:p>
    <w:p>
      <w:pPr>
        <w:spacing w:after="0" w:line="207" w:lineRule="exact"/>
        <w:rPr>
          <w:sz w:val="20"/>
          <w:szCs w:val="20"/>
          <w:color w:val="auto"/>
        </w:rPr>
      </w:pPr>
    </w:p>
    <w:p>
      <w:pPr>
        <w:ind w:right="2239" w:firstLine="632"/>
        <w:spacing w:after="0" w:line="270" w:lineRule="auto"/>
        <w:rPr>
          <w:sz w:val="20"/>
          <w:szCs w:val="20"/>
          <w:color w:val="auto"/>
        </w:rPr>
      </w:pPr>
      <w:r>
        <w:rPr>
          <w:rFonts w:ascii="Courier New" w:cs="Courier New" w:eastAsia="Courier New" w:hAnsi="Courier New"/>
          <w:sz w:val="16"/>
          <w:szCs w:val="16"/>
          <w:color w:val="auto"/>
        </w:rPr>
        <w:t>If so indicated in a prospectus supplement, we will authorize underwriters or other persons acting as our agents to solicit offers by certain institutions to purchase debt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our approval.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be responsible for the validity or performance of those contracts.</w:t>
      </w:r>
    </w:p>
    <w:p>
      <w:pPr>
        <w:spacing w:after="0" w:line="200" w:lineRule="exact"/>
        <w:rPr>
          <w:sz w:val="20"/>
          <w:szCs w:val="20"/>
          <w:color w:val="auto"/>
        </w:rPr>
      </w:pPr>
    </w:p>
    <w:p>
      <w:pPr>
        <w:spacing w:after="0" w:line="38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VALIDITY OF SECURITIES</w:t>
      </w:r>
    </w:p>
    <w:p>
      <w:pPr>
        <w:spacing w:after="0" w:line="207" w:lineRule="exact"/>
        <w:rPr>
          <w:sz w:val="20"/>
          <w:szCs w:val="20"/>
          <w:color w:val="auto"/>
        </w:rPr>
      </w:pPr>
    </w:p>
    <w:p>
      <w:pPr>
        <w:ind w:right="2439" w:firstLine="632"/>
        <w:spacing w:after="0" w:line="237" w:lineRule="auto"/>
        <w:rPr>
          <w:sz w:val="20"/>
          <w:szCs w:val="20"/>
          <w:color w:val="auto"/>
        </w:rPr>
      </w:pPr>
      <w:r>
        <w:rPr>
          <w:rFonts w:ascii="Courier New" w:cs="Courier New" w:eastAsia="Courier New" w:hAnsi="Courier New"/>
          <w:sz w:val="18"/>
          <w:szCs w:val="18"/>
          <w:color w:val="auto"/>
        </w:rPr>
        <w:t>The validity of the securities has been passed upon for us by Locke Liddell &amp; Sapp LLP, and certain legal matters will be passed upon for any agents, dealers or underwrites, by counsel named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559" w:firstLine="632"/>
        <w:spacing w:after="0" w:line="268" w:lineRule="auto"/>
        <w:rPr>
          <w:sz w:val="20"/>
          <w:szCs w:val="20"/>
          <w:color w:val="auto"/>
        </w:rPr>
      </w:pPr>
      <w:r>
        <w:rPr>
          <w:rFonts w:ascii="Courier New" w:cs="Courier New" w:eastAsia="Courier New" w:hAnsi="Courier New"/>
          <w:sz w:val="16"/>
          <w:szCs w:val="16"/>
          <w:color w:val="auto"/>
        </w:rPr>
        <w:t>The audited consolidated financial statements for the year ended December 31, 1998 appearing in Waste Management's Current Report on Form</w:t>
      </w:r>
    </w:p>
    <w:p>
      <w:pPr>
        <w:ind w:right="2239"/>
        <w:spacing w:after="0" w:line="237" w:lineRule="auto"/>
        <w:rPr>
          <w:sz w:val="20"/>
          <w:szCs w:val="20"/>
          <w:color w:val="auto"/>
        </w:rPr>
      </w:pPr>
      <w:r>
        <w:rPr>
          <w:rFonts w:ascii="Courier New" w:cs="Courier New" w:eastAsia="Courier New" w:hAnsi="Courier New"/>
          <w:sz w:val="18"/>
          <w:szCs w:val="18"/>
          <w:color w:val="auto"/>
        </w:rPr>
        <w:t>8-K dated September 16, 1999 incorporated by reference in this prospectus have been audited by Arthur Andersen LLP, independent public accountants, as set forth in their report. In their report, that firm states that, with respect to USA Waste Services, Inc. and its Subsidiaries as of December 31, 1997 and for each of the years in the two-year period then ended, its opinion is based on reports of other auditors, namely PricewaterhouseCoopers LLP. The financial statements of Waste Management referred to above have been included herein in reliance upon the authority of those firms as experts in giving said reports.</w:t>
      </w:r>
    </w:p>
    <w:p>
      <w:pPr>
        <w:spacing w:after="0" w:line="213"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During the quarter ended September 30, 1999, the Company conducted a review of its accounting records, systems, processes and controls. Based on that review, the Company has concluded that its internal controls for the preparation of interim financial information did not provide its independent public accountants an adequate basis to complete reviews of the quarterly data for the quarters in the nine-month period ended September 30, 1999. Our independent public accountants have advised the Company that their report on the December 31, 1999 financial statements will include the following paragraph:</w:t>
      </w:r>
    </w:p>
    <w:p>
      <w:pPr>
        <w:spacing w:after="0" w:line="213" w:lineRule="exact"/>
        <w:rPr>
          <w:sz w:val="20"/>
          <w:szCs w:val="20"/>
          <w:color w:val="auto"/>
        </w:rPr>
      </w:pPr>
    </w:p>
    <w:p>
      <w:pPr>
        <w:ind w:left="1280" w:right="2339"/>
        <w:spacing w:after="0" w:line="272" w:lineRule="auto"/>
        <w:rPr>
          <w:sz w:val="20"/>
          <w:szCs w:val="20"/>
          <w:color w:val="auto"/>
        </w:rPr>
      </w:pPr>
      <w:r>
        <w:rPr>
          <w:rFonts w:ascii="Courier New" w:cs="Courier New" w:eastAsia="Courier New" w:hAnsi="Courier New"/>
          <w:sz w:val="16"/>
          <w:szCs w:val="16"/>
          <w:color w:val="auto"/>
        </w:rPr>
        <w:t>"The selected quarterly financial data included in the Company's financial statements contain information that we did not audit, and accordingly, we do not express an opinion on that data. We attempted, but were unable to, review that quarterly data in accordance with standards established by the American Institute of Certified Public Accountants because we</w:t>
      </w:r>
    </w:p>
    <w:p>
      <w:pPr>
        <w:sectPr>
          <w:pgSz w:w="11900" w:h="16838" w:orient="portrait"/>
          <w:cols w:equalWidth="0" w:num="1">
            <w:col w:w="10139"/>
          </w:cols>
          <w:pgMar w:left="320" w:top="142" w:right="1440" w:bottom="0" w:gutter="0" w:footer="0" w:header="0"/>
        </w:sectPr>
      </w:pPr>
    </w:p>
    <w:bookmarkStart w:id="35" w:name="page36"/>
    <w:bookmarkEnd w:id="35"/>
    <w:p>
      <w:pPr>
        <w:ind w:left="1280" w:right="2339"/>
        <w:spacing w:after="0" w:line="236" w:lineRule="auto"/>
        <w:rPr>
          <w:sz w:val="20"/>
          <w:szCs w:val="20"/>
          <w:color w:val="auto"/>
        </w:rPr>
      </w:pPr>
      <w:r>
        <w:rPr>
          <w:rFonts w:ascii="Courier New" w:cs="Courier New" w:eastAsia="Courier New" w:hAnsi="Courier New"/>
          <w:sz w:val="18"/>
          <w:szCs w:val="18"/>
          <w:color w:val="auto"/>
        </w:rPr>
        <w:t>believe that the Company's internal controls for the preparation of interim financial information do not provide an adequate basis to enable us to complete such a review."</w:t>
      </w:r>
    </w:p>
    <w:p>
      <w:pPr>
        <w:spacing w:after="0" w:line="208"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The audited consolidated financial statements of USA Waste Services, Inc. as of December 31, 1997 and for the years ended December 31, 1997 and 1996, not separately incorporated by reference in this prospectus, have been audited by PricewaterhouseCoopers LLP, independent accountants, whose report thereon is incorporated by reference herein. Such financial statements, to the extent they have been included in the financial statements of Waste Management, Inc., have been so included in reliance on the report of such independent accountants given on the authority of said firm as experts in auditing and accounting.</w:t>
      </w:r>
    </w:p>
    <w:p>
      <w:pPr>
        <w:sectPr>
          <w:pgSz w:w="11900" w:h="16838" w:orient="portrait"/>
          <w:cols w:equalWidth="0" w:num="1">
            <w:col w:w="10139"/>
          </w:cols>
          <w:pgMar w:left="320" w:top="142" w:right="1440" w:bottom="1440" w:gutter="0" w:footer="0" w:header="0"/>
        </w:sectPr>
      </w:pPr>
    </w:p>
    <w:bookmarkStart w:id="36" w:name="page37"/>
    <w:bookmarkEnd w:id="36"/>
    <w:p>
      <w:pPr>
        <w:jc w:val="center"/>
        <w:ind w:right="223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The following table sets forth all expenses payable by the Company in connection with the issuance and distribution of the securities, other than underwriting discounts and commissions. All the amounts shown are estimates, except the registration fee.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Registration Fee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  611,600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expenses of accountants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expenses of legal counsel</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expenses of trustee and counsel</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Fees of rating agencies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Printing</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engraving expenses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180,000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Sky</w:t>
            </w:r>
          </w:p>
        </w:tc>
        <w:tc>
          <w:tcPr>
            <w:tcW w:w="4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fees and expenses (including counsel)</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5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Miscellaneous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13,400</w:t>
            </w:r>
          </w:p>
        </w:tc>
      </w:tr>
      <w:tr>
        <w:trPr>
          <w:trHeight w:val="203"/>
        </w:trPr>
        <w:tc>
          <w:tcPr>
            <w:tcW w:w="9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4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$1,200,000</w:t>
            </w:r>
          </w:p>
        </w:tc>
      </w:tr>
      <w:tr>
        <w:trPr>
          <w:trHeight w:val="203"/>
        </w:trPr>
        <w:tc>
          <w:tcPr>
            <w:tcW w:w="90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Restated Certificate of Incorporation provides that the Company's directors are not liable to the Company or its stockholders for monetary damages for breach of their fiduciary duty, subject to the described exceptions specified by Delaware law.</w:t>
      </w:r>
    </w:p>
    <w:p>
      <w:pPr>
        <w:spacing w:after="0" w:line="217" w:lineRule="exact"/>
        <w:rPr>
          <w:sz w:val="20"/>
          <w:szCs w:val="20"/>
          <w:color w:val="auto"/>
        </w:rPr>
      </w:pPr>
    </w:p>
    <w:p>
      <w:pPr>
        <w:ind w:right="2339" w:firstLine="632"/>
        <w:spacing w:after="0" w:line="270" w:lineRule="auto"/>
        <w:rPr>
          <w:sz w:val="20"/>
          <w:szCs w:val="20"/>
          <w:color w:val="auto"/>
        </w:rPr>
      </w:pPr>
      <w:r>
        <w:rPr>
          <w:rFonts w:ascii="Courier New" w:cs="Courier New" w:eastAsia="Courier New" w:hAnsi="Courier New"/>
          <w:sz w:val="16"/>
          <w:szCs w:val="16"/>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190"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also empowers the Company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The Company has purchased and maintains a directors' and officers' liability policy for such purposes.</w:t>
      </w:r>
    </w:p>
    <w:p>
      <w:pPr>
        <w:spacing w:after="0" w:line="212"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The Company has entered into Indemnification Agreements with certain of its directors and executive officers. Such Indemnification Agreements provide that such persons (the "Indemnitees") will be indemnified and held harmless from all expenses,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Company or serving at the request of the Company as a director, officer, employee, fiduciary or representative or another enterprise. Such Indemnification Agreements also provide that the Company, if requested to do so by an Indemnitee, will advance to such Indemnitee, prior to final disposition of any proceeding, the expense actually incurred by the Indemnitee subject to the obligation of the Indemnitee to refund if it is ultimately determined that such Indemnitee was not entitled to</w:t>
      </w:r>
    </w:p>
    <w:p>
      <w:pPr>
        <w:sectPr>
          <w:pgSz w:w="11900" w:h="16838" w:orient="portrait"/>
          <w:cols w:equalWidth="0" w:num="1">
            <w:col w:w="10139"/>
          </w:cols>
          <w:pgMar w:left="320" w:top="1122"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indemnification.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The following documents are filed as exhibits to this Registration Statement, including those exhibits incorporated herein by reference to a prior filing of the Company under the Securities Act or the Exchange Act as indicated in parentheses: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2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420" w:type="dxa"/>
            <w:vAlign w:val="bottom"/>
          </w:tcPr>
          <w:p>
            <w:pPr>
              <w:spacing w:after="0"/>
              <w:rPr>
                <w:sz w:val="17"/>
                <w:szCs w:val="17"/>
                <w:color w:val="auto"/>
              </w:rPr>
            </w:pPr>
          </w:p>
        </w:tc>
        <w:tc>
          <w:tcPr>
            <w:tcW w:w="6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EXHIBIT</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420" w:type="dxa"/>
            <w:vAlign w:val="bottom"/>
          </w:tcPr>
          <w:p>
            <w:pPr>
              <w:spacing w:after="0"/>
              <w:rPr>
                <w:sz w:val="17"/>
                <w:szCs w:val="17"/>
                <w:color w:val="auto"/>
              </w:rPr>
            </w:pPr>
          </w:p>
        </w:tc>
        <w:tc>
          <w:tcPr>
            <w:tcW w:w="664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Form of Underwriting Agreement (Debt Securities).</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1.2*</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Form of Underwriting Agreement (Common 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4.1</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Indenture for Senior Debt Securities dated September 10,</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1997, among the Registrant and Texas Commerce Bank National</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Association, now known as Chase Bank of Texas, National</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Association, as trustee (incorporated by reference to</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Exhibit 4.1 to the Registrant's Current Report on Form 8-K</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filed with the Commission on September 24, 1997).</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4.2</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Subordinated Indenture, dated as of February 1, 1997, among</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the Registrant and Texas Commerce Bank National Association,</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now known as Chase Bank of Texas, National Association, as</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trustee (incorporated by reference to Exhibit 4.1 to the</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Registrant's Current Report on Form 8-K filed with the</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Commission on February 7, 1997).</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4.3*</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Form of Debt Securities.</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4.4</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Restated Certificate of Incorporation, as amended</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(incorporated by reference to Exhibit 3.2 of the</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Registrant's Current Report on Form 8-K dated July 16,</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4.5</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Bylaws (incorporated by reference to Exhibit 3 to the</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Registrant's Form 10-Q for the quarter ended June 30, 1999).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Specimen Common Stock Certificate (incorporated by reference</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Exhibit 4.1 to the Registrant's Annual Report on Form</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10-K for the year ended December 31, 1998).</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5.1**</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Opinion of Locke Liddell &amp; Sapp LLP as to the legality of the</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Securities being registered.</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12.1**</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Computation of ratios of earnings to fixed charges.</w:t>
            </w:r>
          </w:p>
        </w:tc>
      </w:tr>
      <w:tr>
        <w:trPr>
          <w:trHeight w:val="202"/>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23.1**</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Consent of Locke Liddell &amp; Sapp LLP (included in Exhibit</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23.2***</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Consent of Arthur Andersen LLP.</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23.3***</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Consent of PricewaterhouseCoopers LLP.</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24.1***</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Powers of Attorney (included on signature page herewith).</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25.1**</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Statement of Eligibility of Trustee with respect to Senior</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Debt Indenture.</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25.2**</w:t>
            </w:r>
          </w:p>
        </w:tc>
        <w:tc>
          <w:tcPr>
            <w:tcW w:w="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3"/>
              </w:rPr>
              <w:t>--</w:t>
            </w: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Statement of Eligibility of Trustee with respect to</w:t>
            </w:r>
          </w:p>
        </w:tc>
      </w:t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Subordinated Debt Indenture.</w:t>
            </w:r>
          </w:p>
        </w:tc>
      </w:tr>
    </w:tbl>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420" w:right="2339" w:hanging="412"/>
        <w:spacing w:after="0" w:line="237" w:lineRule="auto"/>
        <w:tabs>
          <w:tab w:leader="none" w:pos="4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file any underwriting agreement relating to Debt Securities or common stock that it may enter into and any form of Debt Securities not previously so filed, as an exhibit to a Current Report on Form 8-K.</w:t>
      </w:r>
    </w:p>
    <w:p>
      <w:pPr>
        <w:spacing w:after="0" w:line="201" w:lineRule="exact"/>
        <w:rPr>
          <w:sz w:val="20"/>
          <w:szCs w:val="20"/>
          <w:color w:val="auto"/>
        </w:rPr>
      </w:pPr>
    </w:p>
    <w:p>
      <w:pPr>
        <w:ind w:left="420" w:hanging="412"/>
        <w:spacing w:after="0"/>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herewith.</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280" w:hanging="640"/>
        <w:spacing w:after="0"/>
        <w:tabs>
          <w:tab w:leader="none" w:pos="12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640" w:right="2659" w:firstLine="632"/>
        <w:spacing w:after="0" w:line="236" w:lineRule="auto"/>
        <w:tabs>
          <w:tab w:leader="none" w:pos="1693"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sz w:val="20"/>
          <w:szCs w:val="20"/>
          <w:color w:val="auto"/>
        </w:rPr>
      </w:pPr>
    </w:p>
    <w:p>
      <w:pPr>
        <w:ind w:left="640" w:right="2239" w:firstLine="632"/>
        <w:spacing w:after="0" w:line="235" w:lineRule="auto"/>
        <w:tabs>
          <w:tab w:leader="none" w:pos="1904"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640" w:right="2239" w:firstLine="632"/>
        <w:spacing w:after="0" w:line="270" w:lineRule="auto"/>
        <w:tabs>
          <w:tab w:leader="none" w:pos="179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w:t>
      </w:r>
    </w:p>
    <w:p>
      <w:pPr>
        <w:sectPr>
          <w:pgSz w:w="11900" w:h="16838" w:orient="portrait"/>
          <w:cols w:equalWidth="0" w:num="1">
            <w:col w:w="10139"/>
          </w:cols>
          <w:pgMar w:left="320" w:top="136" w:right="1440" w:bottom="0" w:gutter="0" w:footer="0" w:header="0"/>
        </w:sectPr>
      </w:pPr>
    </w:p>
    <w:bookmarkStart w:id="38" w:name="page39"/>
    <w:bookmarkEnd w:id="38"/>
    <w:p>
      <w:pPr>
        <w:jc w:val="both"/>
        <w:ind w:left="640" w:right="2239"/>
        <w:spacing w:after="0" w:line="236" w:lineRule="auto"/>
        <w:rPr>
          <w:sz w:val="20"/>
          <w:szCs w:val="20"/>
          <w:color w:val="auto"/>
        </w:rPr>
      </w:pPr>
      <w:r>
        <w:rPr>
          <w:rFonts w:ascii="Courier New" w:cs="Courier New" w:eastAsia="Courier New" w:hAnsi="Courier New"/>
          <w:sz w:val="18"/>
          <w:szCs w:val="18"/>
          <w:color w:val="auto"/>
        </w:rPr>
        <w:t>a 20% change in the maximum aggregate offering price set forth in the "Calculation of Registration Fee" table in the effective registration statement;</w:t>
      </w:r>
    </w:p>
    <w:p>
      <w:pPr>
        <w:spacing w:after="0" w:line="208" w:lineRule="exact"/>
        <w:rPr>
          <w:sz w:val="20"/>
          <w:szCs w:val="20"/>
          <w:color w:val="auto"/>
        </w:rPr>
      </w:pPr>
    </w:p>
    <w:p>
      <w:pPr>
        <w:ind w:left="640" w:right="2439" w:firstLine="632"/>
        <w:spacing w:after="0" w:line="237" w:lineRule="auto"/>
        <w:tabs>
          <w:tab w:leader="none" w:pos="190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 filed with or furnished to the Commission by the registrant pursuant to Section 13 or Section 15(d) of the Exchange Act that are incorporated by reference in the registration statement.</w:t>
      </w:r>
    </w:p>
    <w:p>
      <w:pPr>
        <w:spacing w:after="0" w:line="209" w:lineRule="exact"/>
        <w:rPr>
          <w:sz w:val="20"/>
          <w:szCs w:val="20"/>
          <w:color w:val="auto"/>
        </w:rPr>
      </w:pPr>
    </w:p>
    <w:p>
      <w:pPr>
        <w:ind w:left="640" w:right="2339" w:firstLine="632"/>
        <w:spacing w:after="0" w:line="273" w:lineRule="auto"/>
        <w:tabs>
          <w:tab w:leader="none" w:pos="1693"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4" w:lineRule="exact"/>
        <w:rPr>
          <w:rFonts w:ascii="Courier New" w:cs="Courier New" w:eastAsia="Courier New" w:hAnsi="Courier New"/>
          <w:sz w:val="16"/>
          <w:szCs w:val="16"/>
          <w:color w:val="auto"/>
        </w:rPr>
      </w:pPr>
    </w:p>
    <w:p>
      <w:pPr>
        <w:ind w:left="640" w:right="2339" w:firstLine="632"/>
        <w:spacing w:after="0" w:line="236" w:lineRule="auto"/>
        <w:tabs>
          <w:tab w:leader="none" w:pos="1693"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2"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w:t>
      </w:r>
    </w:p>
    <w:p>
      <w:pPr>
        <w:spacing w:after="0" w:line="206" w:lineRule="exact"/>
        <w:rPr>
          <w:rFonts w:ascii="Courier New" w:cs="Courier New" w:eastAsia="Courier New" w:hAnsi="Courier New"/>
          <w:sz w:val="18"/>
          <w:szCs w:val="18"/>
          <w:color w:val="auto"/>
        </w:rPr>
      </w:pPr>
    </w:p>
    <w:p>
      <w:pPr>
        <w:ind w:left="640" w:right="2339" w:firstLine="632"/>
        <w:spacing w:after="0" w:line="237" w:lineRule="auto"/>
        <w:tabs>
          <w:tab w:leader="none" w:pos="1693"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10" w:lineRule="exact"/>
        <w:rPr>
          <w:rFonts w:ascii="Courier New" w:cs="Courier New" w:eastAsia="Courier New" w:hAnsi="Courier New"/>
          <w:sz w:val="18"/>
          <w:szCs w:val="18"/>
          <w:color w:val="auto"/>
        </w:rPr>
      </w:pPr>
    </w:p>
    <w:p>
      <w:pPr>
        <w:ind w:left="640" w:right="2339" w:firstLine="632"/>
        <w:spacing w:after="0" w:line="237" w:lineRule="auto"/>
        <w:tabs>
          <w:tab w:leader="none" w:pos="1693"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9" w:lineRule="exact"/>
        <w:rPr>
          <w:rFonts w:ascii="Courier New" w:cs="Courier New" w:eastAsia="Courier New" w:hAnsi="Courier New"/>
          <w:sz w:val="18"/>
          <w:szCs w:val="18"/>
          <w:color w:val="auto"/>
        </w:rPr>
      </w:pPr>
    </w:p>
    <w:p>
      <w:pPr>
        <w:ind w:left="640" w:right="2439"/>
        <w:spacing w:after="0" w:line="237" w:lineRule="auto"/>
        <w:tabs>
          <w:tab w:leader="none" w:pos="1061"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Courier New" w:cs="Courier New" w:eastAsia="Courier New" w:hAnsi="Courier New"/>
          <w:sz w:val="18"/>
          <w:szCs w:val="18"/>
          <w:color w:val="auto"/>
        </w:rPr>
      </w:pPr>
    </w:p>
    <w:p>
      <w:pPr>
        <w:ind w:left="640" w:right="2239"/>
        <w:spacing w:after="0" w:line="269" w:lineRule="auto"/>
        <w:tabs>
          <w:tab w:leader="none" w:pos="106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any charter provision, by-law, contract, arrangement, statute,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ectPr>
          <w:pgSz w:w="11900" w:h="16838" w:orient="portrait"/>
          <w:cols w:equalWidth="0" w:num="1">
            <w:col w:w="10139"/>
          </w:cols>
          <w:pgMar w:left="320" w:top="142" w:right="1440" w:bottom="1440" w:gutter="0" w:footer="0" w:header="0"/>
        </w:sectPr>
      </w:pPr>
    </w:p>
    <w:bookmarkStart w:id="39" w:name="page40"/>
    <w:bookmarkEnd w:id="39"/>
    <w:p>
      <w:pPr>
        <w:jc w:val="center"/>
        <w:ind w:right="211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339" w:firstLine="632"/>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Houston, State of Texas on the 4th day of February, 2000.</w:t>
      </w: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By: /s/ A. Maurice Myers</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tab/>
        <w:t>A. Maurice Myers</w:t>
      </w:r>
    </w:p>
    <w:p>
      <w:pPr>
        <w:ind w:left="3800"/>
        <w:spacing w:after="0" w:line="238" w:lineRule="auto"/>
        <w:rPr>
          <w:sz w:val="20"/>
          <w:szCs w:val="20"/>
          <w:color w:val="auto"/>
        </w:rPr>
      </w:pPr>
      <w:r>
        <w:rPr>
          <w:rFonts w:ascii="Courier New" w:cs="Courier New" w:eastAsia="Courier New" w:hAnsi="Courier New"/>
          <w:sz w:val="18"/>
          <w:szCs w:val="18"/>
          <w:color w:val="auto"/>
        </w:rPr>
        <w:t>Title: President, Chief Executive</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Officer and Chairman of the Board</w:t>
      </w:r>
    </w:p>
    <w:p>
      <w:pPr>
        <w:spacing w:after="0" w:line="200" w:lineRule="exact"/>
        <w:rPr>
          <w:sz w:val="20"/>
          <w:szCs w:val="20"/>
          <w:color w:val="auto"/>
        </w:rPr>
      </w:pPr>
    </w:p>
    <w:p>
      <w:pPr>
        <w:spacing w:after="0" w:line="226" w:lineRule="exact"/>
        <w:rPr>
          <w:sz w:val="20"/>
          <w:szCs w:val="20"/>
          <w:color w:val="auto"/>
        </w:rPr>
      </w:pPr>
    </w:p>
    <w:p>
      <w:pPr>
        <w:ind w:right="2239" w:firstLine="632"/>
        <w:spacing w:after="0" w:line="269"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A. Maurice Myers, Donald R. Chappel and Bryan J. Blankfield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necessary or advisable to comply with the applicable state securities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00" w:lineRule="exact"/>
        <w:rPr>
          <w:sz w:val="20"/>
          <w:szCs w:val="20"/>
          <w:color w:val="auto"/>
        </w:rPr>
      </w:pPr>
    </w:p>
    <w:p>
      <w:pPr>
        <w:spacing w:after="0" w:line="396" w:lineRule="exact"/>
        <w:rPr>
          <w:sz w:val="20"/>
          <w:szCs w:val="20"/>
          <w:color w:val="auto"/>
        </w:rPr>
      </w:pPr>
    </w:p>
    <w:p>
      <w:pPr>
        <w:jc w:val="both"/>
        <w:ind w:right="275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4th day of February, 2000.</w:t>
      </w:r>
    </w:p>
    <w:p>
      <w:pPr>
        <w:sectPr>
          <w:pgSz w:w="11900" w:h="16838" w:orient="portrait"/>
          <w:cols w:equalWidth="0" w:num="1">
            <w:col w:w="10139"/>
          </w:cols>
          <w:pgMar w:left="320" w:top="112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340" w:space="720"/>
            <w:col w:w="5079"/>
          </w:cols>
          <w:pgMar w:left="320" w:top="112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 Maurice Myers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Maurice Myers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President, Chief Executive Officer,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Chairman of the Board and 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2">
            <w:col w:w="3700" w:space="300"/>
            <w:col w:w="6139"/>
          </w:cols>
          <w:pgMar w:left="320" w:top="1122"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Donald R. Chappel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R. Chappel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and Chief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Officer</w:t>
      </w:r>
    </w:p>
    <w:p>
      <w:pPr>
        <w:spacing w:after="0" w:line="238" w:lineRule="auto"/>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ectPr>
          <w:pgSz w:w="11900" w:h="16838" w:orient="portrait"/>
          <w:cols w:equalWidth="0" w:num="2">
            <w:col w:w="3700" w:space="300"/>
            <w:col w:w="6139"/>
          </w:cols>
          <w:pgMar w:left="320" w:top="1122"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Bruce E. Snyder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E. Snyder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Officer</w:t>
      </w:r>
    </w:p>
    <w:p>
      <w:pPr>
        <w:spacing w:after="0" w:line="238" w:lineRule="auto"/>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00" w:space="300"/>
            <w:col w:w="6139"/>
          </w:cols>
          <w:pgMar w:left="320" w:top="1122"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H. Jesse Arnelle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 Jesse Arnelle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621" w:lineRule="exact"/>
        <w:rPr>
          <w:sz w:val="20"/>
          <w:szCs w:val="20"/>
          <w:color w:val="auto"/>
        </w:rPr>
      </w:pPr>
    </w:p>
    <w:p>
      <w:pPr>
        <w:sectPr>
          <w:pgSz w:w="11900" w:h="16838" w:orient="portrait"/>
          <w:cols w:equalWidth="0" w:num="2">
            <w:col w:w="3700" w:space="300"/>
            <w:col w:w="6139"/>
          </w:cols>
          <w:pgMar w:left="320" w:top="1122" w:right="1440" w:bottom="0" w:gutter="0" w:footer="0" w:header="0"/>
          <w:type w:val="continuous"/>
        </w:sectPr>
      </w:pPr>
    </w:p>
    <w:p>
      <w:pPr>
        <w:spacing w:after="0" w:line="204"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8"/>
          <w:szCs w:val="18"/>
          <w:color w:val="auto"/>
        </w:rPr>
        <w:t>/s/ Pastora San Juan Cafferty</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Pastora San Juan Cafferty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5079" w:firstLine="8"/>
        <w:spacing w:after="0" w:line="235" w:lineRule="auto"/>
        <w:tabs>
          <w:tab w:leader="none" w:pos="21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 Ralph F. Cox</w:t>
      </w:r>
    </w:p>
    <w:p>
      <w:pPr>
        <w:sectPr>
          <w:pgSz w:w="11900" w:h="16838" w:orient="portrait"/>
          <w:cols w:equalWidth="0" w:num="1">
            <w:col w:w="10139"/>
          </w:cols>
          <w:pgMar w:left="320" w:top="1122" w:right="1440" w:bottom="0" w:gutter="0" w:footer="0" w:header="0"/>
          <w:type w:val="continuous"/>
        </w:sectPr>
      </w:pPr>
    </w:p>
    <w:bookmarkStart w:id="40" w:name="page41"/>
    <w:bookmarkEnd w:id="40"/>
    <w:p>
      <w:pPr>
        <w:spacing w:after="0"/>
        <w:tabs>
          <w:tab w:leader="none" w:pos="3980" w:val="left"/>
        </w:tabs>
        <w:rPr>
          <w:sz w:val="20"/>
          <w:szCs w:val="20"/>
          <w:color w:val="auto"/>
        </w:rPr>
      </w:pPr>
      <w:r>
        <w:rPr>
          <w:rFonts w:ascii="Courier New" w:cs="Courier New" w:eastAsia="Courier New" w:hAnsi="Courier New"/>
          <w:sz w:val="18"/>
          <w:szCs w:val="18"/>
          <w:color w:val="auto"/>
        </w:rPr>
        <w:t>/s/ Roderick M. Hills</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Roderick M. Hills</w:t>
      </w:r>
    </w:p>
    <w:p>
      <w:pPr>
        <w:spacing w:after="0" w:line="200" w:lineRule="exact"/>
        <w:rPr>
          <w:sz w:val="20"/>
          <w:szCs w:val="20"/>
          <w:color w:val="auto"/>
        </w:rPr>
      </w:pPr>
    </w:p>
    <w:p>
      <w:pPr>
        <w:spacing w:after="0" w:line="204"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8"/>
          <w:szCs w:val="18"/>
          <w:color w:val="auto"/>
        </w:rPr>
        <w:t>/s/ Robert. S. Miller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S. Miller</w:t>
      </w:r>
    </w:p>
    <w:p>
      <w:pPr>
        <w:spacing w:after="0" w:line="200" w:lineRule="exact"/>
        <w:rPr>
          <w:sz w:val="20"/>
          <w:szCs w:val="20"/>
          <w:color w:val="auto"/>
        </w:rPr>
      </w:pPr>
    </w:p>
    <w:p>
      <w:pPr>
        <w:spacing w:after="0" w:line="204"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8"/>
          <w:szCs w:val="18"/>
          <w:color w:val="auto"/>
        </w:rPr>
        <w:t>/s/ Paul M. Montrone</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Paul M. Montrone</w:t>
      </w:r>
    </w:p>
    <w:p>
      <w:pPr>
        <w:spacing w:after="0" w:line="200" w:lineRule="exact"/>
        <w:rPr>
          <w:sz w:val="20"/>
          <w:szCs w:val="20"/>
          <w:color w:val="auto"/>
        </w:rPr>
      </w:pPr>
    </w:p>
    <w:p>
      <w:pPr>
        <w:spacing w:after="0" w:line="204"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8"/>
          <w:szCs w:val="18"/>
          <w:color w:val="auto"/>
        </w:rPr>
        <w:t>/s/ John C. Pope</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C. Pope</w:t>
      </w:r>
    </w:p>
    <w:p>
      <w:pPr>
        <w:spacing w:after="0" w:line="200" w:lineRule="exact"/>
        <w:rPr>
          <w:sz w:val="20"/>
          <w:szCs w:val="20"/>
          <w:color w:val="auto"/>
        </w:rPr>
      </w:pPr>
    </w:p>
    <w:p>
      <w:pPr>
        <w:spacing w:after="0" w:line="204"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8"/>
          <w:szCs w:val="18"/>
          <w:color w:val="auto"/>
        </w:rPr>
        <w:t>/s/ Steven G. Rothmeier</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 G. Rothmeier</w:t>
      </w:r>
    </w:p>
    <w:p>
      <w:pPr>
        <w:spacing w:after="0" w:line="200" w:lineRule="exact"/>
        <w:rPr>
          <w:sz w:val="20"/>
          <w:szCs w:val="20"/>
          <w:color w:val="auto"/>
        </w:rPr>
      </w:pPr>
    </w:p>
    <w:p>
      <w:pPr>
        <w:spacing w:after="0" w:line="204"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8"/>
          <w:szCs w:val="18"/>
          <w:color w:val="auto"/>
        </w:rPr>
        <w:t>/s/ Ralph V. Whitworth</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 V. Whitworth</w:t>
      </w:r>
    </w:p>
    <w:p>
      <w:pPr>
        <w:spacing w:after="0" w:line="200" w:lineRule="exact"/>
        <w:rPr>
          <w:sz w:val="20"/>
          <w:szCs w:val="20"/>
          <w:color w:val="auto"/>
        </w:rPr>
      </w:pPr>
    </w:p>
    <w:p>
      <w:pPr>
        <w:spacing w:after="0" w:line="204"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8"/>
          <w:szCs w:val="18"/>
          <w:color w:val="auto"/>
        </w:rPr>
        <w:t>/s/ Jerome B. York</w:t>
      </w:r>
      <w:r>
        <w:rPr>
          <w:sz w:val="20"/>
          <w:szCs w:val="20"/>
          <w:color w:val="auto"/>
        </w:rPr>
        <w:tab/>
      </w:r>
      <w:r>
        <w:rPr>
          <w:rFonts w:ascii="Courier New" w:cs="Courier New" w:eastAsia="Courier New" w:hAnsi="Courier New"/>
          <w:sz w:val="16"/>
          <w:szCs w:val="16"/>
          <w:color w:val="auto"/>
        </w:rPr>
        <w:t>Director</w:t>
      </w:r>
    </w:p>
    <w:p>
      <w:pPr>
        <w:ind w:left="220" w:hanging="212"/>
        <w:spacing w:after="0" w:line="238" w:lineRule="auto"/>
        <w:tabs>
          <w:tab w:leader="none" w:pos="2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Jerome B. York</w:t>
      </w:r>
    </w:p>
    <w:p>
      <w:pPr>
        <w:sectPr>
          <w:pgSz w:w="11900" w:h="16838" w:orient="portrait"/>
          <w:cols w:equalWidth="0" w:num="1">
            <w:col w:w="10139"/>
          </w:cols>
          <w:pgMar w:left="320" w:top="339" w:right="1440" w:bottom="1440" w:gutter="0" w:footer="0" w:header="0"/>
        </w:sectPr>
      </w:pPr>
    </w:p>
    <w:bookmarkStart w:id="41" w:name="page42"/>
    <w:bookmarkEnd w:id="41"/>
    <w:p>
      <w:pPr>
        <w:spacing w:after="0" w:line="193" w:lineRule="auto"/>
        <w:framePr w:w="720" w:h="146" w:wrap="auto" w:vAnchor="page" w:hAnchor="page" w:x="280" w:y="9228"/>
        <w:rPr>
          <w:rFonts w:ascii="Courier New" w:cs="Courier New" w:eastAsia="Courier New" w:hAnsi="Courier New"/>
          <w:sz w:val="16"/>
          <w:szCs w:val="16"/>
          <w:color w:val="auto"/>
        </w:rPr>
      </w:pPr>
      <w:r>
        <w:rPr>
          <w:rFonts w:ascii="Courier New" w:cs="Courier New" w:eastAsia="Courier New" w:hAnsi="Courier New"/>
          <w:sz w:val="16"/>
          <w:szCs w:val="16"/>
          <w:color w:val="auto"/>
        </w:rPr>
        <w:t>25.2**</w:t>
      </w:r>
    </w:p>
    <w:p>
      <w:pPr>
        <w:spacing w:after="0" w:line="193" w:lineRule="auto"/>
        <w:framePr w:w="820" w:h="146" w:wrap="auto" w:vAnchor="page" w:hAnchor="page" w:x="280" w:y="8215"/>
        <w:rPr>
          <w:rFonts w:ascii="Courier New" w:cs="Courier New" w:eastAsia="Courier New" w:hAnsi="Courier New"/>
          <w:sz w:val="16"/>
          <w:szCs w:val="16"/>
          <w:color w:val="auto"/>
        </w:rPr>
      </w:pPr>
      <w:r>
        <w:rPr>
          <w:rFonts w:ascii="Courier New" w:cs="Courier New" w:eastAsia="Courier New" w:hAnsi="Courier New"/>
          <w:sz w:val="16"/>
          <w:szCs w:val="16"/>
          <w:color w:val="auto"/>
        </w:rPr>
        <w:t>23.2***</w:t>
      </w:r>
    </w:p>
    <w:p>
      <w:pPr>
        <w:spacing w:after="0" w:line="193" w:lineRule="auto"/>
        <w:framePr w:w="820" w:h="146" w:wrap="auto" w:vAnchor="page" w:hAnchor="page" w:x="280" w:y="8418"/>
        <w:rPr>
          <w:rFonts w:ascii="Courier New" w:cs="Courier New" w:eastAsia="Courier New" w:hAnsi="Courier New"/>
          <w:sz w:val="16"/>
          <w:szCs w:val="16"/>
          <w:color w:val="auto"/>
        </w:rPr>
      </w:pPr>
      <w:r>
        <w:rPr>
          <w:rFonts w:ascii="Courier New" w:cs="Courier New" w:eastAsia="Courier New" w:hAnsi="Courier New"/>
          <w:sz w:val="16"/>
          <w:szCs w:val="16"/>
          <w:color w:val="auto"/>
        </w:rPr>
        <w:t>23.3***</w:t>
      </w:r>
    </w:p>
    <w:p>
      <w:pPr>
        <w:spacing w:after="0" w:line="193" w:lineRule="auto"/>
        <w:framePr w:w="820" w:h="146" w:wrap="auto" w:vAnchor="page" w:hAnchor="page" w:x="280" w:y="8620"/>
        <w:rPr>
          <w:rFonts w:ascii="Courier New" w:cs="Courier New" w:eastAsia="Courier New" w:hAnsi="Courier New"/>
          <w:sz w:val="16"/>
          <w:szCs w:val="16"/>
          <w:color w:val="auto"/>
        </w:rPr>
      </w:pPr>
      <w:r>
        <w:rPr>
          <w:rFonts w:ascii="Courier New" w:cs="Courier New" w:eastAsia="Courier New" w:hAnsi="Courier New"/>
          <w:sz w:val="16"/>
          <w:szCs w:val="16"/>
          <w:color w:val="auto"/>
        </w:rPr>
        <w:t>24.1***</w:t>
      </w:r>
    </w:p>
    <w:p>
      <w:pPr>
        <w:spacing w:after="0" w:line="193" w:lineRule="auto"/>
        <w:framePr w:w="720" w:h="146" w:wrap="auto" w:vAnchor="page" w:hAnchor="page" w:x="280" w:y="8823"/>
        <w:rPr>
          <w:rFonts w:ascii="Courier New" w:cs="Courier New" w:eastAsia="Courier New" w:hAnsi="Courier New"/>
          <w:sz w:val="16"/>
          <w:szCs w:val="16"/>
          <w:color w:val="auto"/>
        </w:rPr>
      </w:pPr>
      <w:r>
        <w:rPr>
          <w:rFonts w:ascii="Courier New" w:cs="Courier New" w:eastAsia="Courier New" w:hAnsi="Courier New"/>
          <w:sz w:val="16"/>
          <w:szCs w:val="16"/>
          <w:color w:val="auto"/>
        </w:rPr>
        <w:t>25.1**</w:t>
      </w:r>
    </w:p>
    <w:p>
      <w:pPr>
        <w:spacing w:after="0" w:line="193" w:lineRule="auto"/>
        <w:framePr w:w="720" w:h="146" w:wrap="auto" w:vAnchor="page" w:hAnchor="page" w:x="280" w:y="7608"/>
        <w:rPr>
          <w:rFonts w:ascii="Courier New" w:cs="Courier New" w:eastAsia="Courier New" w:hAnsi="Courier New"/>
          <w:sz w:val="16"/>
          <w:szCs w:val="16"/>
          <w:color w:val="auto"/>
        </w:rPr>
      </w:pPr>
      <w:r>
        <w:rPr>
          <w:rFonts w:ascii="Courier New" w:cs="Courier New" w:eastAsia="Courier New" w:hAnsi="Courier New"/>
          <w:sz w:val="16"/>
          <w:szCs w:val="16"/>
          <w:color w:val="auto"/>
        </w:rPr>
        <w:t>12.1**</w:t>
      </w:r>
    </w:p>
    <w:p>
      <w:pPr>
        <w:spacing w:after="0" w:line="193" w:lineRule="auto"/>
        <w:framePr w:w="720" w:h="146" w:wrap="auto" w:vAnchor="page" w:hAnchor="page" w:x="280" w:y="7810"/>
        <w:rPr>
          <w:rFonts w:ascii="Courier New" w:cs="Courier New" w:eastAsia="Courier New" w:hAnsi="Courier New"/>
          <w:sz w:val="16"/>
          <w:szCs w:val="16"/>
          <w:color w:val="auto"/>
        </w:rPr>
      </w:pPr>
      <w:r>
        <w:rPr>
          <w:rFonts w:ascii="Courier New" w:cs="Courier New" w:eastAsia="Courier New" w:hAnsi="Courier New"/>
          <w:sz w:val="16"/>
          <w:szCs w:val="16"/>
          <w:color w:val="auto"/>
        </w:rPr>
        <w:t>23.1**</w:t>
      </w:r>
    </w:p>
    <w:p>
      <w:pPr>
        <w:spacing w:after="0" w:line="193" w:lineRule="auto"/>
        <w:framePr w:w="620" w:h="146" w:wrap="auto" w:vAnchor="page" w:hAnchor="page" w:x="280" w:y="7203"/>
        <w:rPr>
          <w:rFonts w:ascii="Courier New" w:cs="Courier New" w:eastAsia="Courier New" w:hAnsi="Courier New"/>
          <w:sz w:val="16"/>
          <w:szCs w:val="16"/>
          <w:color w:val="auto"/>
        </w:rPr>
      </w:pPr>
      <w:r>
        <w:rPr>
          <w:rFonts w:ascii="Courier New" w:cs="Courier New" w:eastAsia="Courier New" w:hAnsi="Courier New"/>
          <w:sz w:val="16"/>
          <w:szCs w:val="16"/>
          <w:color w:val="auto"/>
        </w:rPr>
        <w:t>5.1**</w:t>
      </w:r>
    </w:p>
    <w:p>
      <w:pPr>
        <w:spacing w:after="0" w:line="193" w:lineRule="auto"/>
        <w:framePr w:w="400" w:h="146" w:wrap="auto" w:vAnchor="page" w:hAnchor="page" w:x="280" w:y="6595"/>
        <w:rPr>
          <w:rFonts w:ascii="Courier New" w:cs="Courier New" w:eastAsia="Courier New" w:hAnsi="Courier New"/>
          <w:sz w:val="16"/>
          <w:szCs w:val="16"/>
          <w:color w:val="auto"/>
        </w:rPr>
      </w:pPr>
      <w:r>
        <w:rPr>
          <w:rFonts w:ascii="Courier New" w:cs="Courier New" w:eastAsia="Courier New" w:hAnsi="Courier New"/>
          <w:sz w:val="16"/>
          <w:szCs w:val="16"/>
          <w:color w:val="auto"/>
        </w:rPr>
        <w:t>4.6</w:t>
      </w:r>
    </w:p>
    <w:p>
      <w:pPr>
        <w:spacing w:after="0" w:line="193" w:lineRule="auto"/>
        <w:framePr w:w="400" w:h="146" w:wrap="auto" w:vAnchor="page" w:hAnchor="page" w:x="280" w:y="6190"/>
        <w:rPr>
          <w:rFonts w:ascii="Courier New" w:cs="Courier New" w:eastAsia="Courier New" w:hAnsi="Courier New"/>
          <w:sz w:val="16"/>
          <w:szCs w:val="16"/>
          <w:color w:val="auto"/>
        </w:rPr>
      </w:pPr>
      <w:r>
        <w:rPr>
          <w:rFonts w:ascii="Courier New" w:cs="Courier New" w:eastAsia="Courier New" w:hAnsi="Courier New"/>
          <w:sz w:val="16"/>
          <w:szCs w:val="16"/>
          <w:color w:val="auto"/>
        </w:rPr>
        <w:t>4.5</w:t>
      </w:r>
    </w:p>
    <w:p>
      <w:pPr>
        <w:spacing w:after="0" w:line="193" w:lineRule="auto"/>
        <w:framePr w:w="500" w:h="146" w:wrap="auto" w:vAnchor="page" w:hAnchor="page" w:x="280" w:y="5178"/>
        <w:rPr>
          <w:rFonts w:ascii="Courier New" w:cs="Courier New" w:eastAsia="Courier New" w:hAnsi="Courier New"/>
          <w:sz w:val="16"/>
          <w:szCs w:val="16"/>
          <w:color w:val="auto"/>
        </w:rPr>
      </w:pPr>
      <w:r>
        <w:rPr>
          <w:rFonts w:ascii="Courier New" w:cs="Courier New" w:eastAsia="Courier New" w:hAnsi="Courier New"/>
          <w:sz w:val="16"/>
          <w:szCs w:val="16"/>
          <w:color w:val="auto"/>
        </w:rPr>
        <w:t>4.3*</w:t>
      </w:r>
    </w:p>
    <w:p>
      <w:pPr>
        <w:spacing w:after="0" w:line="193" w:lineRule="auto"/>
        <w:framePr w:w="400" w:h="146" w:wrap="auto" w:vAnchor="page" w:hAnchor="page" w:x="280" w:y="5380"/>
        <w:rPr>
          <w:rFonts w:ascii="Courier New" w:cs="Courier New" w:eastAsia="Courier New" w:hAnsi="Courier New"/>
          <w:sz w:val="16"/>
          <w:szCs w:val="16"/>
          <w:color w:val="auto"/>
        </w:rPr>
      </w:pPr>
      <w:r>
        <w:rPr>
          <w:rFonts w:ascii="Courier New" w:cs="Courier New" w:eastAsia="Courier New" w:hAnsi="Courier New"/>
          <w:sz w:val="16"/>
          <w:szCs w:val="16"/>
          <w:color w:val="auto"/>
        </w:rPr>
        <w:t>4.4</w:t>
      </w:r>
    </w:p>
    <w:p>
      <w:pPr>
        <w:spacing w:after="0" w:line="193" w:lineRule="auto"/>
        <w:framePr w:w="400" w:h="146" w:wrap="auto" w:vAnchor="page" w:hAnchor="page" w:x="280" w:y="3963"/>
        <w:rPr>
          <w:rFonts w:ascii="Courier New" w:cs="Courier New" w:eastAsia="Courier New" w:hAnsi="Courier New"/>
          <w:sz w:val="16"/>
          <w:szCs w:val="16"/>
          <w:color w:val="auto"/>
        </w:rPr>
      </w:pPr>
      <w:r>
        <w:rPr>
          <w:rFonts w:ascii="Courier New" w:cs="Courier New" w:eastAsia="Courier New" w:hAnsi="Courier New"/>
          <w:sz w:val="16"/>
          <w:szCs w:val="16"/>
          <w:color w:val="auto"/>
        </w:rPr>
        <w:t>4.2</w:t>
      </w:r>
    </w:p>
    <w:p>
      <w:pPr>
        <w:spacing w:after="0" w:line="193" w:lineRule="auto"/>
        <w:framePr w:w="820" w:h="146" w:wrap="auto" w:vAnchor="page" w:hAnchor="page" w:x="280" w:y="1735"/>
        <w:rPr>
          <w:rFonts w:ascii="Courier New" w:cs="Courier New" w:eastAsia="Courier New" w:hAnsi="Courier New"/>
          <w:sz w:val="16"/>
          <w:szCs w:val="16"/>
          <w:color w:val="auto"/>
        </w:rPr>
      </w:pPr>
      <w:r>
        <w:rPr>
          <w:rFonts w:ascii="Courier New" w:cs="Courier New" w:eastAsia="Courier New" w:hAnsi="Courier New"/>
          <w:sz w:val="16"/>
          <w:szCs w:val="16"/>
          <w:color w:val="auto"/>
        </w:rPr>
        <w:t>EXHIBIT</w:t>
      </w:r>
    </w:p>
    <w:p>
      <w:pPr>
        <w:spacing w:after="0" w:line="193" w:lineRule="auto"/>
        <w:framePr w:w="720" w:h="146" w:wrap="auto" w:vAnchor="page" w:hAnchor="page" w:x="280" w:y="1938"/>
        <w:rPr>
          <w:rFonts w:ascii="Courier New" w:cs="Courier New" w:eastAsia="Courier New" w:hAnsi="Courier New"/>
          <w:sz w:val="16"/>
          <w:szCs w:val="16"/>
          <w:color w:val="auto"/>
        </w:rPr>
      </w:pPr>
      <w:r>
        <w:rPr>
          <w:rFonts w:ascii="Courier New" w:cs="Courier New" w:eastAsia="Courier New" w:hAnsi="Courier New"/>
          <w:sz w:val="16"/>
          <w:szCs w:val="16"/>
          <w:color w:val="auto"/>
        </w:rPr>
        <w:t>NUMBER</w:t>
      </w:r>
    </w:p>
    <w:p>
      <w:pPr>
        <w:spacing w:after="0" w:line="193" w:lineRule="auto"/>
        <w:framePr w:w="1040" w:h="146" w:wrap="auto" w:vAnchor="page" w:hAnchor="page" w:x="280" w:y="214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500" w:h="146" w:wrap="auto" w:vAnchor="page" w:hAnchor="page" w:x="280" w:y="2343"/>
        <w:rPr>
          <w:rFonts w:ascii="Courier New" w:cs="Courier New" w:eastAsia="Courier New" w:hAnsi="Courier New"/>
          <w:sz w:val="16"/>
          <w:szCs w:val="16"/>
          <w:color w:val="auto"/>
        </w:rPr>
      </w:pPr>
      <w:r>
        <w:rPr>
          <w:rFonts w:ascii="Courier New" w:cs="Courier New" w:eastAsia="Courier New" w:hAnsi="Courier New"/>
          <w:sz w:val="16"/>
          <w:szCs w:val="16"/>
          <w:color w:val="auto"/>
        </w:rPr>
        <w:t>1.1*</w:t>
      </w:r>
    </w:p>
    <w:p>
      <w:pPr>
        <w:spacing w:after="0" w:line="193" w:lineRule="auto"/>
        <w:framePr w:w="500" w:h="146" w:wrap="auto" w:vAnchor="page" w:hAnchor="page" w:x="280" w:y="2545"/>
        <w:rPr>
          <w:rFonts w:ascii="Courier New" w:cs="Courier New" w:eastAsia="Courier New" w:hAnsi="Courier New"/>
          <w:sz w:val="16"/>
          <w:szCs w:val="16"/>
          <w:color w:val="auto"/>
        </w:rPr>
      </w:pPr>
      <w:r>
        <w:rPr>
          <w:rFonts w:ascii="Courier New" w:cs="Courier New" w:eastAsia="Courier New" w:hAnsi="Courier New"/>
          <w:sz w:val="16"/>
          <w:szCs w:val="16"/>
          <w:color w:val="auto"/>
        </w:rPr>
        <w:t>1.2*</w:t>
      </w:r>
    </w:p>
    <w:p>
      <w:pPr>
        <w:spacing w:after="0" w:line="193" w:lineRule="auto"/>
        <w:framePr w:w="400" w:h="146" w:wrap="auto" w:vAnchor="page" w:hAnchor="page" w:x="280" w:y="2748"/>
        <w:rPr>
          <w:rFonts w:ascii="Courier New" w:cs="Courier New" w:eastAsia="Courier New" w:hAnsi="Courier New"/>
          <w:sz w:val="16"/>
          <w:szCs w:val="16"/>
          <w:color w:val="auto"/>
        </w:rPr>
      </w:pPr>
      <w:r>
        <w:rPr>
          <w:rFonts w:ascii="Courier New" w:cs="Courier New" w:eastAsia="Courier New" w:hAnsi="Courier New"/>
          <w:sz w:val="16"/>
          <w:szCs w:val="16"/>
          <w:color w:val="auto"/>
        </w:rPr>
        <w:t>4.1</w:t>
      </w:r>
    </w:p>
    <w:p>
      <w:pPr>
        <w:ind w:left="306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p>
      <w:pPr>
        <w:ind w:left="1580"/>
        <w:spacing w:after="0"/>
        <w:rPr>
          <w:sz w:val="20"/>
          <w:szCs w:val="20"/>
          <w:color w:val="auto"/>
        </w:rPr>
      </w:pPr>
      <w:r>
        <w:rPr>
          <w:rFonts w:ascii="Courier New" w:cs="Courier New" w:eastAsia="Courier New" w:hAnsi="Courier New"/>
          <w:sz w:val="18"/>
          <w:szCs w:val="18"/>
          <w:color w:val="auto"/>
        </w:rPr>
        <w:t>EXHIBIT</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line="238" w:lineRule="auto"/>
        <w:tabs>
          <w:tab w:leader="none" w:pos="1560" w:val="left"/>
        </w:tabs>
        <w:rPr>
          <w:sz w:val="20"/>
          <w:szCs w:val="20"/>
          <w:color w:val="auto"/>
        </w:rPr>
      </w:pPr>
      <w:r>
        <w:rPr>
          <w:rFonts w:ascii="Courier New" w:cs="Courier New" w:eastAsia="Courier New" w:hAnsi="Courier New"/>
          <w:sz w:val="18"/>
          <w:szCs w:val="18"/>
          <w:color w:val="auto"/>
        </w:rPr>
        <w:t>--</w:t>
        <w:tab/>
        <w:t>Form of Underwriting Agreement (Debt Securities).</w:t>
      </w: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w:t>
        <w:tab/>
        <w:t>Form of Underwriting Agreement (Common Stock).</w:t>
      </w:r>
    </w:p>
    <w:p>
      <w:pPr>
        <w:spacing w:after="0" w:line="3" w:lineRule="exact"/>
        <w:rPr>
          <w:rFonts w:ascii="Courier New" w:cs="Courier New" w:eastAsia="Courier New" w:hAnsi="Courier New"/>
          <w:sz w:val="16"/>
          <w:szCs w:val="16"/>
          <w:color w:val="auto"/>
        </w:rPr>
      </w:pPr>
    </w:p>
    <w:p>
      <w:pPr>
        <w:ind w:left="1580" w:right="2339" w:hanging="519"/>
        <w:spacing w:after="0" w:line="268" w:lineRule="auto"/>
        <w:tabs>
          <w:tab w:leader="none" w:pos="15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Indenture for Senior Debt Securities dated September 10, 1997, among the Registrant and Texas Commerce Bank National Association, now known as Chase Bank of Texas, National Association, as trustee (incorporated by reference to Exhibit 4.1 to the Registrant's Current Report on Form 8-K filed with the Commission on September 24, 1997).</w:t>
      </w:r>
    </w:p>
    <w:p>
      <w:pPr>
        <w:spacing w:after="0" w:line="1" w:lineRule="exact"/>
        <w:rPr>
          <w:rFonts w:ascii="Courier New" w:cs="Courier New" w:eastAsia="Courier New" w:hAnsi="Courier New"/>
          <w:sz w:val="16"/>
          <w:szCs w:val="16"/>
          <w:color w:val="auto"/>
        </w:rPr>
      </w:pPr>
    </w:p>
    <w:p>
      <w:pPr>
        <w:ind w:left="1580" w:right="2239" w:hanging="519"/>
        <w:spacing w:after="0" w:line="237" w:lineRule="auto"/>
        <w:tabs>
          <w:tab w:leader="none" w:pos="1560" w:val="left"/>
        </w:tabs>
        <w:rPr>
          <w:sz w:val="20"/>
          <w:szCs w:val="20"/>
          <w:color w:val="auto"/>
        </w:rPr>
      </w:pPr>
      <w:r>
        <w:rPr>
          <w:rFonts w:ascii="Courier New" w:cs="Courier New" w:eastAsia="Courier New" w:hAnsi="Courier New"/>
          <w:sz w:val="18"/>
          <w:szCs w:val="18"/>
          <w:color w:val="auto"/>
        </w:rPr>
        <w:t>--</w:t>
        <w:tab/>
        <w:t>Subordinated Indenture, dated as of February 1, 1997, among the Registrant and Texas Commerce Bank National Association, now known as Chase Bank of Texas, National Association, as trustee (incorporated by reference to Exhibit 4.1 to the Registrant's Current Report on Form 8-K filed with the Commission on February 7, 1997).</w:t>
      </w:r>
    </w:p>
    <w:p>
      <w:pPr>
        <w:spacing w:after="0" w:line="1" w:lineRule="exact"/>
        <w:rPr>
          <w:rFonts w:ascii="Courier New" w:cs="Courier New" w:eastAsia="Courier New" w:hAnsi="Courier New"/>
          <w:sz w:val="16"/>
          <w:szCs w:val="16"/>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w:t>
        <w:tab/>
        <w:t>Form of Debt Securities.</w:t>
      </w:r>
    </w:p>
    <w:p>
      <w:pPr>
        <w:spacing w:after="0" w:line="4" w:lineRule="exact"/>
        <w:rPr>
          <w:rFonts w:ascii="Courier New" w:cs="Courier New" w:eastAsia="Courier New" w:hAnsi="Courier New"/>
          <w:sz w:val="16"/>
          <w:szCs w:val="16"/>
          <w:color w:val="auto"/>
        </w:rPr>
      </w:pPr>
    </w:p>
    <w:p>
      <w:pPr>
        <w:ind w:left="1580" w:right="2859" w:hanging="519"/>
        <w:spacing w:after="0" w:line="237" w:lineRule="auto"/>
        <w:tabs>
          <w:tab w:leader="none" w:pos="1560" w:val="left"/>
        </w:tabs>
        <w:rPr>
          <w:sz w:val="20"/>
          <w:szCs w:val="20"/>
          <w:color w:val="auto"/>
        </w:rPr>
      </w:pPr>
      <w:r>
        <w:rPr>
          <w:rFonts w:ascii="Courier New" w:cs="Courier New" w:eastAsia="Courier New" w:hAnsi="Courier New"/>
          <w:sz w:val="18"/>
          <w:szCs w:val="18"/>
          <w:color w:val="auto"/>
        </w:rPr>
        <w:t>--</w:t>
        <w:tab/>
        <w:t>Restated Certificate of Incorporation, as amended (incorporated by reference to Exhibit 3.2 of the Registrant's Current Report on Form 8-K dated July 16, 1998).</w:t>
      </w:r>
    </w:p>
    <w:p>
      <w:pPr>
        <w:spacing w:after="0" w:line="5" w:lineRule="exact"/>
        <w:rPr>
          <w:rFonts w:ascii="Courier New" w:cs="Courier New" w:eastAsia="Courier New" w:hAnsi="Courier New"/>
          <w:sz w:val="16"/>
          <w:szCs w:val="16"/>
          <w:color w:val="auto"/>
        </w:rPr>
      </w:pPr>
    </w:p>
    <w:p>
      <w:pPr>
        <w:ind w:left="1580" w:right="2239" w:hanging="519"/>
        <w:spacing w:after="0" w:line="268" w:lineRule="auto"/>
        <w:tabs>
          <w:tab w:leader="none" w:pos="15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Bylaws (incorporated by reference to Exhibit 3 to the Registrant's Form 10-Q for the quarter ended June 30, 1999).</w:t>
      </w:r>
    </w:p>
    <w:p>
      <w:pPr>
        <w:ind w:left="1580" w:right="2239" w:hanging="519"/>
        <w:spacing w:after="0" w:line="236" w:lineRule="auto"/>
        <w:tabs>
          <w:tab w:leader="none" w:pos="1560" w:val="left"/>
        </w:tabs>
        <w:rPr>
          <w:sz w:val="20"/>
          <w:szCs w:val="20"/>
          <w:color w:val="auto"/>
        </w:rPr>
      </w:pPr>
      <w:r>
        <w:rPr>
          <w:rFonts w:ascii="Courier New" w:cs="Courier New" w:eastAsia="Courier New" w:hAnsi="Courier New"/>
          <w:sz w:val="18"/>
          <w:szCs w:val="18"/>
          <w:color w:val="auto"/>
        </w:rPr>
        <w:t>--</w:t>
        <w:tab/>
        <w:t>Specimen Common Stock Certificate (incorporated by reference to Exhibit 4.1 to the Registrant's Annual Report on Form 10-K for the year ended December 31, 1998).</w:t>
      </w:r>
    </w:p>
    <w:p>
      <w:pPr>
        <w:spacing w:after="0" w:line="6" w:lineRule="exact"/>
        <w:rPr>
          <w:rFonts w:ascii="Courier New" w:cs="Courier New" w:eastAsia="Courier New" w:hAnsi="Courier New"/>
          <w:sz w:val="16"/>
          <w:szCs w:val="16"/>
          <w:color w:val="auto"/>
        </w:rPr>
      </w:pPr>
    </w:p>
    <w:p>
      <w:pPr>
        <w:ind w:left="1580" w:right="2559" w:hanging="519"/>
        <w:spacing w:after="0" w:line="235" w:lineRule="auto"/>
        <w:tabs>
          <w:tab w:leader="none" w:pos="1560" w:val="left"/>
        </w:tabs>
        <w:rPr>
          <w:sz w:val="20"/>
          <w:szCs w:val="20"/>
          <w:color w:val="auto"/>
        </w:rPr>
      </w:pPr>
      <w:r>
        <w:rPr>
          <w:rFonts w:ascii="Courier New" w:cs="Courier New" w:eastAsia="Courier New" w:hAnsi="Courier New"/>
          <w:sz w:val="18"/>
          <w:szCs w:val="18"/>
          <w:color w:val="auto"/>
        </w:rPr>
        <w:t>--</w:t>
        <w:tab/>
        <w:t>Opinion of Locke Liddell &amp; Sapp LLP as to the legality of the Securities being registered.</w:t>
      </w: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w:t>
        <w:tab/>
        <w:t>Computation of ratios of earnings to fixed charges.</w:t>
      </w:r>
    </w:p>
    <w:p>
      <w:pPr>
        <w:spacing w:after="0" w:line="4" w:lineRule="exact"/>
        <w:rPr>
          <w:rFonts w:ascii="Courier New" w:cs="Courier New" w:eastAsia="Courier New" w:hAnsi="Courier New"/>
          <w:sz w:val="16"/>
          <w:szCs w:val="16"/>
          <w:color w:val="auto"/>
        </w:rPr>
      </w:pPr>
    </w:p>
    <w:p>
      <w:pPr>
        <w:ind w:left="1580" w:right="2659" w:hanging="519"/>
        <w:spacing w:after="0" w:line="235" w:lineRule="auto"/>
        <w:tabs>
          <w:tab w:leader="none" w:pos="1560" w:val="left"/>
        </w:tabs>
        <w:rPr>
          <w:sz w:val="20"/>
          <w:szCs w:val="20"/>
          <w:color w:val="auto"/>
        </w:rPr>
      </w:pPr>
      <w:r>
        <w:rPr>
          <w:rFonts w:ascii="Courier New" w:cs="Courier New" w:eastAsia="Courier New" w:hAnsi="Courier New"/>
          <w:sz w:val="18"/>
          <w:szCs w:val="18"/>
          <w:color w:val="auto"/>
        </w:rPr>
        <w:t>--</w:t>
        <w:tab/>
        <w:t>Consent of Locke Liddell &amp; Sapp LLP (included in Exhibit 5.1).</w:t>
      </w: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w:t>
        <w:tab/>
        <w:t>Consent of Arthur Andersen LLP.</w:t>
      </w:r>
    </w:p>
    <w:p>
      <w:pPr>
        <w:ind w:left="1060"/>
        <w:spacing w:after="0" w:line="238" w:lineRule="auto"/>
        <w:tabs>
          <w:tab w:leader="none" w:pos="1560" w:val="left"/>
        </w:tabs>
        <w:rPr>
          <w:sz w:val="20"/>
          <w:szCs w:val="20"/>
          <w:color w:val="auto"/>
        </w:rPr>
      </w:pPr>
      <w:r>
        <w:rPr>
          <w:rFonts w:ascii="Courier New" w:cs="Courier New" w:eastAsia="Courier New" w:hAnsi="Courier New"/>
          <w:sz w:val="18"/>
          <w:szCs w:val="18"/>
          <w:color w:val="auto"/>
        </w:rPr>
        <w:t>--</w:t>
        <w:tab/>
        <w:t>Consent of PricewaterhouseCoopers LLP.</w:t>
      </w:r>
    </w:p>
    <w:p>
      <w:pPr>
        <w:spacing w:after="0" w:line="5" w:lineRule="exact"/>
        <w:rPr>
          <w:rFonts w:ascii="Courier New" w:cs="Courier New" w:eastAsia="Courier New" w:hAnsi="Courier New"/>
          <w:sz w:val="16"/>
          <w:szCs w:val="16"/>
          <w:color w:val="auto"/>
        </w:rPr>
      </w:pPr>
    </w:p>
    <w:p>
      <w:pPr>
        <w:ind w:left="1060" w:right="2439"/>
        <w:spacing w:after="0" w:line="235" w:lineRule="auto"/>
        <w:rPr>
          <w:sz w:val="20"/>
          <w:szCs w:val="20"/>
          <w:color w:val="auto"/>
        </w:rPr>
      </w:pPr>
      <w:r>
        <w:rPr>
          <w:rFonts w:ascii="Courier New" w:cs="Courier New" w:eastAsia="Courier New" w:hAnsi="Courier New"/>
          <w:sz w:val="18"/>
          <w:szCs w:val="18"/>
          <w:color w:val="auto"/>
        </w:rPr>
        <w:t>-- Powers of Attorney (included on signature page herewith). -- Statement of Eligibility of Trustee with respect to Senior</w:t>
      </w:r>
    </w:p>
    <w:p>
      <w:pPr>
        <w:ind w:left="1580"/>
        <w:spacing w:after="0"/>
        <w:rPr>
          <w:sz w:val="20"/>
          <w:szCs w:val="20"/>
          <w:color w:val="auto"/>
        </w:rPr>
      </w:pPr>
      <w:r>
        <w:rPr>
          <w:rFonts w:ascii="Courier New" w:cs="Courier New" w:eastAsia="Courier New" w:hAnsi="Courier New"/>
          <w:sz w:val="18"/>
          <w:szCs w:val="18"/>
          <w:color w:val="auto"/>
        </w:rPr>
        <w:t>Debt Indenture.</w:t>
      </w:r>
    </w:p>
    <w:p>
      <w:pPr>
        <w:spacing w:after="0" w:line="4" w:lineRule="exact"/>
        <w:rPr>
          <w:rFonts w:ascii="Courier New" w:cs="Courier New" w:eastAsia="Courier New" w:hAnsi="Courier New"/>
          <w:sz w:val="16"/>
          <w:szCs w:val="16"/>
          <w:color w:val="auto"/>
        </w:rPr>
      </w:pPr>
    </w:p>
    <w:p>
      <w:pPr>
        <w:ind w:left="1580" w:right="3179" w:hanging="519"/>
        <w:spacing w:after="0" w:line="235" w:lineRule="auto"/>
        <w:tabs>
          <w:tab w:leader="none" w:pos="1560" w:val="left"/>
        </w:tabs>
        <w:rPr>
          <w:sz w:val="20"/>
          <w:szCs w:val="20"/>
          <w:color w:val="auto"/>
        </w:rPr>
      </w:pPr>
      <w:r>
        <w:rPr>
          <w:rFonts w:ascii="Courier New" w:cs="Courier New" w:eastAsia="Courier New" w:hAnsi="Courier New"/>
          <w:sz w:val="18"/>
          <w:szCs w:val="18"/>
          <w:color w:val="auto"/>
        </w:rPr>
        <w:t>--</w:t>
        <w:tab/>
        <w:t>Statement of Eligibility of Trustee with respect to Subordinated Debt Indenture.</w:t>
      </w: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6"/>
          <w:szCs w:val="16"/>
          <w:color w:val="auto"/>
        </w:rPr>
      </w:pPr>
    </w:p>
    <w:p>
      <w:pPr>
        <w:ind w:left="420" w:right="2339" w:hanging="412"/>
        <w:spacing w:after="0" w:line="237" w:lineRule="auto"/>
        <w:tabs>
          <w:tab w:leader="none" w:pos="4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file any underwriting agreement relating to Debt Securities or common stock that it may enter into and any form of Debt Securities not previously so filed, as an exhibit to a Current Report on Form 8-K.</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herewith.</w:t>
      </w:r>
    </w:p>
    <w:p>
      <w:pPr>
        <w:sectPr>
          <w:pgSz w:w="11900" w:h="16838" w:orient="portrait"/>
          <w:cols w:equalWidth="0" w:num="1">
            <w:col w:w="10139"/>
          </w:cols>
          <w:pgMar w:left="320" w:top="1122" w:right="1440" w:bottom="1440" w:gutter="0" w:footer="0" w:header="0"/>
        </w:sectPr>
      </w:pPr>
    </w:p>
    <w:bookmarkStart w:id="42" w:name="page43"/>
    <w:bookmarkEnd w:id="42"/>
    <w:p>
      <w:pPr>
        <w:spacing w:after="0"/>
        <w:tabs>
          <w:tab w:leader="none" w:pos="420" w:val="left"/>
        </w:tabs>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ind w:left="6540"/>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2439" w:firstLine="632"/>
        <w:spacing w:after="0" w:line="271"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of our report on Waste Management, Inc.'s consolidated financial statements for the year ended December 31, 1998 dated February 25, 1999 (except with respect to the matters discussed in Notes 20 and 21 as to which the date is September 16, 1999) included in Waste Management, Inc.'s Current Report on Form 8-K dated September 16, 1999 in this Registration Statement on Form S-3 and related Prospectus of Waste Management, Inc. and to all references to our Firm included in or incorporated by reference in this Registration Statement.</w:t>
      </w:r>
    </w:p>
    <w:p>
      <w:pPr>
        <w:spacing w:after="0" w:line="388" w:lineRule="exact"/>
        <w:rPr>
          <w:sz w:val="20"/>
          <w:szCs w:val="20"/>
          <w:color w:val="auto"/>
        </w:rPr>
      </w:pPr>
    </w:p>
    <w:p>
      <w:pPr>
        <w:ind w:right="2239" w:firstLine="632"/>
        <w:spacing w:after="0" w:line="271" w:lineRule="auto"/>
        <w:rPr>
          <w:sz w:val="20"/>
          <w:szCs w:val="20"/>
          <w:color w:val="auto"/>
        </w:rPr>
      </w:pPr>
      <w:r>
        <w:rPr>
          <w:rFonts w:ascii="Courier New" w:cs="Courier New" w:eastAsia="Courier New" w:hAnsi="Courier New"/>
          <w:sz w:val="16"/>
          <w:szCs w:val="16"/>
          <w:color w:val="auto"/>
        </w:rPr>
        <w:t>During the quarter ended September 30, 1999, the Company conducted a review of its accounting records, systems, processes and controls. Based on that review, the Company, after consultation with us, has concluded that its internal controls for the preparation of interim financial information did not provide us an adequate basis to complete reviews of the quarterly data for the quarters in the nine-month period ended September 30, 1999. We have advised the Company that our report on the December 31, 1999 financial statements will include the following paragraph:</w:t>
      </w:r>
    </w:p>
    <w:p>
      <w:pPr>
        <w:spacing w:after="0" w:line="185" w:lineRule="exact"/>
        <w:rPr>
          <w:sz w:val="20"/>
          <w:szCs w:val="20"/>
          <w:color w:val="auto"/>
        </w:rPr>
      </w:pPr>
    </w:p>
    <w:p>
      <w:pPr>
        <w:ind w:left="960" w:right="2559"/>
        <w:spacing w:after="0" w:line="237" w:lineRule="auto"/>
        <w:rPr>
          <w:sz w:val="20"/>
          <w:szCs w:val="20"/>
          <w:color w:val="auto"/>
        </w:rPr>
      </w:pPr>
      <w:r>
        <w:rPr>
          <w:rFonts w:ascii="Courier New" w:cs="Courier New" w:eastAsia="Courier New" w:hAnsi="Courier New"/>
          <w:sz w:val="18"/>
          <w:szCs w:val="18"/>
          <w:color w:val="auto"/>
        </w:rPr>
        <w:t>"The selected quarterly financial data included in the Company's financial statements contain information that we did not audit, and accordingly, we do not express an opinion on that data. We attempted, but were unable, to review that quarterly data for the interim periods within 1999 in accordance with standards established by the American Institute of Certified Public Accountants because we believe that the Company's internal controls for the preparation of interim financial information did not provide an adequate basis to enable us to complete such a review."</w:t>
      </w:r>
    </w:p>
    <w:p>
      <w:pPr>
        <w:spacing w:after="0" w:line="200" w:lineRule="exact"/>
        <w:rPr>
          <w:sz w:val="20"/>
          <w:szCs w:val="20"/>
          <w:color w:val="auto"/>
        </w:rPr>
      </w:pPr>
    </w:p>
    <w:p>
      <w:pPr>
        <w:spacing w:after="0" w:line="21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February 4, 2000</w:t>
      </w:r>
    </w:p>
    <w:p>
      <w:pPr>
        <w:sectPr>
          <w:pgSz w:w="11900" w:h="16838" w:orient="portrait"/>
          <w:cols w:equalWidth="0" w:num="1">
            <w:col w:w="10139"/>
          </w:cols>
          <w:pgMar w:left="320" w:top="744" w:right="1440" w:bottom="1440" w:gutter="0" w:footer="0" w:header="0"/>
        </w:sectPr>
      </w:pPr>
    </w:p>
    <w:bookmarkStart w:id="44" w:name="page45"/>
    <w:bookmarkEnd w:id="44"/>
    <w:p>
      <w:pPr>
        <w:ind w:left="6440"/>
        <w:spacing w:after="0"/>
        <w:rPr>
          <w:sz w:val="20"/>
          <w:szCs w:val="20"/>
          <w:color w:val="auto"/>
        </w:rPr>
      </w:pPr>
      <w:r>
        <w:rPr>
          <w:rFonts w:ascii="Courier New" w:cs="Courier New" w:eastAsia="Courier New" w:hAnsi="Courier New"/>
          <w:sz w:val="18"/>
          <w:szCs w:val="18"/>
          <w:color w:val="auto"/>
        </w:rPr>
        <w:t>EXHIBIT 23.3</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2239" w:firstLine="632"/>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Post-Effective Amendment No. 1 to the Registration Statement on Form S-3 of Waste Management, Inc., of our report dated March 16, 1998 relating to the consolidated financial statements of USA Waste Services, Inc. as of December 31, 1997, and for the years ended December 31, 1997 and 1996, which appears in the Waste Management, Inc. Annual Report on Form 10-K for the year ended December 31, 1998 and Current Report on Form 8-K dated September 16, 1999. We also consent to the reference to us under the heading "Experts" in such Registration Statement.</w:t>
      </w:r>
    </w:p>
    <w:p>
      <w:pPr>
        <w:spacing w:after="0" w:line="200" w:lineRule="exact"/>
        <w:rPr>
          <w:sz w:val="20"/>
          <w:szCs w:val="20"/>
          <w:color w:val="auto"/>
        </w:rPr>
      </w:pPr>
    </w:p>
    <w:p>
      <w:pPr>
        <w:spacing w:after="0" w:line="21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PRICEWATERHOUSECOOPERS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February 4, 2000</w:t>
      </w:r>
    </w:p>
    <w:sectPr>
      <w:pgSz w:w="11900" w:h="16838" w:orient="portrait"/>
      <w:cols w:equalWidth="0" w:num="1">
        <w:col w:w="10139"/>
      </w:cols>
      <w:pgMar w:left="32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o"/>
      <w:numFmt w:val="bullet"/>
      <w:start w:val="1"/>
    </w:lvl>
  </w:abstractNum>
  <w:abstractNum w:abstractNumId="1">
    <w:nsid w:val="77465F01"/>
    <w:multiLevelType w:val="hybridMultilevel"/>
    <w:lvl w:ilvl="0">
      <w:lvlJc w:val="left"/>
      <w:lvlText w:val="o"/>
      <w:numFmt w:val="bullet"/>
      <w:start w:val="1"/>
    </w:lvl>
  </w:abstractNum>
  <w:abstractNum w:abstractNumId="2">
    <w:nsid w:val="7724C67E"/>
    <w:multiLevelType w:val="hybridMultilevel"/>
    <w:lvl w:ilvl="0">
      <w:lvlJc w:val="left"/>
      <w:lvlText w:val="o"/>
      <w:numFmt w:val="bullet"/>
      <w:start w:val="1"/>
    </w:lvl>
  </w:abstractNum>
  <w:abstractNum w:abstractNumId="3">
    <w:nsid w:val="5C482A97"/>
    <w:multiLevelType w:val="hybridMultilevel"/>
    <w:lvl w:ilvl="0">
      <w:lvlJc w:val="left"/>
      <w:lvlText w:val="o"/>
      <w:numFmt w:val="bullet"/>
      <w:start w:val="1"/>
    </w:lvl>
  </w:abstractNum>
  <w:abstractNum w:abstractNumId="4">
    <w:nsid w:val="2463B9EA"/>
    <w:multiLevelType w:val="hybridMultilevel"/>
    <w:lvl w:ilvl="0">
      <w:lvlJc w:val="left"/>
      <w:lvlText w:val="(%1)"/>
      <w:numFmt w:val="decimal"/>
      <w:start w:val="713"/>
    </w:lvl>
  </w:abstractNum>
  <w:abstractNum w:abstractNumId="5">
    <w:nsid w:val="5E884ADC"/>
    <w:multiLevelType w:val="hybridMultilevel"/>
    <w:lvl w:ilvl="0">
      <w:lvlJc w:val="left"/>
      <w:lvlText w:val="o"/>
      <w:numFmt w:val="bullet"/>
      <w:start w:val="1"/>
    </w:lvl>
  </w:abstractNum>
  <w:abstractNum w:abstractNumId="6">
    <w:nsid w:val="51EAD36B"/>
    <w:multiLevelType w:val="hybridMultilevel"/>
    <w:lvl w:ilvl="0">
      <w:lvlJc w:val="left"/>
      <w:lvlText w:val="o"/>
      <w:numFmt w:val="bullet"/>
      <w:start w:val="1"/>
    </w:lvl>
  </w:abstractNum>
  <w:abstractNum w:abstractNumId="7">
    <w:nsid w:val="2D517796"/>
    <w:multiLevelType w:val="hybridMultilevel"/>
    <w:lvl w:ilvl="0">
      <w:lvlJc w:val="left"/>
      <w:lvlText w:val="o"/>
      <w:numFmt w:val="bullet"/>
      <w:start w:val="1"/>
    </w:lvl>
  </w:abstractNum>
  <w:abstractNum w:abstractNumId="8">
    <w:nsid w:val="580BD78F"/>
    <w:multiLevelType w:val="hybridMultilevel"/>
    <w:lvl w:ilvl="0">
      <w:lvlJc w:val="left"/>
      <w:lvlText w:val="o"/>
      <w:numFmt w:val="bullet"/>
      <w:start w:val="1"/>
    </w:lvl>
  </w:abstractNum>
  <w:abstractNum w:abstractNumId="9">
    <w:nsid w:val="153EA438"/>
    <w:multiLevelType w:val="hybridMultilevel"/>
    <w:lvl w:ilvl="0">
      <w:lvlJc w:val="left"/>
      <w:lvlText w:val="o"/>
      <w:numFmt w:val="bullet"/>
      <w:start w:val="1"/>
    </w:lvl>
  </w:abstractNum>
  <w:abstractNum w:abstractNumId="10">
    <w:nsid w:val="3855585C"/>
    <w:multiLevelType w:val="hybridMultilevel"/>
    <w:lvl w:ilvl="0">
      <w:lvlJc w:val="left"/>
      <w:lvlText w:val="o"/>
      <w:numFmt w:val="bullet"/>
      <w:start w:val="1"/>
    </w:lvl>
  </w:abstractNum>
  <w:abstractNum w:abstractNumId="11">
    <w:nsid w:val="70A64E2A"/>
    <w:multiLevelType w:val="hybridMultilevel"/>
    <w:lvl w:ilvl="0">
      <w:lvlJc w:val="left"/>
      <w:lvlText w:val="o"/>
      <w:numFmt w:val="bullet"/>
      <w:start w:val="1"/>
    </w:lvl>
  </w:abstractNum>
  <w:abstractNum w:abstractNumId="12">
    <w:nsid w:val="6A2342EC"/>
    <w:multiLevelType w:val="hybridMultilevel"/>
    <w:lvl w:ilvl="0">
      <w:lvlJc w:val="left"/>
      <w:lvlText w:val="o"/>
      <w:numFmt w:val="bullet"/>
      <w:start w:val="1"/>
    </w:lvl>
  </w:abstractNum>
  <w:abstractNum w:abstractNumId="13">
    <w:nsid w:val="2A487CB0"/>
    <w:multiLevelType w:val="hybridMultilevel"/>
    <w:lvl w:ilvl="0">
      <w:lvlJc w:val="left"/>
      <w:lvlText w:val="(%1)"/>
      <w:numFmt w:val="decimal"/>
      <w:start w:val="1"/>
    </w:lvl>
  </w:abstractNum>
  <w:abstractNum w:abstractNumId="14">
    <w:nsid w:val="1D4ED43B"/>
    <w:multiLevelType w:val="hybridMultilevel"/>
    <w:lvl w:ilvl="0">
      <w:lvlJc w:val="left"/>
      <w:lvlText w:val="o"/>
      <w:numFmt w:val="bullet"/>
      <w:start w:val="1"/>
    </w:lvl>
  </w:abstractNum>
  <w:abstractNum w:abstractNumId="15">
    <w:nsid w:val="725A06FB"/>
    <w:multiLevelType w:val="hybridMultilevel"/>
    <w:lvl w:ilvl="0">
      <w:lvlJc w:val="left"/>
      <w:lvlText w:val="o"/>
      <w:numFmt w:val="bullet"/>
      <w:start w:val="1"/>
    </w:lvl>
  </w:abstractNum>
  <w:abstractNum w:abstractNumId="16">
    <w:nsid w:val="2CD89A32"/>
    <w:multiLevelType w:val="hybridMultilevel"/>
    <w:lvl w:ilvl="0">
      <w:lvlJc w:val="left"/>
      <w:lvlText w:val="%1)"/>
      <w:numFmt w:val="decimal"/>
      <w:start w:val="305"/>
    </w:lvl>
  </w:abstractNum>
  <w:abstractNum w:abstractNumId="17">
    <w:nsid w:val="57E4CCAF"/>
    <w:multiLevelType w:val="hybridMultilevel"/>
    <w:lvl w:ilvl="0">
      <w:lvlJc w:val="left"/>
      <w:lvlText w:val="o"/>
      <w:numFmt w:val="bullet"/>
      <w:start w:val="1"/>
    </w:lvl>
  </w:abstractNum>
  <w:abstractNum w:abstractNumId="18">
    <w:nsid w:val="7A6D8D3C"/>
    <w:multiLevelType w:val="hybridMultilevel"/>
    <w:lvl w:ilvl="0">
      <w:lvlJc w:val="left"/>
      <w:lvlText w:val="(%1)"/>
      <w:numFmt w:val="lowerLetter"/>
      <w:start w:val="1"/>
    </w:lvl>
  </w:abstractNum>
  <w:abstractNum w:abstractNumId="19">
    <w:nsid w:val="4B588F54"/>
    <w:multiLevelType w:val="hybridMultilevel"/>
    <w:lvl w:ilvl="0">
      <w:lvlJc w:val="left"/>
      <w:lvlText w:val="(%1)"/>
      <w:numFmt w:val="lowerRoman"/>
      <w:start w:val="1"/>
    </w:lvl>
  </w:abstractNum>
  <w:abstractNum w:abstractNumId="20">
    <w:nsid w:val="542289EC"/>
    <w:multiLevelType w:val="hybridMultilevel"/>
    <w:lvl w:ilvl="0">
      <w:lvlJc w:val="left"/>
      <w:lvlText w:val="%1)"/>
      <w:numFmt w:val="decimal"/>
      <w:start w:val="613"/>
    </w:lvl>
  </w:abstractNum>
  <w:abstractNum w:abstractNumId="21">
    <w:nsid w:val="6DE91B18"/>
    <w:multiLevelType w:val="hybridMultilevel"/>
    <w:lvl w:ilvl="0">
      <w:lvlJc w:val="left"/>
      <w:lvlText w:val="(%1)"/>
      <w:numFmt w:val="lowerRoman"/>
      <w:start w:val="1"/>
    </w:lvl>
  </w:abstractNum>
  <w:abstractNum w:abstractNumId="22">
    <w:nsid w:val="38437FDB"/>
    <w:multiLevelType w:val="hybridMultilevel"/>
    <w:lvl w:ilvl="0">
      <w:lvlJc w:val="left"/>
      <w:lvlText w:val="(%1)"/>
      <w:numFmt w:val="lowerLetter"/>
      <w:start w:val="1"/>
    </w:lvl>
    <w:lvl w:ilvl="1">
      <w:lvlJc w:val="left"/>
      <w:lvlText w:val="(%2)"/>
      <w:numFmt w:val="lowerRoman"/>
      <w:start w:val="1"/>
    </w:lvl>
  </w:abstractNum>
  <w:abstractNum w:abstractNumId="23">
    <w:nsid w:val="7644A45C"/>
    <w:multiLevelType w:val="hybridMultilevel"/>
    <w:lvl w:ilvl="0">
      <w:lvlJc w:val="left"/>
      <w:lvlText w:val="(%1)"/>
      <w:numFmt w:val="lowerLetter"/>
      <w:start w:val="1"/>
    </w:lvl>
  </w:abstractNum>
  <w:abstractNum w:abstractNumId="24">
    <w:nsid w:val="32FFF902"/>
    <w:multiLevelType w:val="hybridMultilevel"/>
    <w:lvl w:ilvl="0">
      <w:lvlJc w:val="left"/>
      <w:lvlText w:val="(%1)"/>
      <w:numFmt w:val="lowerLetter"/>
      <w:start w:val="35"/>
    </w:lvl>
  </w:abstractNum>
  <w:abstractNum w:abstractNumId="25">
    <w:nsid w:val="684A481A"/>
    <w:multiLevelType w:val="hybridMultilevel"/>
    <w:lvl w:ilvl="0">
      <w:lvlJc w:val="left"/>
      <w:lvlText w:val="(%1)"/>
      <w:numFmt w:val="lowerLetter"/>
      <w:start w:val="1"/>
    </w:lvl>
    <w:lvl w:ilvl="1">
      <w:lvlJc w:val="left"/>
      <w:lvlText w:val="(%2)"/>
      <w:numFmt w:val="decimal"/>
      <w:start w:val="1"/>
    </w:lvl>
  </w:abstractNum>
  <w:abstractNum w:abstractNumId="26">
    <w:nsid w:val="579478FE"/>
    <w:multiLevelType w:val="hybridMultilevel"/>
    <w:lvl w:ilvl="0">
      <w:lvlJc w:val="left"/>
      <w:lvlText w:val="(%1)"/>
      <w:numFmt w:val="lowerLetter"/>
      <w:start w:val="9"/>
    </w:lvl>
    <w:lvl w:ilvl="1">
      <w:lvlJc w:val="left"/>
      <w:lvlText w:val="(%2)"/>
      <w:numFmt w:val="decimal"/>
      <w:start w:val="2"/>
    </w:lvl>
  </w:abstractNum>
  <w:abstractNum w:abstractNumId="27">
    <w:nsid w:val="749ABB43"/>
    <w:multiLevelType w:val="hybridMultilevel"/>
    <w:lvl w:ilvl="0">
      <w:lvlJc w:val="left"/>
      <w:lvlText w:val="(%1)"/>
      <w:numFmt w:val="decimal"/>
      <w:start w:val="4"/>
    </w:lvl>
  </w:abstractNum>
  <w:abstractNum w:abstractNumId="28">
    <w:nsid w:val="3DC240FB"/>
    <w:multiLevelType w:val="hybridMultilevel"/>
    <w:lvl w:ilvl="0">
      <w:lvlJc w:val="left"/>
      <w:lvlText w:val="(%1)"/>
      <w:numFmt w:val="lowerLetter"/>
      <w:start w:val="2"/>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1"/>
      <w:numFmt w:val="upperLetter"/>
      <w:start w:val="1"/>
    </w:lvl>
    <w:lvl w:ilvl="1">
      <w:lvlJc w:val="left"/>
      <w:lvlText w:val="(%2)"/>
      <w:numFmt w:val="decimal"/>
      <w:start w:val="5"/>
    </w:lvl>
  </w:abstractNum>
  <w:abstractNum w:abstractNumId="31">
    <w:nsid w:val="75C6C33A"/>
    <w:multiLevelType w:val="hybridMultilevel"/>
    <w:lvl w:ilvl="0">
      <w:lvlJc w:val="left"/>
      <w:lvlText w:val="(%1)"/>
      <w:numFmt w:val="upperLetter"/>
      <w:start w:val="1"/>
    </w:lvl>
    <w:lvl w:ilvl="1">
      <w:lvlJc w:val="left"/>
      <w:lvlText w:val="(%2)"/>
      <w:numFmt w:val="decimal"/>
      <w:start w:val="6"/>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upperLetter"/>
      <w:start w:val="1"/>
    </w:lvl>
  </w:abstractNum>
  <w:abstractNum w:abstractNumId="34">
    <w:nsid w:val="520EEDD1"/>
    <w:multiLevelType w:val="hybridMultilevel"/>
    <w:lvl w:ilvl="0">
      <w:lvlJc w:val="left"/>
      <w:lvlText w:val="(%1)"/>
      <w:numFmt w:val="upperLetter"/>
      <w:start w:val="3"/>
    </w:lvl>
  </w:abstractNum>
  <w:abstractNum w:abstractNumId="35">
    <w:nsid w:val="374A3FE6"/>
    <w:multiLevelType w:val="hybridMultilevel"/>
    <w:lvl w:ilvl="0">
      <w:lvlJc w:val="left"/>
      <w:lvlText w:val="(%1)"/>
      <w:numFmt w:val="decimal"/>
      <w:start w:val="2"/>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lowerRoman"/>
      <w:start w:val="1"/>
    </w:lvl>
  </w:abstractNum>
  <w:abstractNum w:abstractNumId="38">
    <w:nsid w:val="649BB77C"/>
    <w:multiLevelType w:val="hybridMultilevel"/>
    <w:lvl w:ilvl="0">
      <w:lvlJc w:val="left"/>
      <w:lvlText w:val="(%1)"/>
      <w:numFmt w:val="lowerRoman"/>
      <w:start w:val="3"/>
    </w:lvl>
  </w:abstractNum>
  <w:abstractNum w:abstractNumId="39">
    <w:nsid w:val="275AC794"/>
    <w:multiLevelType w:val="hybridMultilevel"/>
    <w:lvl w:ilvl="0">
      <w:lvlJc w:val="left"/>
      <w:lvlText w:val="%1"/>
      <w:numFmt w:val="upperLetter"/>
      <w:start w:val="1"/>
    </w:lvl>
    <w:lvl w:ilvl="1">
      <w:lvlJc w:val="left"/>
      <w:lvlText w:val="(%2)"/>
      <w:numFmt w:val="decimal"/>
      <w:start w:val="1"/>
    </w:lvl>
  </w:abstractNum>
  <w:abstractNum w:abstractNumId="40">
    <w:nsid w:val="39386575"/>
    <w:multiLevelType w:val="hybridMultilevel"/>
    <w:lvl w:ilvl="0">
      <w:lvlJc w:val="left"/>
      <w:lvlText w:val="(%1)"/>
      <w:numFmt w:val="upperLetter"/>
      <w:start w:val="1"/>
    </w:lvl>
    <w:lvl w:ilvl="1">
      <w:lvlJc w:val="left"/>
      <w:lvlText w:val="%2"/>
      <w:numFmt w:val="decimal"/>
      <w:start w:val="1"/>
    </w:lvl>
  </w:abstractNum>
  <w:abstractNum w:abstractNumId="41">
    <w:nsid w:val="1CF10FD8"/>
    <w:multiLevelType w:val="hybridMultilevel"/>
    <w:lvl w:ilvl="0">
      <w:lvlJc w:val="left"/>
      <w:lvlText w:val="(%1)"/>
      <w:numFmt w:val="decimal"/>
      <w:start w:val="6"/>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upperLetter"/>
      <w:start w:val="1"/>
    </w:lvl>
  </w:abstractNum>
  <w:abstractNum w:abstractNumId="44">
    <w:nsid w:val="47398C89"/>
    <w:multiLevelType w:val="hybridMultilevel"/>
    <w:lvl w:ilvl="0">
      <w:lvlJc w:val="left"/>
      <w:lvlText w:val="(%1)"/>
      <w:numFmt w:val="decimal"/>
      <w:start w:val="2"/>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1"/>
      <w:numFmt w:val="lowerRoman"/>
      <w:start w:val="1"/>
    </w:lvl>
    <w:lvl w:ilvl="1">
      <w:lvlJc w:val="left"/>
      <w:lvlText w:val="(%2)"/>
      <w:numFmt w:val="lowerRoman"/>
      <w:start w:val="1"/>
    </w:lvl>
  </w:abstractNum>
  <w:abstractNum w:abstractNumId="47">
    <w:nsid w:val="741226BB"/>
    <w:multiLevelType w:val="hybridMultilevel"/>
    <w:lvl w:ilvl="0">
      <w:lvlJc w:val="left"/>
      <w:lvlText w:val="(%1)"/>
      <w:numFmt w:val="lowerRoman"/>
      <w:start w:val="1"/>
    </w:lvl>
    <w:lvl w:ilvl="1">
      <w:lvlJc w:val="left"/>
      <w:lvlText w:val="(%2)"/>
      <w:numFmt w:val="lowerRoman"/>
      <w:start w:val="3"/>
    </w:lvl>
  </w:abstractNum>
  <w:abstractNum w:abstractNumId="48">
    <w:nsid w:val="D34B6A8"/>
    <w:multiLevelType w:val="hybridMultilevel"/>
    <w:lvl w:ilvl="0">
      <w:lvlJc w:val="left"/>
      <w:lvlText w:val="(%1)"/>
      <w:numFmt w:val="lowerLetter"/>
      <w:start w:val="1"/>
    </w:lvl>
  </w:abstractNum>
  <w:abstractNum w:abstractNumId="49">
    <w:nsid w:val="10233C99"/>
    <w:multiLevelType w:val="hybridMultilevel"/>
    <w:lvl w:ilvl="0">
      <w:lvlJc w:val="left"/>
      <w:lvlText w:val="(%1)"/>
      <w:numFmt w:val="lowerLetter"/>
      <w:start w:val="1"/>
    </w:lvl>
    <w:lvl w:ilvl="1">
      <w:lvlJc w:val="left"/>
      <w:lvlText w:val="(%2)"/>
      <w:numFmt w:val="lowerRoman"/>
      <w:start w:val="2"/>
    </w:lvl>
  </w:abstractNum>
  <w:abstractNum w:abstractNumId="50">
    <w:nsid w:val="3F6AB60F"/>
    <w:multiLevelType w:val="hybridMultilevel"/>
    <w:lvl w:ilvl="0">
      <w:lvlJc w:val="left"/>
      <w:lvlText w:val="(%1)"/>
      <w:numFmt w:val="lowerLetter"/>
      <w:start w:val="1"/>
    </w:lvl>
    <w:lvl w:ilvl="1">
      <w:lvlJc w:val="left"/>
      <w:lvlText w:val="%2"/>
      <w:numFmt w:val="lowerRoman"/>
      <w:start w:val="1"/>
    </w:lvl>
  </w:abstractNum>
  <w:abstractNum w:abstractNumId="51">
    <w:nsid w:val="61574095"/>
    <w:multiLevelType w:val="hybridMultilevel"/>
    <w:lvl w:ilvl="0">
      <w:lvlJc w:val="left"/>
      <w:lvlText w:val="(%1)"/>
      <w:numFmt w:val="upperLetter"/>
      <w:start w:val="1"/>
    </w:lvl>
  </w:abstractNum>
  <w:abstractNum w:abstractNumId="52">
    <w:nsid w:val="7E0C57B1"/>
    <w:multiLevelType w:val="hybridMultilevel"/>
    <w:lvl w:ilvl="0">
      <w:lvlJc w:val="left"/>
      <w:lvlText w:val="o"/>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lowerLetter"/>
      <w:start w:val="1"/>
    </w:lvl>
    <w:lvl w:ilvl="1">
      <w:lvlJc w:val="left"/>
      <w:lvlText w:val="(%2)"/>
      <w:numFmt w:val="decimal"/>
      <w:start w:val="1"/>
    </w:lvl>
  </w:abstractNum>
  <w:abstractNum w:abstractNumId="57">
    <w:nsid w:val="2F305DEF"/>
    <w:multiLevelType w:val="hybridMultilevel"/>
    <w:lvl w:ilvl="0">
      <w:lvlJc w:val="left"/>
      <w:lvlText w:val="(%1)"/>
      <w:numFmt w:val="lowerRoman"/>
      <w:start w:val="1"/>
    </w:lvl>
  </w:abstractNum>
  <w:abstractNum w:abstractNumId="58">
    <w:nsid w:val="25A70BF7"/>
    <w:multiLevelType w:val="hybridMultilevel"/>
    <w:lvl w:ilvl="0">
      <w:lvlJc w:val="left"/>
      <w:lvlText w:val="(%1)"/>
      <w:numFmt w:val="lowerRoman"/>
      <w:start w:val="3"/>
    </w:lvl>
  </w:abstractNum>
  <w:abstractNum w:abstractNumId="59">
    <w:nsid w:val="1DBABF00"/>
    <w:multiLevelType w:val="hybridMultilevel"/>
    <w:lvl w:ilvl="0">
      <w:lvlJc w:val="left"/>
      <w:lvlText w:val="%1"/>
      <w:numFmt w:val="lowerLetter"/>
      <w:start w:val="1"/>
    </w:lvl>
    <w:lvl w:ilvl="1">
      <w:lvlJc w:val="left"/>
      <w:lvlText w:val="(%2)"/>
      <w:numFmt w:val="decimal"/>
      <w:start w:val="2"/>
    </w:lvl>
  </w:abstractNum>
  <w:abstractNum w:abstractNumId="60">
    <w:nsid w:val="4AD084E9"/>
    <w:multiLevelType w:val="hybridMultilevel"/>
    <w:lvl w:ilvl="0">
      <w:lvlJc w:val="left"/>
      <w:lvlText w:val="(%1)"/>
      <w:numFmt w:val="lowerLetter"/>
      <w:start w:val="2"/>
    </w:lvl>
    <w:lvl w:ilvl="1">
      <w:lvlJc w:val="left"/>
      <w:lvlText w:val="(%2)"/>
      <w:numFmt w:val="decimal"/>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
      <w:numFmt w:val="bullet"/>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2020-10-06T23:42:38Z</dcterms:created>
  <dcterms:modified xsi:type="dcterms:W3CDTF">2020-10-06T23:42:38Z</dcterms:modified>
</cp:coreProperties>
</file>