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94106L109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1052" w:right="7980" w:hanging="620"/>
        <w:spacing w:after="0" w:line="342" w:lineRule="auto"/>
        <w:tabs>
          <w:tab w:leader="none" w:pos="1052"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420" w:hanging="620"/>
        <w:spacing w:after="0" w:line="308" w:lineRule="auto"/>
        <w:tabs>
          <w:tab w:leader="none" w:pos="1052"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092"/>
          </w:cols>
          <w:pgMar w:left="248" w:top="395" w:right="559" w:bottom="1440" w:gutter="0" w:footer="0" w:header="0"/>
        </w:sectPr>
      </w:pPr>
    </w:p>
    <w:p>
      <w:pPr>
        <w:spacing w:after="0" w:line="376"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14,483,672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14,483,672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340"/>
          </w:cols>
          <w:pgMar w:left="248" w:top="395" w:right="559" w:bottom="1440" w:gutter="0" w:footer="0" w:header="0"/>
          <w:type w:val="continuous"/>
        </w:sectPr>
      </w:pPr>
    </w:p>
    <w:p>
      <w:pPr>
        <w:spacing w:after="0" w:line="227" w:lineRule="exact"/>
        <w:rPr>
          <w:sz w:val="20"/>
          <w:szCs w:val="20"/>
          <w:color w:val="auto"/>
        </w:rPr>
      </w:pPr>
    </w:p>
    <w:p>
      <w:pPr>
        <w:ind w:left="1052" w:right="5240" w:hanging="620"/>
        <w:spacing w:after="0" w:line="292" w:lineRule="auto"/>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14,483,672 </w:t>
      </w:r>
      <w:r>
        <w:rPr>
          <w:rFonts w:ascii="Arial" w:cs="Arial" w:eastAsia="Arial" w:hAnsi="Arial"/>
          <w:sz w:val="23"/>
          <w:szCs w:val="23"/>
          <w:color w:val="auto"/>
          <w:vertAlign w:val="superscript"/>
        </w:rPr>
        <w:t>(1)</w:t>
      </w:r>
    </w:p>
    <w:p>
      <w:pPr>
        <w:spacing w:after="0" w:line="290"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 xml:space="preserve">3.4% </w:t>
      </w:r>
      <w:r>
        <w:rPr>
          <w:rFonts w:ascii="Arial" w:cs="Arial" w:eastAsia="Arial" w:hAnsi="Arial"/>
          <w:sz w:val="23"/>
          <w:szCs w:val="23"/>
          <w:color w:val="auto"/>
          <w:vertAlign w:val="superscript"/>
        </w:rPr>
        <w:t>(2)</w:t>
      </w:r>
    </w:p>
    <w:p>
      <w:pPr>
        <w:spacing w:after="0" w:line="369"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right="240" w:hanging="332"/>
        <w:spacing w:after="0" w:line="227" w:lineRule="auto"/>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All shares of the Common Stock of Waste Management, Inc. (the “Issuer”) held by Cascade Investment, L.L.C. (“Cascade”) may be deemed to be beneficially owned by William H. Gates III as the sole member of Cascade.</w:t>
      </w:r>
    </w:p>
    <w:p>
      <w:pPr>
        <w:spacing w:after="0" w:line="202" w:lineRule="exact"/>
        <w:rPr>
          <w:rFonts w:ascii="Arial" w:cs="Arial" w:eastAsia="Arial" w:hAnsi="Arial"/>
          <w:sz w:val="23"/>
          <w:szCs w:val="23"/>
          <w:color w:val="auto"/>
          <w:vertAlign w:val="superscript"/>
        </w:rPr>
      </w:pPr>
    </w:p>
    <w:p>
      <w:pPr>
        <w:ind w:left="332" w:hanging="332"/>
        <w:spacing w:after="0" w:line="227" w:lineRule="auto"/>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Based on 426,347,027 shares of the Issuer’s Common Stock outstanding as of October 22, 2018, as reported in the Issuer’s Form 10-Q for the quarter ended September 30, 2018, filed on 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-976630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-1525270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-2074545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-2486025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-762000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2"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92"/>
          </w:cols>
          <w:pgMar w:left="248" w:top="395" w:right="55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Bill &amp; Melinda Gates Foundation Trust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40" w:hanging="620"/>
        <w:spacing w:after="0" w:line="308" w:lineRule="auto"/>
        <w:tabs>
          <w:tab w:leader="none" w:pos="1052" w:val="left"/>
        </w:tabs>
        <w:numPr>
          <w:ilvl w:val="0"/>
          <w:numId w:val="5"/>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-549275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-960755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-1174750</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-1792605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12"/>
          </w:cols>
          <w:pgMar w:left="248" w:top="395" w:right="439" w:bottom="1440" w:gutter="0" w:footer="0" w:header="0"/>
        </w:sectPr>
      </w:pPr>
    </w:p>
    <w:p>
      <w:pPr>
        <w:spacing w:after="0" w:line="376"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60"/>
          </w:cols>
          <w:pgMar w:left="248" w:top="395" w:right="439" w:bottom="1440" w:gutter="0" w:footer="0" w:header="0"/>
          <w:type w:val="continuous"/>
        </w:sectPr>
      </w:pPr>
    </w:p>
    <w:p>
      <w:pPr>
        <w:spacing w:after="0" w:line="169" w:lineRule="exact"/>
        <w:rPr>
          <w:sz w:val="20"/>
          <w:szCs w:val="20"/>
          <w:color w:val="auto"/>
        </w:rPr>
      </w:pPr>
    </w:p>
    <w:p>
      <w:pPr>
        <w:ind w:left="1052" w:right="5360" w:hanging="620"/>
        <w:spacing w:after="0" w:line="292" w:lineRule="auto"/>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18,633,672 </w:t>
      </w:r>
      <w:r>
        <w:rPr>
          <w:rFonts w:ascii="Arial" w:cs="Arial" w:eastAsia="Arial" w:hAnsi="Arial"/>
          <w:sz w:val="23"/>
          <w:szCs w:val="23"/>
          <w:color w:val="auto"/>
          <w:vertAlign w:val="superscript"/>
        </w:rPr>
        <w:t>(1)</w:t>
      </w:r>
    </w:p>
    <w:p>
      <w:pPr>
        <w:spacing w:after="0" w:line="290"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(2)</w:t>
      </w:r>
    </w:p>
    <w:p>
      <w:pPr>
        <w:spacing w:after="0" w:line="369"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3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For purposes of Rule 13d-3 under the Securities Exchange Act of 1934, as amended, all shares of the Common Stock of Waste Management, Inc. (the “Issuer”) beneficially owned by Bill &amp; Melinda Gates Foundation Trust (the “Trust”) may be deemed to be beneficially owned by William H. Gates III and Melinda French Gates, as Co-Trustees of the Trust.</w:t>
      </w:r>
    </w:p>
    <w:p>
      <w:pPr>
        <w:spacing w:after="0" w:line="202" w:lineRule="exact"/>
        <w:rPr>
          <w:rFonts w:ascii="Arial" w:cs="Arial" w:eastAsia="Arial" w:hAnsi="Arial"/>
          <w:sz w:val="23"/>
          <w:szCs w:val="23"/>
          <w:color w:val="auto"/>
          <w:vertAlign w:val="superscript"/>
        </w:rPr>
      </w:pPr>
    </w:p>
    <w:p>
      <w:pPr>
        <w:ind w:left="332" w:right="120" w:hanging="332"/>
        <w:spacing w:after="0" w:line="227"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Based on 426,347,027 shares of the Issuer’s Common Stock outstanding as of October 22, 2018, as reported in the Issuer’s Form 10-Q for the quarter ended September 30, 2018, filed on 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-1113790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-1662430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-2211705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-2623185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-899160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2"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12"/>
          </w:cols>
          <w:pgMar w:left="248" w:top="395" w:right="439" w:bottom="1440" w:gutter="0" w:footer="0" w:header="0"/>
          <w:type w:val="continuous"/>
        </w:sectPr>
      </w:pPr>
    </w:p>
    <w:bookmarkStart w:id="3" w:name="page4"/>
    <w:bookmarkEnd w:id="3"/>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4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William H. Gates III</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8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52"/>
          </w:cols>
          <w:pgMar w:left="248" w:top="395" w:right="399" w:bottom="144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14,483,672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14,483,672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500"/>
          </w:cols>
          <w:pgMar w:left="248" w:top="395" w:right="399" w:bottom="1440" w:gutter="0" w:footer="0" w:header="0"/>
          <w:type w:val="continuous"/>
        </w:sectPr>
      </w:pPr>
    </w:p>
    <w:p>
      <w:pPr>
        <w:spacing w:after="0" w:line="169" w:lineRule="exact"/>
        <w:rPr>
          <w:sz w:val="20"/>
          <w:szCs w:val="20"/>
          <w:color w:val="auto"/>
        </w:rPr>
      </w:pPr>
    </w:p>
    <w:p>
      <w:pPr>
        <w:ind w:left="1052" w:right="5400" w:hanging="620"/>
        <w:spacing w:after="0" w:line="292" w:lineRule="auto"/>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33,117,344 </w:t>
      </w:r>
      <w:r>
        <w:rPr>
          <w:rFonts w:ascii="Arial" w:cs="Arial" w:eastAsia="Arial" w:hAnsi="Arial"/>
          <w:sz w:val="23"/>
          <w:szCs w:val="23"/>
          <w:color w:val="auto"/>
          <w:vertAlign w:val="superscript"/>
        </w:rPr>
        <w:t>(1)(2)</w:t>
      </w:r>
    </w:p>
    <w:p>
      <w:pPr>
        <w:spacing w:after="0" w:line="290"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 xml:space="preserve">7.8% </w:t>
      </w:r>
      <w:r>
        <w:rPr>
          <w:rFonts w:ascii="Arial" w:cs="Arial" w:eastAsia="Arial" w:hAnsi="Arial"/>
          <w:sz w:val="23"/>
          <w:szCs w:val="23"/>
          <w:color w:val="auto"/>
          <w:vertAlign w:val="superscript"/>
        </w:rPr>
        <w:t>(3)</w:t>
      </w:r>
    </w:p>
    <w:p>
      <w:pPr>
        <w:spacing w:after="0" w:line="369"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right="400" w:hanging="332"/>
        <w:spacing w:after="0" w:line="227"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All shares of the Common Stock of Waste Management, Inc. (the “Issuer”) held by Cascade Investment, L.L.C. (“Cascade”) may be deemed to be beneficially owned by William H. Gates III as the sole member of Cascade.</w:t>
      </w:r>
    </w:p>
    <w:p>
      <w:pPr>
        <w:spacing w:after="0" w:line="202" w:lineRule="exact"/>
        <w:rPr>
          <w:rFonts w:ascii="Arial" w:cs="Arial" w:eastAsia="Arial" w:hAnsi="Arial"/>
          <w:sz w:val="23"/>
          <w:szCs w:val="23"/>
          <w:color w:val="auto"/>
          <w:vertAlign w:val="superscript"/>
        </w:rPr>
      </w:pPr>
    </w:p>
    <w:p>
      <w:pPr>
        <w:ind w:left="332" w:hanging="332"/>
        <w:spacing w:after="0" w:line="23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Bill &amp; Melinda Gates Foundation Trust (the “Trust”) beneficially owns 18,633,672 shares of the Issuer’s Common Stock.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spacing w:after="0" w:line="202" w:lineRule="exact"/>
        <w:rPr>
          <w:rFonts w:ascii="Arial" w:cs="Arial" w:eastAsia="Arial" w:hAnsi="Arial"/>
          <w:sz w:val="23"/>
          <w:szCs w:val="23"/>
          <w:color w:val="auto"/>
          <w:vertAlign w:val="superscript"/>
        </w:rPr>
      </w:pPr>
    </w:p>
    <w:p>
      <w:pPr>
        <w:ind w:left="332" w:right="160" w:hanging="332"/>
        <w:spacing w:after="0" w:line="227"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426,347,027 shares of the Issuer’s Common Stock outstanding as of October 22, 2018, as reported in the Issuer’s Form 10-Q for the quarter ended September 30, 2018, filed on 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-1525270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-2074545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-2623185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-3034665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-1311275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52"/>
          </w:cols>
          <w:pgMar w:left="248" w:top="395" w:right="399" w:bottom="1440" w:gutter="0" w:footer="0" w:header="0"/>
          <w:type w:val="continuous"/>
        </w:sectPr>
      </w:pPr>
    </w:p>
    <w:bookmarkStart w:id="4" w:name="page5"/>
    <w:bookmarkEnd w:id="4"/>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6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60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72"/>
          </w:cols>
          <w:pgMar w:left="248" w:top="395" w:right="379" w:bottom="144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3810</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520"/>
          </w:cols>
          <w:pgMar w:left="248" w:top="395" w:right="379" w:bottom="1440" w:gutter="0" w:footer="0" w:header="0"/>
          <w:type w:val="continuous"/>
        </w:sectPr>
      </w:pPr>
    </w:p>
    <w:p>
      <w:pPr>
        <w:spacing w:after="0" w:line="169" w:lineRule="exact"/>
        <w:rPr>
          <w:sz w:val="20"/>
          <w:szCs w:val="20"/>
          <w:color w:val="auto"/>
        </w:rPr>
      </w:pPr>
    </w:p>
    <w:p>
      <w:pPr>
        <w:ind w:left="1052" w:right="5420" w:hanging="620"/>
        <w:spacing w:after="0" w:line="292" w:lineRule="auto"/>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18,633,672 </w:t>
      </w:r>
      <w:r>
        <w:rPr>
          <w:rFonts w:ascii="Arial" w:cs="Arial" w:eastAsia="Arial" w:hAnsi="Arial"/>
          <w:sz w:val="23"/>
          <w:szCs w:val="23"/>
          <w:color w:val="auto"/>
          <w:vertAlign w:val="superscript"/>
        </w:rPr>
        <w:t>(1)</w:t>
      </w:r>
    </w:p>
    <w:p>
      <w:pPr>
        <w:spacing w:after="0" w:line="290"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(2)</w:t>
      </w:r>
    </w:p>
    <w:p>
      <w:pPr>
        <w:spacing w:after="0" w:line="369"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left="332" w:hanging="332"/>
        <w:spacing w:after="0" w:line="269"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Bill &amp; Melinda Gates Foundation Trust (the “Trust”) beneficially owns 18,633,672 shares of Common Stock of Waste Management, Inc. (the “Issuer”).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spacing w:after="0" w:line="181" w:lineRule="exact"/>
        <w:rPr>
          <w:rFonts w:ascii="Arial" w:cs="Arial" w:eastAsia="Arial" w:hAnsi="Arial"/>
          <w:sz w:val="21"/>
          <w:szCs w:val="21"/>
          <w:color w:val="auto"/>
          <w:vertAlign w:val="superscript"/>
        </w:rPr>
      </w:pPr>
    </w:p>
    <w:p>
      <w:pPr>
        <w:ind w:left="332" w:right="180" w:hanging="332"/>
        <w:spacing w:after="0" w:line="227"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426,347,027 shares of the Issuer’s Common Stock outstanding as of October 22, 2018, as reported in the Issuer’s Form 10-Q for the quarter ended September 30, 2018, filed on 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-1113790</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-1662430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-2211705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-2623185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-899160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2"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72"/>
          </w:cols>
          <w:pgMar w:left="248" w:top="395" w:right="379" w:bottom="1440" w:gutter="0" w:footer="0" w:header="0"/>
          <w:type w:val="continuous"/>
        </w:sectPr>
      </w:pPr>
    </w:p>
    <w:bookmarkStart w:id="5" w:name="page6"/>
    <w:bookmarkEnd w:id="5"/>
    <w:p>
      <w:pPr>
        <w:ind w:left="52"/>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12" w:hanging="499"/>
        <w:spacing w:after="0"/>
        <w:tabs>
          <w:tab w:leader="none" w:pos="1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Waste Management, Inc. (the “Issuer”)</w:t>
      </w:r>
    </w:p>
    <w:p>
      <w:pPr>
        <w:spacing w:after="0" w:line="116" w:lineRule="exact"/>
        <w:rPr>
          <w:rFonts w:ascii="Arial" w:cs="Arial" w:eastAsia="Arial" w:hAnsi="Arial"/>
          <w:sz w:val="18"/>
          <w:szCs w:val="18"/>
          <w:color w:val="auto"/>
        </w:rPr>
      </w:pPr>
    </w:p>
    <w:p>
      <w:pPr>
        <w:ind w:left="1512" w:hanging="499"/>
        <w:spacing w:after="0"/>
        <w:tabs>
          <w:tab w:leader="none" w:pos="1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1001 Fannin Street, Suite 4000,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40005</wp:posOffset>
            </wp:positionV>
            <wp:extent cx="63201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-311150</wp:posOffset>
            </wp:positionV>
            <wp:extent cx="63201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12" w:hanging="499"/>
        <w:spacing w:after="0"/>
        <w:tabs>
          <w:tab w:leader="none" w:pos="15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12"/>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Cascade Investment, L.L.C. (“Cascade”), Bill &amp; Melinda Gates Foundation Trust (the “Trust”), Melinda French Gates and William H. Gates III (together, “Reporting Persons”) </w:t>
      </w:r>
      <w:r>
        <w:rPr>
          <w:rFonts w:ascii="Arial" w:cs="Arial" w:eastAsia="Arial" w:hAnsi="Arial"/>
          <w:sz w:val="23"/>
          <w:szCs w:val="23"/>
          <w:color w:val="auto"/>
          <w:vertAlign w:val="superscript"/>
        </w:rPr>
        <w:t>(1)</w:t>
      </w:r>
    </w:p>
    <w:p>
      <w:pPr>
        <w:spacing w:after="0" w:line="14" w:lineRule="exact"/>
        <w:rPr>
          <w:rFonts w:ascii="Arial" w:cs="Arial" w:eastAsia="Arial" w:hAnsi="Arial"/>
          <w:sz w:val="18"/>
          <w:szCs w:val="18"/>
          <w:color w:val="auto"/>
        </w:rPr>
      </w:pPr>
    </w:p>
    <w:p>
      <w:pPr>
        <w:ind w:left="1512" w:right="5120" w:hanging="499"/>
        <w:spacing w:after="0" w:line="297" w:lineRule="auto"/>
        <w:tabs>
          <w:tab w:leader="none" w:pos="15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Cascade – 2365 Carillon Point, Kirkland, Washington 98033 The Trust – 2365 Carillon Point, Kirkland, Washington 98033 Mr. Gates – One Microsoft Way, Redmond, Washington 98052 Mrs. Gates – 500 Fifth Avenue N, Seattle, Washington 98109</w:t>
      </w:r>
    </w:p>
    <w:p>
      <w:pPr>
        <w:spacing w:after="0" w:line="63" w:lineRule="exact"/>
        <w:rPr>
          <w:rFonts w:ascii="Arial" w:cs="Arial" w:eastAsia="Arial" w:hAnsi="Arial"/>
          <w:sz w:val="16"/>
          <w:szCs w:val="16"/>
          <w:color w:val="auto"/>
        </w:rPr>
      </w:pPr>
    </w:p>
    <w:p>
      <w:pPr>
        <w:ind w:left="1512" w:hanging="499"/>
        <w:spacing w:after="0"/>
        <w:tabs>
          <w:tab w:leader="none" w:pos="15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12" w:right="3060"/>
        <w:spacing w:after="0" w:line="281" w:lineRule="auto"/>
        <w:rPr>
          <w:rFonts w:ascii="Arial" w:cs="Arial" w:eastAsia="Arial" w:hAnsi="Arial"/>
          <w:sz w:val="18"/>
          <w:szCs w:val="18"/>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spacing w:after="0" w:line="1"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Mr. and Mrs. Gates are citizens of the United States of America.</w:t>
      </w:r>
    </w:p>
    <w:p>
      <w:pPr>
        <w:spacing w:after="0" w:line="116" w:lineRule="exact"/>
        <w:rPr>
          <w:rFonts w:ascii="Arial" w:cs="Arial" w:eastAsia="Arial" w:hAnsi="Arial"/>
          <w:sz w:val="18"/>
          <w:szCs w:val="18"/>
          <w:color w:val="auto"/>
        </w:rPr>
      </w:pPr>
    </w:p>
    <w:p>
      <w:pPr>
        <w:ind w:left="1512" w:right="7320" w:hanging="499"/>
        <w:spacing w:after="0" w:line="342" w:lineRule="auto"/>
        <w:tabs>
          <w:tab w:leader="none" w:pos="15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Title of Class of Securities Common Stock, $0.01 par value</w:t>
      </w:r>
    </w:p>
    <w:p>
      <w:pPr>
        <w:spacing w:after="0" w:line="29" w:lineRule="exact"/>
        <w:rPr>
          <w:rFonts w:ascii="Arial" w:cs="Arial" w:eastAsia="Arial" w:hAnsi="Arial"/>
          <w:sz w:val="16"/>
          <w:szCs w:val="16"/>
          <w:color w:val="auto"/>
        </w:rPr>
      </w:pPr>
    </w:p>
    <w:p>
      <w:pPr>
        <w:ind w:left="1512" w:right="8520" w:hanging="499"/>
        <w:spacing w:after="0" w:line="342" w:lineRule="auto"/>
        <w:tabs>
          <w:tab w:leader="none" w:pos="15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CUSIP Number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-14605</wp:posOffset>
            </wp:positionV>
            <wp:extent cx="6320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-366395</wp:posOffset>
            </wp:positionV>
            <wp:extent cx="63201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-717550</wp:posOffset>
            </wp:positionV>
            <wp:extent cx="63201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-1343660</wp:posOffset>
            </wp:positionV>
            <wp:extent cx="63201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-2106930</wp:posOffset>
            </wp:positionV>
            <wp:extent cx="63201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6" w:lineRule="exact"/>
        <w:rPr>
          <w:sz w:val="20"/>
          <w:szCs w:val="20"/>
          <w:color w:val="auto"/>
        </w:rPr>
      </w:pPr>
    </w:p>
    <w:p>
      <w:pPr>
        <w:ind w:left="52"/>
        <w:spacing w:after="0"/>
        <w:tabs>
          <w:tab w:leader="none" w:pos="99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75"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32" w:right="320" w:hanging="332"/>
        <w:spacing w:after="0" w:line="227"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202"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72"/>
          </w:cols>
          <w:pgMar w:left="248" w:top="391" w:right="479" w:bottom="1440" w:gutter="0" w:footer="0" w:header="0"/>
        </w:sectPr>
      </w:pPr>
    </w:p>
    <w:bookmarkStart w:id="6" w:name="page7"/>
    <w:bookmarkEnd w:id="6"/>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hanging="478"/>
        <w:spacing w:after="0"/>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right="5020" w:hanging="503"/>
        <w:spacing w:after="0" w:line="412" w:lineRule="auto"/>
        <w:tabs>
          <w:tab w:leader="none" w:pos="2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spacing w:after="0" w:line="84" w:lineRule="exact"/>
        <w:rPr>
          <w:rFonts w:ascii="Arial" w:cs="Arial" w:eastAsia="Arial" w:hAnsi="Arial"/>
          <w:sz w:val="16"/>
          <w:szCs w:val="16"/>
          <w:color w:val="auto"/>
        </w:rPr>
      </w:pPr>
    </w:p>
    <w:p>
      <w:pPr>
        <w:ind w:left="2220" w:right="5020" w:hanging="498"/>
        <w:spacing w:after="0" w:line="456" w:lineRule="auto"/>
        <w:tabs>
          <w:tab w:leader="none" w:pos="22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-29210</wp:posOffset>
            </wp:positionV>
            <wp:extent cx="58400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-483870</wp:posOffset>
            </wp:positionV>
            <wp:extent cx="58400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7" w:name="page8"/>
    <w:bookmarkEnd w:id="7"/>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180" w:right="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3740" w:type="dxa"/>
            <w:vAlign w:val="bottom"/>
          </w:tcPr>
          <w:p>
            <w:pPr>
              <w:spacing w:after="0"/>
              <w:rPr>
                <w:sz w:val="20"/>
                <w:szCs w:val="20"/>
                <w:color w:val="auto"/>
              </w:rPr>
            </w:pPr>
            <w:r>
              <w:rPr>
                <w:rFonts w:ascii="Arial" w:cs="Arial" w:eastAsia="Arial" w:hAnsi="Arial"/>
                <w:sz w:val="18"/>
                <w:szCs w:val="18"/>
                <w:color w:val="auto"/>
              </w:rPr>
              <w:t>Date: February 13, 2019</w:t>
            </w: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CASCADE INVESTMENT, L.L.C.</w:t>
            </w:r>
            <w:r>
              <w:rPr>
                <w:rFonts w:ascii="Arial" w:cs="Arial" w:eastAsia="Arial" w:hAnsi="Arial"/>
                <w:sz w:val="23"/>
                <w:szCs w:val="23"/>
                <w:color w:val="auto"/>
                <w:vertAlign w:val="superscript"/>
              </w:rPr>
              <w:t>(1)</w:t>
            </w:r>
          </w:p>
        </w:tc>
      </w:tr>
      <w:tr>
        <w:trPr>
          <w:trHeight w:val="350"/>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7"/>
                <w:szCs w:val="17"/>
                <w:color w:val="auto"/>
              </w:rPr>
              <w:t>Alan Heuberger</w:t>
            </w:r>
            <w:r>
              <w:rPr>
                <w:rFonts w:ascii="Arial" w:cs="Arial" w:eastAsia="Arial" w:hAnsi="Arial"/>
                <w:sz w:val="22"/>
                <w:szCs w:val="22"/>
                <w:color w:val="auto"/>
                <w:vertAlign w:val="superscript"/>
              </w:rPr>
              <w:t>(2)</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 for Michael Larson,</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Business Manager</w:t>
            </w:r>
          </w:p>
        </w:tc>
      </w:tr>
      <w:tr>
        <w:trPr>
          <w:trHeight w:val="514"/>
        </w:trPr>
        <w:tc>
          <w:tcPr>
            <w:tcW w:w="3740" w:type="dxa"/>
            <w:vAlign w:val="bottom"/>
          </w:tcPr>
          <w:p>
            <w:pPr>
              <w:spacing w:after="0"/>
              <w:rPr>
                <w:sz w:val="24"/>
                <w:szCs w:val="24"/>
                <w:color w:val="auto"/>
              </w:rPr>
            </w:pP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BILL &amp; MELINDA GATES FOUNDATION TRUST</w:t>
            </w:r>
            <w:r>
              <w:rPr>
                <w:rFonts w:ascii="Arial" w:cs="Arial" w:eastAsia="Arial" w:hAnsi="Arial"/>
                <w:sz w:val="23"/>
                <w:szCs w:val="23"/>
                <w:color w:val="auto"/>
                <w:vertAlign w:val="superscript"/>
              </w:rPr>
              <w:t>(1)</w:t>
            </w:r>
          </w:p>
        </w:tc>
      </w:tr>
      <w:tr>
        <w:trPr>
          <w:trHeight w:val="350"/>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7"/>
                <w:szCs w:val="17"/>
                <w:color w:val="auto"/>
              </w:rPr>
              <w:t>Alan Heuberger</w:t>
            </w:r>
            <w:r>
              <w:rPr>
                <w:rFonts w:ascii="Arial" w:cs="Arial" w:eastAsia="Arial" w:hAnsi="Arial"/>
                <w:sz w:val="22"/>
                <w:szCs w:val="22"/>
                <w:color w:val="auto"/>
                <w:vertAlign w:val="superscript"/>
              </w:rPr>
              <w:t>(3)</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 for each of the Co-Trustees,</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William H. Gates III and Melinda French Gates</w:t>
            </w:r>
          </w:p>
        </w:tc>
      </w:tr>
      <w:tr>
        <w:trPr>
          <w:trHeight w:val="514"/>
        </w:trPr>
        <w:tc>
          <w:tcPr>
            <w:tcW w:w="3740" w:type="dxa"/>
            <w:vAlign w:val="bottom"/>
          </w:tcPr>
          <w:p>
            <w:pPr>
              <w:spacing w:after="0"/>
              <w:rPr>
                <w:sz w:val="24"/>
                <w:szCs w:val="24"/>
                <w:color w:val="auto"/>
              </w:rPr>
            </w:pP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WILLIAM H. GATES III</w:t>
            </w:r>
            <w:r>
              <w:rPr>
                <w:rFonts w:ascii="Arial" w:cs="Arial" w:eastAsia="Arial" w:hAnsi="Arial"/>
                <w:sz w:val="23"/>
                <w:szCs w:val="23"/>
                <w:color w:val="auto"/>
                <w:vertAlign w:val="superscript"/>
              </w:rPr>
              <w:t>(1)</w:t>
            </w:r>
          </w:p>
        </w:tc>
      </w:tr>
      <w:tr>
        <w:trPr>
          <w:trHeight w:val="350"/>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7"/>
                <w:szCs w:val="17"/>
                <w:color w:val="auto"/>
              </w:rPr>
              <w:t>Alan Heuberger</w:t>
            </w:r>
            <w:r>
              <w:rPr>
                <w:rFonts w:ascii="Arial" w:cs="Arial" w:eastAsia="Arial" w:hAnsi="Arial"/>
                <w:sz w:val="22"/>
                <w:szCs w:val="22"/>
                <w:color w:val="auto"/>
                <w:vertAlign w:val="superscript"/>
              </w:rPr>
              <w:t>(3)(4)</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w:t>
            </w:r>
          </w:p>
        </w:tc>
      </w:tr>
      <w:tr>
        <w:trPr>
          <w:trHeight w:val="514"/>
        </w:trPr>
        <w:tc>
          <w:tcPr>
            <w:tcW w:w="3740" w:type="dxa"/>
            <w:vAlign w:val="bottom"/>
          </w:tcPr>
          <w:p>
            <w:pPr>
              <w:spacing w:after="0"/>
              <w:rPr>
                <w:sz w:val="24"/>
                <w:szCs w:val="24"/>
                <w:color w:val="auto"/>
              </w:rPr>
            </w:pP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MELINDA FRENCH GATES</w:t>
            </w:r>
            <w:r>
              <w:rPr>
                <w:rFonts w:ascii="Arial" w:cs="Arial" w:eastAsia="Arial" w:hAnsi="Arial"/>
                <w:sz w:val="23"/>
                <w:szCs w:val="23"/>
                <w:color w:val="auto"/>
                <w:vertAlign w:val="superscript"/>
              </w:rPr>
              <w:t>(1)</w:t>
            </w:r>
          </w:p>
        </w:tc>
      </w:tr>
      <w:tr>
        <w:trPr>
          <w:trHeight w:val="350"/>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7"/>
                <w:szCs w:val="17"/>
                <w:color w:val="auto"/>
              </w:rPr>
              <w:t>Alan Heuberger</w:t>
            </w:r>
            <w:r>
              <w:rPr>
                <w:rFonts w:ascii="Arial" w:cs="Arial" w:eastAsia="Arial" w:hAnsi="Arial"/>
                <w:sz w:val="22"/>
                <w:szCs w:val="22"/>
                <w:color w:val="auto"/>
                <w:vertAlign w:val="superscript"/>
              </w:rPr>
              <w:t>(3)</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w:t>
            </w:r>
          </w:p>
        </w:tc>
      </w:tr>
      <w:tr>
        <w:trPr>
          <w:trHeight w:val="648"/>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1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/s/ Alan Heuberger</w:t>
            </w:r>
          </w:p>
        </w:tc>
      </w:tr>
      <w:tr>
        <w:trPr>
          <w:trHeight w:val="224"/>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Alan Heuberger</w:t>
            </w:r>
          </w:p>
        </w:tc>
      </w:tr>
    </w:tbl>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40" w:right="8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This Amendment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202" w:lineRule="exact"/>
        <w:rPr>
          <w:rFonts w:ascii="Arial" w:cs="Arial" w:eastAsia="Arial" w:hAnsi="Arial"/>
          <w:sz w:val="23"/>
          <w:szCs w:val="23"/>
          <w:color w:val="auto"/>
          <w:vertAlign w:val="superscript"/>
        </w:rPr>
      </w:pPr>
    </w:p>
    <w:p>
      <w:pPr>
        <w:ind w:left="340" w:right="460" w:hanging="332"/>
        <w:spacing w:after="0" w:line="249" w:lineRule="auto"/>
        <w:tabs>
          <w:tab w:leader="none" w:pos="32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w:t>
      </w:r>
    </w:p>
    <w:p>
      <w:pPr>
        <w:spacing w:after="0" w:line="196" w:lineRule="exact"/>
        <w:rPr>
          <w:rFonts w:ascii="Arial" w:cs="Arial" w:eastAsia="Arial" w:hAnsi="Arial"/>
          <w:sz w:val="22"/>
          <w:szCs w:val="22"/>
          <w:color w:val="auto"/>
          <w:vertAlign w:val="superscript"/>
        </w:rPr>
      </w:pPr>
    </w:p>
    <w:p>
      <w:pPr>
        <w:ind w:left="340" w:right="16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005-60431, and incorporated by reference herein.</w:t>
      </w:r>
    </w:p>
    <w:p>
      <w:pPr>
        <w:spacing w:after="0" w:line="202" w:lineRule="exact"/>
        <w:rPr>
          <w:rFonts w:ascii="Arial" w:cs="Arial" w:eastAsia="Arial" w:hAnsi="Arial"/>
          <w:sz w:val="23"/>
          <w:szCs w:val="23"/>
          <w:color w:val="auto"/>
          <w:vertAlign w:val="superscript"/>
        </w:rPr>
      </w:pPr>
    </w:p>
    <w:p>
      <w:pPr>
        <w:ind w:left="340" w:right="36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decimal"/>
      <w:start w:val="1"/>
    </w:lvl>
    <w:lvl w:ilvl="1">
      <w:lvlJc w:val="left"/>
      <w:lvlText w:val="(%2)"/>
      <w:numFmt w:val="lowerLetter"/>
      <w:start w:val="1"/>
    </w:lvl>
  </w:abstractNum>
  <w:abstractNum w:abstractNumId="2">
    <w:nsid w:val="66EF438D"/>
    <w:multiLevelType w:val="hybridMultilevel"/>
    <w:lvl w:ilvl="0">
      <w:lvlJc w:val="left"/>
      <w:lvlText w:val="%1"/>
      <w:numFmt w:val="decimal"/>
      <w:start w:val="1"/>
    </w:lvl>
    <w:lvl w:ilvl="1">
      <w:lvlJc w:val="left"/>
      <w:lvlText w:val="%2."/>
      <w:numFmt w:val="decimal"/>
      <w:start w:val="9"/>
    </w:lvl>
  </w:abstractNum>
  <w:abstractNum w:abstractNumId="3">
    <w:nsid w:val="140E0F76"/>
    <w:multiLevelType w:val="hybridMultilevel"/>
    <w:lvl w:ilvl="0">
      <w:lvlJc w:val="left"/>
      <w:lvlText w:val="(%1)"/>
      <w:numFmt w:val="decimal"/>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lvl w:ilvl="1">
      <w:lvlJc w:val="left"/>
      <w:lvlText w:val="(%2)"/>
      <w:numFmt w:val="lowerLetter"/>
      <w:start w:val="1"/>
    </w:lvl>
  </w:abstractNum>
  <w:abstractNum w:abstractNumId="5">
    <w:nsid w:val="109CF92E"/>
    <w:multiLevelType w:val="hybridMultilevel"/>
    <w:lvl w:ilvl="0">
      <w:lvlJc w:val="left"/>
      <w:lvlText w:val="%1"/>
      <w:numFmt w:val="decimal"/>
      <w:start w:val="1"/>
    </w:lvl>
    <w:lvl w:ilvl="1">
      <w:lvlJc w:val="left"/>
      <w:lvlText w:val="%2."/>
      <w:numFmt w:val="decimal"/>
      <w:start w:val="9"/>
    </w:lvl>
  </w:abstractNum>
  <w:abstractNum w:abstractNumId="6">
    <w:nsid w:val="DED7263"/>
    <w:multiLevelType w:val="hybridMultilevel"/>
    <w:lvl w:ilvl="0">
      <w:lvlJc w:val="left"/>
      <w:lvlText w:val="(%1)"/>
      <w:numFmt w:val="decimal"/>
      <w:start w:val="1"/>
    </w:lvl>
    <w:lvl w:ilvl="1">
      <w:lvlJc w:val="left"/>
      <w:lvlText w:val="%2"/>
      <w:numFmt w:val="decimal"/>
      <w:start w:val="1"/>
    </w:lvl>
  </w:abstractNum>
  <w:abstractNum w:abstractNumId="7">
    <w:nsid w:val="7FDCC233"/>
    <w:multiLevelType w:val="hybridMultilevel"/>
    <w:lvl w:ilvl="0">
      <w:lvlJc w:val="left"/>
      <w:lvlText w:val="%1."/>
      <w:numFmt w:val="decimal"/>
      <w:start w:val="1"/>
    </w:lvl>
    <w:lvl w:ilvl="1">
      <w:lvlJc w:val="left"/>
      <w:lvlText w:val="(%2)"/>
      <w:numFmt w:val="lowerLetter"/>
      <w:start w:val="1"/>
    </w:lvl>
  </w:abstractNum>
  <w:abstractNum w:abstractNumId="8">
    <w:nsid w:val="1BEFD79F"/>
    <w:multiLevelType w:val="hybridMultilevel"/>
    <w:lvl w:ilvl="0">
      <w:lvlJc w:val="left"/>
      <w:lvlText w:val="%1"/>
      <w:numFmt w:val="decimal"/>
      <w:start w:val="1"/>
    </w:lvl>
    <w:lvl w:ilvl="1">
      <w:lvlJc w:val="left"/>
      <w:lvlText w:val="%2."/>
      <w:numFmt w:val="decimal"/>
      <w:start w:val="9"/>
    </w:lvl>
  </w:abstractNum>
  <w:abstractNum w:abstractNumId="9">
    <w:nsid w:val="41A7C4C9"/>
    <w:multiLevelType w:val="hybridMultilevel"/>
    <w:lvl w:ilvl="0">
      <w:lvlJc w:val="left"/>
      <w:lvlText w:val="(%1)"/>
      <w:numFmt w:val="decimal"/>
      <w:start w:val="1"/>
    </w:lvl>
    <w:lvl w:ilvl="1">
      <w:lvlJc w:val="left"/>
      <w:lvlText w:val="%2"/>
      <w:numFmt w:val="decimal"/>
      <w:start w:val="1"/>
    </w:lvl>
  </w:abstractNum>
  <w:abstractNum w:abstractNumId="10">
    <w:nsid w:val="6B68079A"/>
    <w:multiLevelType w:val="hybridMultilevel"/>
    <w:lvl w:ilvl="0">
      <w:lvlJc w:val="left"/>
      <w:lvlText w:val="%1."/>
      <w:numFmt w:val="decimal"/>
      <w:start w:val="1"/>
    </w:lvl>
    <w:lvl w:ilvl="1">
      <w:lvlJc w:val="left"/>
      <w:lvlText w:val="(%2)"/>
      <w:numFmt w:val="lowerLetter"/>
      <w:start w:val="1"/>
    </w:lvl>
  </w:abstractNum>
  <w:abstractNum w:abstractNumId="11">
    <w:nsid w:val="4E6AFB66"/>
    <w:multiLevelType w:val="hybridMultilevel"/>
    <w:lvl w:ilvl="0">
      <w:lvlJc w:val="left"/>
      <w:lvlText w:val="%1"/>
      <w:numFmt w:val="decimal"/>
      <w:start w:val="1"/>
    </w:lvl>
    <w:lvl w:ilvl="1">
      <w:lvlJc w:val="left"/>
      <w:lvlText w:val="%2."/>
      <w:numFmt w:val="decimal"/>
      <w:start w:val="9"/>
    </w:lvl>
  </w:abstractNum>
  <w:abstractNum w:abstractNumId="12">
    <w:nsid w:val="25E45D32"/>
    <w:multiLevelType w:val="hybridMultilevel"/>
    <w:lvl w:ilvl="0">
      <w:lvlJc w:val="left"/>
      <w:lvlText w:val="(%1)"/>
      <w:numFmt w:val="decimal"/>
      <w:start w:val="1"/>
    </w:lvl>
    <w:lvl w:ilvl="1">
      <w:lvlJc w:val="left"/>
      <w:lvlText w:val="%2"/>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lowerRoman"/>
      <w:start w:val="3"/>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2019-12-05T00:07:16Z</dcterms:created>
  <dcterms:modified xsi:type="dcterms:W3CDTF">2019-12-05T00:07:16Z</dcterms:modified>
</cp:coreProperties>
</file>