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369570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13 or 15(d)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30, 2003</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4300" w:type="dxa"/>
            <w:vAlign w:val="bottom"/>
          </w:tcPr>
          <w:p>
            <w:pPr>
              <w:jc w:val="center"/>
              <w:ind w:right="192"/>
              <w:spacing w:after="0"/>
              <w:rPr>
                <w:sz w:val="20"/>
                <w:szCs w:val="20"/>
                <w:color w:val="auto"/>
              </w:rPr>
            </w:pPr>
            <w:r>
              <w:rPr>
                <w:rFonts w:ascii="Arial" w:cs="Arial" w:eastAsia="Arial" w:hAnsi="Arial"/>
                <w:sz w:val="18"/>
                <w:szCs w:val="18"/>
                <w:color w:val="auto"/>
                <w:w w:val="88"/>
              </w:rPr>
              <w:t>(Exact name of registrant as specified in its charter)</w:t>
            </w:r>
          </w:p>
        </w:tc>
        <w:tc>
          <w:tcPr>
            <w:tcW w:w="3420" w:type="dxa"/>
            <w:vAlign w:val="bottom"/>
          </w:tcPr>
          <w:p>
            <w:pPr>
              <w:spacing w:after="0"/>
              <w:rPr>
                <w:sz w:val="19"/>
                <w:szCs w:val="19"/>
                <w:color w:val="auto"/>
              </w:rPr>
            </w:pPr>
          </w:p>
        </w:tc>
      </w:tr>
      <w:tr>
        <w:trPr>
          <w:trHeight w:val="453"/>
        </w:trPr>
        <w:tc>
          <w:tcPr>
            <w:tcW w:w="3700" w:type="dxa"/>
            <w:vAlign w:val="bottom"/>
          </w:tcPr>
          <w:p>
            <w:pPr>
              <w:jc w:val="center"/>
              <w:ind w:left="492"/>
              <w:spacing w:after="0"/>
              <w:rPr>
                <w:sz w:val="20"/>
                <w:szCs w:val="20"/>
                <w:color w:val="auto"/>
              </w:rPr>
            </w:pPr>
            <w:r>
              <w:rPr>
                <w:rFonts w:ascii="Arial" w:cs="Arial" w:eastAsia="Arial" w:hAnsi="Arial"/>
                <w:sz w:val="18"/>
                <w:szCs w:val="18"/>
                <w:color w:val="auto"/>
                <w:w w:val="89"/>
              </w:rPr>
              <w:t>Delaware</w:t>
            </w:r>
          </w:p>
        </w:tc>
        <w:tc>
          <w:tcPr>
            <w:tcW w:w="4300" w:type="dxa"/>
            <w:vAlign w:val="bottom"/>
          </w:tcPr>
          <w:p>
            <w:pPr>
              <w:jc w:val="right"/>
              <w:ind w:right="1672"/>
              <w:spacing w:after="0"/>
              <w:rPr>
                <w:sz w:val="20"/>
                <w:szCs w:val="20"/>
                <w:color w:val="auto"/>
              </w:rPr>
            </w:pPr>
            <w:r>
              <w:rPr>
                <w:rFonts w:ascii="Arial" w:cs="Arial" w:eastAsia="Arial" w:hAnsi="Arial"/>
                <w:sz w:val="18"/>
                <w:szCs w:val="18"/>
                <w:color w:val="auto"/>
              </w:rPr>
              <w:t>1-12154</w:t>
            </w:r>
          </w:p>
        </w:tc>
        <w:tc>
          <w:tcPr>
            <w:tcW w:w="3420" w:type="dxa"/>
            <w:vAlign w:val="bottom"/>
          </w:tcPr>
          <w:p>
            <w:pPr>
              <w:jc w:val="right"/>
              <w:ind w:right="1392"/>
              <w:spacing w:after="0"/>
              <w:rPr>
                <w:sz w:val="20"/>
                <w:szCs w:val="20"/>
                <w:color w:val="auto"/>
              </w:rPr>
            </w:pPr>
            <w:r>
              <w:rPr>
                <w:rFonts w:ascii="Arial" w:cs="Arial" w:eastAsia="Arial" w:hAnsi="Arial"/>
                <w:sz w:val="18"/>
                <w:szCs w:val="18"/>
                <w:color w:val="auto"/>
              </w:rPr>
              <w:t>73-1309529</w:t>
            </w:r>
          </w:p>
        </w:tc>
      </w:tr>
      <w:tr>
        <w:trPr>
          <w:trHeight w:val="216"/>
        </w:trPr>
        <w:tc>
          <w:tcPr>
            <w:tcW w:w="3700" w:type="dxa"/>
            <w:vAlign w:val="bottom"/>
          </w:tcPr>
          <w:p>
            <w:pPr>
              <w:jc w:val="center"/>
              <w:ind w:left="492"/>
              <w:spacing w:after="0"/>
              <w:rPr>
                <w:sz w:val="20"/>
                <w:szCs w:val="20"/>
                <w:color w:val="auto"/>
              </w:rPr>
            </w:pPr>
            <w:r>
              <w:rPr>
                <w:rFonts w:ascii="Arial" w:cs="Arial" w:eastAsia="Arial" w:hAnsi="Arial"/>
                <w:sz w:val="18"/>
                <w:szCs w:val="18"/>
                <w:color w:val="auto"/>
                <w:w w:val="90"/>
              </w:rPr>
              <w:t>(State or other jurisdiction of</w:t>
            </w:r>
          </w:p>
        </w:tc>
        <w:tc>
          <w:tcPr>
            <w:tcW w:w="4300" w:type="dxa"/>
            <w:vAlign w:val="bottom"/>
          </w:tcPr>
          <w:p>
            <w:pPr>
              <w:jc w:val="center"/>
              <w:ind w:left="112"/>
              <w:spacing w:after="0"/>
              <w:rPr>
                <w:sz w:val="20"/>
                <w:szCs w:val="20"/>
                <w:color w:val="auto"/>
              </w:rPr>
            </w:pPr>
            <w:r>
              <w:rPr>
                <w:rFonts w:ascii="Arial" w:cs="Arial" w:eastAsia="Arial" w:hAnsi="Arial"/>
                <w:sz w:val="18"/>
                <w:szCs w:val="18"/>
                <w:color w:val="auto"/>
                <w:w w:val="90"/>
              </w:rPr>
              <w:t>(Commission File Number)</w:t>
            </w:r>
          </w:p>
        </w:tc>
        <w:tc>
          <w:tcPr>
            <w:tcW w:w="3420" w:type="dxa"/>
            <w:vAlign w:val="bottom"/>
          </w:tcPr>
          <w:p>
            <w:pPr>
              <w:jc w:val="center"/>
              <w:ind w:right="312"/>
              <w:spacing w:after="0"/>
              <w:rPr>
                <w:sz w:val="20"/>
                <w:szCs w:val="20"/>
                <w:color w:val="auto"/>
              </w:rPr>
            </w:pPr>
            <w:r>
              <w:rPr>
                <w:rFonts w:ascii="Arial" w:cs="Arial" w:eastAsia="Arial" w:hAnsi="Arial"/>
                <w:sz w:val="18"/>
                <w:szCs w:val="18"/>
                <w:color w:val="auto"/>
                <w:w w:val="91"/>
              </w:rPr>
              <w:t>(I.R.S. Employer Identification</w:t>
            </w:r>
          </w:p>
        </w:tc>
      </w:tr>
      <w:tr>
        <w:trPr>
          <w:trHeight w:val="222"/>
        </w:trPr>
        <w:tc>
          <w:tcPr>
            <w:tcW w:w="3700" w:type="dxa"/>
            <w:vAlign w:val="bottom"/>
          </w:tcPr>
          <w:p>
            <w:pPr>
              <w:jc w:val="center"/>
              <w:ind w:left="492"/>
              <w:spacing w:after="0"/>
              <w:rPr>
                <w:sz w:val="20"/>
                <w:szCs w:val="20"/>
                <w:color w:val="auto"/>
              </w:rPr>
            </w:pPr>
            <w:r>
              <w:rPr>
                <w:rFonts w:ascii="Arial" w:cs="Arial" w:eastAsia="Arial" w:hAnsi="Arial"/>
                <w:sz w:val="18"/>
                <w:szCs w:val="18"/>
                <w:color w:val="auto"/>
                <w:w w:val="90"/>
              </w:rPr>
              <w:t>incorporation)</w:t>
            </w:r>
          </w:p>
        </w:tc>
        <w:tc>
          <w:tcPr>
            <w:tcW w:w="4300" w:type="dxa"/>
            <w:vAlign w:val="bottom"/>
          </w:tcPr>
          <w:p>
            <w:pPr>
              <w:spacing w:after="0"/>
              <w:rPr>
                <w:sz w:val="19"/>
                <w:szCs w:val="19"/>
                <w:color w:val="auto"/>
              </w:rPr>
            </w:pPr>
          </w:p>
        </w:tc>
        <w:tc>
          <w:tcPr>
            <w:tcW w:w="3420" w:type="dxa"/>
            <w:vAlign w:val="bottom"/>
          </w:tcPr>
          <w:p>
            <w:pPr>
              <w:jc w:val="center"/>
              <w:ind w:right="312"/>
              <w:spacing w:after="0"/>
              <w:rPr>
                <w:sz w:val="20"/>
                <w:szCs w:val="20"/>
                <w:color w:val="auto"/>
              </w:rPr>
            </w:pPr>
            <w:r>
              <w:rPr>
                <w:rFonts w:ascii="Arial" w:cs="Arial" w:eastAsia="Arial" w:hAnsi="Arial"/>
                <w:sz w:val="18"/>
                <w:szCs w:val="18"/>
                <w:color w:val="auto"/>
                <w:w w:val="88"/>
              </w:rPr>
              <w:t>Number)</w:t>
            </w:r>
          </w:p>
        </w:tc>
      </w:tr>
      <w:tr>
        <w:trPr>
          <w:trHeight w:val="426"/>
        </w:trPr>
        <w:tc>
          <w:tcPr>
            <w:tcW w:w="3700" w:type="dxa"/>
            <w:vAlign w:val="bottom"/>
          </w:tcPr>
          <w:p>
            <w:pPr>
              <w:jc w:val="center"/>
              <w:ind w:left="512"/>
              <w:spacing w:after="0"/>
              <w:rPr>
                <w:sz w:val="20"/>
                <w:szCs w:val="20"/>
                <w:color w:val="auto"/>
              </w:rPr>
            </w:pPr>
            <w:r>
              <w:rPr>
                <w:rFonts w:ascii="Arial" w:cs="Arial" w:eastAsia="Arial" w:hAnsi="Arial"/>
                <w:sz w:val="18"/>
                <w:szCs w:val="18"/>
                <w:color w:val="auto"/>
                <w:w w:val="87"/>
              </w:rPr>
              <w:t>1001 Fannin Street, Suite 4000</w:t>
            </w:r>
          </w:p>
        </w:tc>
        <w:tc>
          <w:tcPr>
            <w:tcW w:w="43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6"/>
        </w:trPr>
        <w:tc>
          <w:tcPr>
            <w:tcW w:w="3700" w:type="dxa"/>
            <w:vAlign w:val="bottom"/>
          </w:tcPr>
          <w:p>
            <w:pPr>
              <w:jc w:val="center"/>
              <w:ind w:left="492"/>
              <w:spacing w:after="0"/>
              <w:rPr>
                <w:sz w:val="20"/>
                <w:szCs w:val="20"/>
                <w:color w:val="auto"/>
              </w:rPr>
            </w:pPr>
            <w:r>
              <w:rPr>
                <w:rFonts w:ascii="Arial" w:cs="Arial" w:eastAsia="Arial" w:hAnsi="Arial"/>
                <w:sz w:val="18"/>
                <w:szCs w:val="18"/>
                <w:color w:val="auto"/>
                <w:w w:val="85"/>
              </w:rPr>
              <w:t>Houston, Texas</w:t>
            </w:r>
          </w:p>
        </w:tc>
        <w:tc>
          <w:tcPr>
            <w:tcW w:w="4300" w:type="dxa"/>
            <w:vAlign w:val="bottom"/>
          </w:tcPr>
          <w:p>
            <w:pPr>
              <w:spacing w:after="0"/>
              <w:rPr>
                <w:sz w:val="18"/>
                <w:szCs w:val="18"/>
                <w:color w:val="auto"/>
              </w:rPr>
            </w:pPr>
          </w:p>
        </w:tc>
        <w:tc>
          <w:tcPr>
            <w:tcW w:w="3420" w:type="dxa"/>
            <w:vAlign w:val="bottom"/>
          </w:tcPr>
          <w:p>
            <w:pPr>
              <w:jc w:val="right"/>
              <w:ind w:right="1612"/>
              <w:spacing w:after="0"/>
              <w:rPr>
                <w:sz w:val="20"/>
                <w:szCs w:val="20"/>
                <w:color w:val="auto"/>
              </w:rPr>
            </w:pPr>
            <w:r>
              <w:rPr>
                <w:rFonts w:ascii="Arial" w:cs="Arial" w:eastAsia="Arial" w:hAnsi="Arial"/>
                <w:sz w:val="18"/>
                <w:szCs w:val="18"/>
                <w:color w:val="auto"/>
              </w:rPr>
              <w:t>77002</w:t>
            </w:r>
          </w:p>
        </w:tc>
      </w:tr>
      <w:tr>
        <w:trPr>
          <w:trHeight w:val="222"/>
        </w:trPr>
        <w:tc>
          <w:tcPr>
            <w:tcW w:w="3700" w:type="dxa"/>
            <w:vAlign w:val="bottom"/>
          </w:tcPr>
          <w:p>
            <w:pPr>
              <w:jc w:val="center"/>
              <w:ind w:left="492"/>
              <w:spacing w:after="0"/>
              <w:rPr>
                <w:sz w:val="20"/>
                <w:szCs w:val="20"/>
                <w:color w:val="auto"/>
              </w:rPr>
            </w:pPr>
            <w:r>
              <w:rPr>
                <w:rFonts w:ascii="Arial" w:cs="Arial" w:eastAsia="Arial" w:hAnsi="Arial"/>
                <w:sz w:val="18"/>
                <w:szCs w:val="18"/>
                <w:color w:val="auto"/>
                <w:w w:val="90"/>
              </w:rPr>
              <w:t>(Address of principal executive offices)</w:t>
            </w:r>
          </w:p>
        </w:tc>
        <w:tc>
          <w:tcPr>
            <w:tcW w:w="4300" w:type="dxa"/>
            <w:vAlign w:val="bottom"/>
          </w:tcPr>
          <w:p>
            <w:pPr>
              <w:spacing w:after="0"/>
              <w:rPr>
                <w:sz w:val="19"/>
                <w:szCs w:val="19"/>
                <w:color w:val="auto"/>
              </w:rPr>
            </w:pPr>
          </w:p>
        </w:tc>
        <w:tc>
          <w:tcPr>
            <w:tcW w:w="3420" w:type="dxa"/>
            <w:vAlign w:val="bottom"/>
          </w:tcPr>
          <w:p>
            <w:pPr>
              <w:jc w:val="center"/>
              <w:ind w:right="312"/>
              <w:spacing w:after="0"/>
              <w:rPr>
                <w:sz w:val="20"/>
                <w:szCs w:val="20"/>
                <w:color w:val="auto"/>
              </w:rPr>
            </w:pPr>
            <w:r>
              <w:rPr>
                <w:rFonts w:ascii="Arial" w:cs="Arial" w:eastAsia="Arial" w:hAnsi="Arial"/>
                <w:sz w:val="18"/>
                <w:szCs w:val="18"/>
                <w:color w:val="auto"/>
                <w:w w:val="91"/>
              </w:rPr>
              <w:t>(Zip Code)</w:t>
            </w:r>
          </w:p>
        </w:tc>
      </w:tr>
      <w:tr>
        <w:trPr>
          <w:trHeight w:val="426"/>
        </w:trPr>
        <w:tc>
          <w:tcPr>
            <w:tcW w:w="3700" w:type="dxa"/>
            <w:vAlign w:val="bottom"/>
          </w:tcPr>
          <w:p>
            <w:pPr>
              <w:spacing w:after="0"/>
              <w:rPr>
                <w:sz w:val="24"/>
                <w:szCs w:val="24"/>
                <w:color w:val="auto"/>
              </w:rPr>
            </w:pPr>
          </w:p>
        </w:tc>
        <w:tc>
          <w:tcPr>
            <w:tcW w:w="4300" w:type="dxa"/>
            <w:vAlign w:val="bottom"/>
          </w:tcPr>
          <w:p>
            <w:pPr>
              <w:jc w:val="center"/>
              <w:ind w:right="192"/>
              <w:spacing w:after="0"/>
              <w:rPr>
                <w:sz w:val="20"/>
                <w:szCs w:val="20"/>
                <w:color w:val="auto"/>
              </w:rPr>
            </w:pPr>
            <w:r>
              <w:rPr>
                <w:rFonts w:ascii="Arial" w:cs="Arial" w:eastAsia="Arial" w:hAnsi="Arial"/>
                <w:sz w:val="18"/>
                <w:szCs w:val="18"/>
                <w:color w:val="auto"/>
                <w:w w:val="89"/>
              </w:rPr>
              <w:t>(713) 512-6200</w:t>
            </w:r>
          </w:p>
        </w:tc>
        <w:tc>
          <w:tcPr>
            <w:tcW w:w="3420" w:type="dxa"/>
            <w:vAlign w:val="bottom"/>
          </w:tcPr>
          <w:p>
            <w:pPr>
              <w:spacing w:after="0"/>
              <w:rPr>
                <w:sz w:val="24"/>
                <w:szCs w:val="24"/>
                <w:color w:val="auto"/>
              </w:rPr>
            </w:pPr>
          </w:p>
        </w:tc>
      </w:tr>
      <w:tr>
        <w:trPr>
          <w:trHeight w:val="222"/>
        </w:trPr>
        <w:tc>
          <w:tcPr>
            <w:tcW w:w="3700" w:type="dxa"/>
            <w:vAlign w:val="bottom"/>
          </w:tcPr>
          <w:p>
            <w:pPr>
              <w:spacing w:after="0"/>
              <w:rPr>
                <w:sz w:val="19"/>
                <w:szCs w:val="19"/>
                <w:color w:val="auto"/>
              </w:rPr>
            </w:pPr>
          </w:p>
        </w:tc>
        <w:tc>
          <w:tcPr>
            <w:tcW w:w="4300" w:type="dxa"/>
            <w:vAlign w:val="bottom"/>
          </w:tcPr>
          <w:p>
            <w:pPr>
              <w:jc w:val="center"/>
              <w:ind w:right="172"/>
              <w:spacing w:after="0"/>
              <w:rPr>
                <w:sz w:val="20"/>
                <w:szCs w:val="20"/>
                <w:color w:val="auto"/>
              </w:rPr>
            </w:pPr>
            <w:r>
              <w:rPr>
                <w:rFonts w:ascii="Arial" w:cs="Arial" w:eastAsia="Arial" w:hAnsi="Arial"/>
                <w:sz w:val="18"/>
                <w:szCs w:val="18"/>
                <w:color w:val="auto"/>
                <w:w w:val="87"/>
              </w:rPr>
              <w:t>(Registrant’s telephone number, including area code)</w:t>
            </w:r>
          </w:p>
        </w:tc>
        <w:tc>
          <w:tcPr>
            <w:tcW w:w="3420" w:type="dxa"/>
            <w:vAlign w:val="bottom"/>
          </w:tcPr>
          <w:p>
            <w:pPr>
              <w:spacing w:after="0"/>
              <w:rPr>
                <w:sz w:val="19"/>
                <w:szCs w:val="19"/>
                <w:color w:val="auto"/>
              </w:rPr>
            </w:pPr>
          </w:p>
        </w:tc>
      </w:tr>
      <w:tr>
        <w:trPr>
          <w:trHeight w:val="174"/>
        </w:trPr>
        <w:tc>
          <w:tcPr>
            <w:tcW w:w="37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61"/>
        </w:trPr>
        <w:tc>
          <w:tcPr>
            <w:tcW w:w="3700" w:type="dxa"/>
            <w:vAlign w:val="bottom"/>
            <w:shd w:val="clear" w:color="auto" w:fill="000000"/>
          </w:tcPr>
          <w:p>
            <w:pPr>
              <w:spacing w:after="0"/>
              <w:rPr>
                <w:sz w:val="5"/>
                <w:szCs w:val="5"/>
                <w:color w:val="auto"/>
              </w:rPr>
            </w:pPr>
          </w:p>
        </w:tc>
        <w:tc>
          <w:tcPr>
            <w:tcW w:w="4300" w:type="dxa"/>
            <w:vAlign w:val="bottom"/>
            <w:shd w:val="clear" w:color="auto" w:fill="000000"/>
          </w:tcPr>
          <w:p>
            <w:pPr>
              <w:spacing w:after="0"/>
              <w:rPr>
                <w:sz w:val="5"/>
                <w:szCs w:val="5"/>
                <w:color w:val="auto"/>
              </w:rPr>
            </w:pPr>
          </w:p>
        </w:tc>
        <w:tc>
          <w:tcPr>
            <w:tcW w:w="3420" w:type="dxa"/>
            <w:vAlign w:val="bottom"/>
            <w:shd w:val="clear" w:color="auto" w:fill="000000"/>
          </w:tcPr>
          <w:p>
            <w:pPr>
              <w:spacing w:after="0"/>
              <w:rPr>
                <w:sz w:val="5"/>
                <w:szCs w:val="5"/>
                <w:color w:val="auto"/>
              </w:rPr>
            </w:pPr>
          </w:p>
        </w:tc>
      </w:tr>
      <w:tr>
        <w:trPr>
          <w:trHeight w:val="655"/>
        </w:trPr>
        <w:tc>
          <w:tcPr>
            <w:tcW w:w="370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13" w:right="239" w:bottom="1440" w:gutter="0" w:footer="0" w:header="0"/>
        </w:sectPr>
      </w:pPr>
    </w:p>
    <w:bookmarkStart w:id="2" w:name="page3"/>
    <w:bookmarkEnd w:id="2"/>
    <w:p>
      <w:pPr>
        <w:ind w:left="456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2" w:lineRule="exact"/>
        <w:rPr>
          <w:sz w:val="20"/>
          <w:szCs w:val="20"/>
          <w:color w:val="auto"/>
        </w:rPr>
      </w:pPr>
    </w:p>
    <w:p>
      <w:pPr>
        <w:ind w:left="90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Item 7. Financial Statements and Exhibits.</w:t>
        </w:r>
      </w:hyperlink>
    </w:p>
    <w:p>
      <w:pPr>
        <w:ind w:left="900"/>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Item 12. Results of Operations and Financial Condition</w:t>
        </w:r>
      </w:hyperlink>
    </w:p>
    <w:p>
      <w:pPr>
        <w:ind w:left="58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SIGNATURES</w:t>
        </w:r>
      </w:hyperlink>
    </w:p>
    <w:p>
      <w:pPr>
        <w:ind w:left="58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ind w:left="580"/>
        <w:spacing w:after="0"/>
        <w:rPr>
          <w:sz w:val="20"/>
          <w:szCs w:val="20"/>
          <w:color w:val="auto"/>
        </w:rPr>
      </w:pPr>
      <w:r>
        <w:rPr>
          <w:rFonts w:ascii="Arial" w:cs="Arial" w:eastAsia="Arial" w:hAnsi="Arial"/>
          <w:sz w:val="22"/>
          <w:szCs w:val="22"/>
          <w:u w:val="single" w:color="auto"/>
          <w:color w:val="0000EE"/>
        </w:rPr>
        <w:t>Press Release dated October 30, 2003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225" w:lineRule="exact"/>
        <w:rPr>
          <w:sz w:val="20"/>
          <w:szCs w:val="20"/>
          <w:color w:val="auto"/>
        </w:rPr>
      </w:pPr>
    </w:p>
    <w:p>
      <w:pPr>
        <w:ind w:left="1200" w:hanging="652"/>
        <w:spacing w:after="0"/>
        <w:tabs>
          <w:tab w:leader="none" w:pos="12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p>
      <w:pPr>
        <w:spacing w:after="0" w:line="231"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Waste Management, Inc. dated October 30, 2003 announcing results of operations for the quarter ended September 30,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Results of Operations and Financial Condition.</w:t>
      </w:r>
    </w:p>
    <w:p>
      <w:pPr>
        <w:spacing w:after="0" w:line="231" w:lineRule="exact"/>
        <w:rPr>
          <w:sz w:val="20"/>
          <w:szCs w:val="20"/>
          <w:color w:val="auto"/>
        </w:rPr>
      </w:pPr>
    </w:p>
    <w:p>
      <w:pPr>
        <w:ind w:firstLine="216"/>
        <w:spacing w:after="0" w:line="268" w:lineRule="auto"/>
        <w:rPr>
          <w:sz w:val="20"/>
          <w:szCs w:val="20"/>
          <w:color w:val="auto"/>
        </w:rPr>
      </w:pPr>
      <w:r>
        <w:rPr>
          <w:rFonts w:ascii="Arial" w:cs="Arial" w:eastAsia="Arial" w:hAnsi="Arial"/>
          <w:sz w:val="18"/>
          <w:szCs w:val="18"/>
          <w:color w:val="auto"/>
        </w:rPr>
        <w:t>The Company issued a press release on October 30, 2003 announcing its results of operations for the quarter ended September 30, 2003. A copy of that release is furnished herewith as Exhibit 99.1.</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2" w:right="27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color w:val="auto"/>
        </w:rPr>
        <w:t>Date: October 30, 2003</w:t>
      </w:r>
      <w:r>
        <w:rPr>
          <w:sz w:val="20"/>
          <w:szCs w:val="20"/>
          <w:color w:val="auto"/>
        </w:rPr>
        <w:tab/>
      </w:r>
      <w:r>
        <w:rPr>
          <w:rFonts w:ascii="Arial" w:cs="Arial" w:eastAsia="Arial" w:hAnsi="Arial"/>
          <w:sz w:val="15"/>
          <w:szCs w:val="15"/>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80010</wp:posOffset>
            </wp:positionV>
            <wp:extent cx="3978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Chief Financial Officer and Corporate Secretary</w:t>
      </w: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5" w:right="439" w:bottom="1440" w:gutter="0" w:footer="0" w:header="0"/>
        </w:sectPr>
      </w:pPr>
    </w:p>
    <w:bookmarkStart w:id="4" w:name="page5"/>
    <w:bookmarkEnd w:id="4"/>
    <w:tbl>
      <w:tblPr>
        <w:tblLayout w:type="fixed"/>
        <w:tblInd w:w="80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40" w:type="dxa"/>
            <w:vAlign w:val="bottom"/>
          </w:tcPr>
          <w:p>
            <w:pPr>
              <w:jc w:val="center"/>
              <w:ind w:right="877"/>
              <w:spacing w:after="0"/>
              <w:rPr>
                <w:sz w:val="20"/>
                <w:szCs w:val="20"/>
                <w:color w:val="auto"/>
              </w:rPr>
            </w:pPr>
            <w:r>
              <w:rPr>
                <w:rFonts w:ascii="Arial" w:cs="Arial" w:eastAsia="Arial" w:hAnsi="Arial"/>
                <w:sz w:val="18"/>
                <w:szCs w:val="18"/>
                <w:b w:val="1"/>
                <w:bCs w:val="1"/>
                <w:color w:val="auto"/>
              </w:rPr>
              <w:t>EXHIBIT INDEX</w:t>
            </w:r>
          </w:p>
        </w:tc>
      </w:tr>
      <w:tr>
        <w:trPr>
          <w:trHeight w:val="597"/>
        </w:trPr>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38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174"/>
        </w:trPr>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15"/>
                <w:szCs w:val="15"/>
                <w:color w:val="auto"/>
              </w:rPr>
            </w:pPr>
          </w:p>
        </w:tc>
        <w:tc>
          <w:tcPr>
            <w:tcW w:w="6440" w:type="dxa"/>
            <w:vAlign w:val="bottom"/>
          </w:tcPr>
          <w:p>
            <w:pPr>
              <w:ind w:left="2660"/>
              <w:spacing w:after="0"/>
              <w:rPr>
                <w:sz w:val="20"/>
                <w:szCs w:val="20"/>
                <w:color w:val="auto"/>
              </w:rPr>
            </w:pPr>
            <w:r>
              <w:rPr>
                <w:rFonts w:ascii="Arial" w:cs="Arial" w:eastAsia="Arial" w:hAnsi="Arial"/>
                <w:sz w:val="14"/>
                <w:szCs w:val="14"/>
                <w:b w:val="1"/>
                <w:bCs w:val="1"/>
                <w:color w:val="auto"/>
              </w:rPr>
              <w:t>Exhibit Description</w:t>
            </w:r>
          </w:p>
        </w:tc>
      </w:tr>
      <w:tr>
        <w:trPr>
          <w:trHeight w:val="95"/>
        </w:trPr>
        <w:tc>
          <w:tcPr>
            <w:tcW w:w="6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6440" w:type="dxa"/>
            <w:vAlign w:val="bottom"/>
            <w:tcBorders>
              <w:bottom w:val="single" w:sz="8" w:color="808080"/>
            </w:tcBorders>
          </w:tcPr>
          <w:p>
            <w:pPr>
              <w:spacing w:after="0"/>
              <w:rPr>
                <w:sz w:val="8"/>
                <w:szCs w:val="8"/>
                <w:color w:val="auto"/>
              </w:rPr>
            </w:pPr>
          </w:p>
        </w:tc>
      </w:tr>
      <w:tr>
        <w:trPr>
          <w:trHeight w:val="309"/>
        </w:trPr>
        <w:tc>
          <w:tcPr>
            <w:tcW w:w="60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38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0"/>
              </w:rPr>
              <w:t>Press Release of Waste Management, Inc. dated October 30, 2003 announcing results of</w:t>
            </w:r>
          </w:p>
        </w:tc>
      </w:tr>
      <w:tr>
        <w:trPr>
          <w:trHeight w:val="222"/>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operations for the quarter ended September 30, 2003.</w:t>
            </w:r>
          </w:p>
        </w:tc>
      </w:tr>
      <w:tr>
        <w:trPr>
          <w:trHeight w:val="432"/>
        </w:trPr>
        <w:tc>
          <w:tcPr>
            <w:tcW w:w="600" w:type="dxa"/>
            <w:vAlign w:val="bottom"/>
          </w:tcPr>
          <w:p>
            <w:pPr>
              <w:spacing w:after="0"/>
              <w:rPr>
                <w:sz w:val="24"/>
                <w:szCs w:val="24"/>
                <w:color w:val="auto"/>
              </w:rPr>
            </w:pPr>
          </w:p>
        </w:tc>
        <w:tc>
          <w:tcPr>
            <w:tcW w:w="6820" w:type="dxa"/>
            <w:vAlign w:val="bottom"/>
            <w:gridSpan w:val="2"/>
          </w:tcPr>
          <w:p>
            <w:pPr>
              <w:jc w:val="right"/>
              <w:ind w:right="3517"/>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9019"/>
          </w:cols>
          <w:pgMar w:left="1440" w:top="935"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(WASTE MANAGEMENT, INC. LOGO)</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ind w:left="10720"/>
        <w:spacing w:after="0"/>
        <w:rPr>
          <w:sz w:val="20"/>
          <w:szCs w:val="20"/>
          <w:color w:val="auto"/>
        </w:rPr>
      </w:pPr>
      <w:r>
        <w:rPr>
          <w:rFonts w:ascii="Arial" w:cs="Arial" w:eastAsia="Arial" w:hAnsi="Arial"/>
          <w:sz w:val="15"/>
          <w:szCs w:val="15"/>
          <w:b w:val="1"/>
          <w:bCs w:val="1"/>
          <w:color w:val="auto"/>
        </w:rPr>
        <w:t>Analysts:</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Cherie 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713.512.6548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ind w:left="10280"/>
        <w:spacing w:after="0"/>
        <w:rPr>
          <w:sz w:val="20"/>
          <w:szCs w:val="20"/>
          <w:color w:val="auto"/>
        </w:rPr>
      </w:pPr>
      <w:r>
        <w:rPr>
          <w:rFonts w:ascii="Arial" w:cs="Arial" w:eastAsia="Arial" w:hAnsi="Arial"/>
          <w:sz w:val="15"/>
          <w:szCs w:val="15"/>
          <w:b w:val="1"/>
          <w:bCs w:val="1"/>
          <w:color w:val="auto"/>
        </w:rPr>
        <w:t>Sarah Simpson</w:t>
      </w:r>
    </w:p>
    <w:p>
      <w:pPr>
        <w:spacing w:after="0" w:line="44" w:lineRule="exact"/>
        <w:rPr>
          <w:sz w:val="20"/>
          <w:szCs w:val="20"/>
          <w:color w:val="auto"/>
        </w:rPr>
      </w:pPr>
    </w:p>
    <w:p>
      <w:pPr>
        <w:ind w:left="10460"/>
        <w:spacing w:after="0"/>
        <w:rPr>
          <w:sz w:val="20"/>
          <w:szCs w:val="20"/>
          <w:color w:val="auto"/>
        </w:rPr>
      </w:pPr>
      <w:r>
        <w:rPr>
          <w:rFonts w:ascii="Arial" w:cs="Arial" w:eastAsia="Arial" w:hAnsi="Arial"/>
          <w:sz w:val="15"/>
          <w:szCs w:val="15"/>
          <w:b w:val="1"/>
          <w:bCs w:val="1"/>
          <w:color w:val="auto"/>
        </w:rPr>
        <w:t>713.394.2154</w:t>
      </w:r>
    </w:p>
    <w:p>
      <w:pPr>
        <w:spacing w:after="0" w:line="247" w:lineRule="exact"/>
        <w:rPr>
          <w:sz w:val="20"/>
          <w:szCs w:val="20"/>
          <w:color w:val="auto"/>
        </w:rPr>
      </w:pPr>
    </w:p>
    <w:p>
      <w:pPr>
        <w:ind w:left="10520"/>
        <w:spacing w:after="0"/>
        <w:rPr>
          <w:sz w:val="20"/>
          <w:szCs w:val="20"/>
          <w:color w:val="auto"/>
        </w:rPr>
      </w:pPr>
      <w:r>
        <w:rPr>
          <w:rFonts w:ascii="Arial" w:cs="Arial" w:eastAsia="Arial" w:hAnsi="Arial"/>
          <w:sz w:val="16"/>
          <w:szCs w:val="16"/>
          <w:b w:val="1"/>
          <w:bCs w:val="1"/>
          <w:color w:val="auto"/>
        </w:rPr>
        <w:t>WMI#03-26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Third Quarter 2003 Earnings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Indicates Comfort with Analysts’ Full Year E.P.S Range of Estimates</w:t>
      </w:r>
    </w:p>
    <w:p>
      <w:pPr>
        <w:spacing w:after="0" w:line="225"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 xml:space="preserve">HOUSTON — October 30, 2003 — </w:t>
      </w:r>
      <w:r>
        <w:rPr>
          <w:rFonts w:ascii="Arial" w:cs="Arial" w:eastAsia="Arial" w:hAnsi="Arial"/>
          <w:sz w:val="16"/>
          <w:szCs w:val="16"/>
          <w:color w:val="auto"/>
        </w:rPr>
        <w:t>Waste Management, Inc. (NYSE: WMI) today announced financial results for its third quarter ended September 30, 2003.</w:t>
      </w:r>
      <w:r>
        <w:rPr>
          <w:rFonts w:ascii="Arial" w:cs="Arial" w:eastAsia="Arial" w:hAnsi="Arial"/>
          <w:sz w:val="16"/>
          <w:szCs w:val="16"/>
          <w:b w:val="1"/>
          <w:bCs w:val="1"/>
          <w:color w:val="auto"/>
        </w:rPr>
        <w:t xml:space="preserve"> </w:t>
      </w:r>
      <w:r>
        <w:rPr>
          <w:rFonts w:ascii="Arial" w:cs="Arial" w:eastAsia="Arial" w:hAnsi="Arial"/>
          <w:sz w:val="16"/>
          <w:szCs w:val="16"/>
          <w:color w:val="auto"/>
        </w:rPr>
        <w:t>Revenues for the quarter were $2.98 billion as compared with $2.90 billion in the year ago period. Net income reported for the quarter was $210 million, or $0.35 per diluted share, compared with net income of $231 million, or $0.38 per diluted share, for the third quarter 2002.</w:t>
      </w:r>
    </w:p>
    <w:p>
      <w:pPr>
        <w:spacing w:after="0" w:line="15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the first quarter of 2003, Waste Management adopted SFAS No. 143 - Accounting for Asset Retirement Obligations, and also changed its accounting for loss contracts and for certain repair and maintenance activities at its waste-to-energy and IPP plants. If the accounting changes implemented during 2003 had been effective in 2002, diluted earnings per share would have been lower than reported amounts by $0.02 for the third quarter of 2002 and $0.06 for the nine months ended September 30, 2002.</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2003, Waste Management reported operating revenues of $8.61 billion as compared with $8.33 billion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comparable period last year. Net income was $447 million and diluted earnings per share was $0.75 for the current year nine-month period, as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$586 million and $0.94, respectively, for the same period in 2002. The 2003 results include the unfavorable impact of cumulative effect of changes in accounting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principles of $46 million, or $0.08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6" w:name="page7"/>
    <w:bookmarkEnd w:id="6"/>
    <w:p>
      <w:pPr>
        <w:spacing w:after="0" w:line="254" w:lineRule="auto"/>
        <w:rPr>
          <w:sz w:val="20"/>
          <w:szCs w:val="20"/>
          <w:color w:val="auto"/>
        </w:rPr>
      </w:pPr>
      <w:r>
        <w:rPr>
          <w:rFonts w:ascii="Arial" w:cs="Arial" w:eastAsia="Arial" w:hAnsi="Arial"/>
          <w:sz w:val="18"/>
          <w:szCs w:val="18"/>
          <w:color w:val="auto"/>
        </w:rPr>
        <w:t>“The Company continued to make progress on many fronts during the third quarter, including pricing, SG&amp;A costs, and our route optimization program,” stated A. Maurice Myers, Chairman, President and Chief Executive Officer of Waste Management. “Revenue growth from base pricing, which excludes our commodity-related changes, was the highest we have seen in several quarters, at 0.8%. This improvement is due, in part, to a reinvigorated price increase program, which will continue into the fourth quarter. SG&amp;A expense as a percent of revenue for the quarter was 10.0%, a 140 basis point reduction from the prior year quarter. Reducing SG&amp;A to this level has been an important long-term goal of ours, and it is rewarding to see our employees’ efforts to reduce costs pay off in such a visible way and earlier than our expectations.</w:t>
      </w:r>
    </w:p>
    <w:p>
      <w:pPr>
        <w:spacing w:after="0" w:line="19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WasteRoute program to optimize our residential and commercial routes continues to move forward at a very encouraging pace. As of early October we are confident that we will achieve our stated 2003 goal of eliminating 750 full routes. The amount of the savings associated with eliminating a route, estimated at about $10,000 per route per month on the average, is slower to be realized than initially anticipated. We continue to believe that we can realize the originally targeted savings over time and are working diligently towards that end,” Myers added.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important highlights for the quarter were reported:</w:t>
      </w:r>
    </w:p>
    <w:p>
      <w:pPr>
        <w:spacing w:after="0" w:line="225" w:lineRule="exact"/>
        <w:rPr>
          <w:sz w:val="20"/>
          <w:szCs w:val="20"/>
          <w:color w:val="auto"/>
        </w:rPr>
      </w:pPr>
    </w:p>
    <w:p>
      <w:pPr>
        <w:ind w:left="820" w:right="140" w:hanging="461"/>
        <w:spacing w:after="0" w:line="268"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$213 million, including the net impact of $325 million related to payment of a class action settlement. Before the class action payment and associated benefits, the operating cash flow for the quarter was $538 million.</w:t>
      </w:r>
    </w:p>
    <w:p>
      <w:pPr>
        <w:spacing w:after="0" w:line="187" w:lineRule="exact"/>
        <w:rPr>
          <w:rFonts w:ascii="Arial" w:cs="Arial" w:eastAsia="Arial" w:hAnsi="Arial"/>
          <w:sz w:val="18"/>
          <w:szCs w:val="18"/>
          <w:color w:val="auto"/>
        </w:rPr>
      </w:pPr>
    </w:p>
    <w:p>
      <w:pPr>
        <w:ind w:left="820" w:right="300" w:hanging="461"/>
        <w:spacing w:after="0" w:line="188" w:lineRule="auto"/>
        <w:tabs>
          <w:tab w:leader="none" w:pos="820" w:val="left"/>
        </w:tabs>
        <w:numPr>
          <w:ilvl w:val="0"/>
          <w:numId w:val="2"/>
        </w:numPr>
        <w:rPr>
          <w:rFonts w:ascii="Arial" w:cs="Arial" w:eastAsia="Arial" w:hAnsi="Arial"/>
          <w:sz w:val="35"/>
          <w:szCs w:val="35"/>
          <w:color w:val="auto"/>
          <w:vertAlign w:val="superscript"/>
        </w:rPr>
      </w:pPr>
      <w:r>
        <w:rPr>
          <w:rFonts w:ascii="Arial" w:cs="Arial" w:eastAsia="Arial" w:hAnsi="Arial"/>
          <w:sz w:val="18"/>
          <w:szCs w:val="18"/>
          <w:color w:val="auto"/>
        </w:rPr>
        <w:t>Free cash flow of negative $74 million.</w:t>
      </w:r>
      <w:r>
        <w:rPr>
          <w:rFonts w:ascii="Arial" w:cs="Arial" w:eastAsia="Arial" w:hAnsi="Arial"/>
          <w:sz w:val="29"/>
          <w:szCs w:val="29"/>
          <w:color w:val="auto"/>
          <w:vertAlign w:val="superscript"/>
        </w:rPr>
        <w:t>(a)</w:t>
      </w:r>
      <w:r>
        <w:rPr>
          <w:rFonts w:ascii="Arial" w:cs="Arial" w:eastAsia="Arial" w:hAnsi="Arial"/>
          <w:sz w:val="18"/>
          <w:szCs w:val="18"/>
          <w:color w:val="auto"/>
        </w:rPr>
        <w:t xml:space="preserve"> Adjusted free cash flow, adding back the net cash costs related to the payment of the class action lawsuit settlement, was $251 million in the quarter, and $791 million year-to-date.</w:t>
      </w:r>
    </w:p>
    <w:p>
      <w:pPr>
        <w:spacing w:after="0" w:line="210" w:lineRule="exact"/>
        <w:rPr>
          <w:rFonts w:ascii="Arial" w:cs="Arial" w:eastAsia="Arial" w:hAnsi="Arial"/>
          <w:sz w:val="35"/>
          <w:szCs w:val="35"/>
          <w:color w:val="auto"/>
          <w:vertAlign w:val="superscript"/>
        </w:rPr>
      </w:pPr>
    </w:p>
    <w:p>
      <w:pPr>
        <w:ind w:left="820" w:right="240" w:hanging="461"/>
        <w:spacing w:after="0" w:line="259"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revenue growth of 0.1%, split 0.8% price on the base business and negative 0.7% volume. The price component excludes the combined net negative impact of 0.2% related to higher fuel surcharges, lower recycling commodity prices, and higher electricity rates at Independent Power Production facilities.</w:t>
      </w:r>
    </w:p>
    <w:p>
      <w:pPr>
        <w:spacing w:after="0" w:line="194" w:lineRule="exact"/>
        <w:rPr>
          <w:rFonts w:ascii="Arial" w:cs="Arial" w:eastAsia="Arial" w:hAnsi="Arial"/>
          <w:sz w:val="18"/>
          <w:szCs w:val="18"/>
          <w:color w:val="auto"/>
        </w:rPr>
      </w:pPr>
    </w:p>
    <w:p>
      <w:pPr>
        <w:ind w:left="820" w:hanging="461"/>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expenditures of $297 million.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stated that it is still comfortable with the analysts’ range of estimates for the full-year, which is currently $1.20 to $1.30 diluted earnings per share according to Reuters. The Company’s guidance for adjusted free cash flow for the year has been $900 million to $1 billion, and at this time it expects a minimum of $950 million for the full year. This expectation is based on full-year projected capital expenditures of approximately $1.2 billion and proceeds from divestitures of businesses, net of cash divested, and other sales of assets of approximately $60 million, and the net cash impact associated with the payment of the class action settlement of approximately $225 million.</w:t>
      </w:r>
    </w:p>
    <w:p>
      <w:pPr>
        <w:spacing w:after="0" w:line="197" w:lineRule="exact"/>
        <w:rPr>
          <w:sz w:val="20"/>
          <w:szCs w:val="20"/>
          <w:color w:val="auto"/>
        </w:rPr>
      </w:pPr>
    </w:p>
    <w:p>
      <w:pPr>
        <w:ind w:left="540" w:right="100" w:hanging="532"/>
        <w:spacing w:after="0" w:line="323" w:lineRule="auto"/>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Company included its free cash flow, which is a non-GAAP financial measure, herein because the amount of cash produced by the Company from non-financing activities that is available for uses such as the Company’s acquisition program, its share repurchase program, its scheduled debt reduction and the payment of dividends is important to the Company’s capital allocation process and its goal of providing returns to its shareholders. The Company believes that this measure, which is used internally by management, is important to its investors. Free cash flow is defined by the Company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7" w:name="page8"/>
    <w:bookmarkEnd w:id="7"/>
    <w:p>
      <w:pPr>
        <w:ind w:left="820" w:hanging="461"/>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Plus, proceeds from divestitures of businesses, net of cash divested, and other sales of assets</w:t>
      </w:r>
    </w:p>
    <w:p>
      <w:pPr>
        <w:spacing w:after="0" w:line="22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The Company’s definition of free cash flow may not be comparable to similarly titled measures presented by other companies.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has scheduled an investor and analyst conference call for later today to discuss the results of today’s earnings announcement. The information in this press release should be read in conjunction with the information on the conference call. The call will begin at 10:00 a.m. eastern time, 9:00 a.m. central time, and is open to the public. To listen to the conference call, which will be broadcast live over the Internet, go to the Waste Management Website at http://www.wm.com, and select “Live Webcast: 3Q03 Earnings Report.” You may also listen to the conference call by telephone by contacting the conference call operator at (877) 710-6139, 5-10 minutes prior to the scheduled start time, and asking for the “Waste Management Conference Call — Call ID 2659101.” For those unable to listen to the live call, a replay will be available 24 hours a day beginning at approximately 1:00 p.m. central time October 30th through 5:00 p.m. on November 13th. To hear a replay of the call over the Internet, access the Waste Management Website at http://www.wm.com. To hear a telephonic replay of the call, dial (800) 642-1687 and enter reservation code 2659101.</w:t>
      </w:r>
    </w:p>
    <w:p>
      <w:pPr>
        <w:spacing w:after="0" w:line="17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Waste Management, Inc. is its industry’s leading provider of comprehensive waste management services. Based in Houston, the Company serves municipal, commercial, industrial, and residential customers throughout North America.</w:t>
      </w:r>
    </w:p>
    <w:p>
      <w:pPr>
        <w:spacing w:after="0" w:line="18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Certain statements contained in this press release include statements that are “forward-looking statements.” Outlined below are some of the risks that the Company faces and that could affect our financial statements for 2003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 forward-looking statements, whether as a result of new information, future events or otherwise. In addition, the Company, from time to time, provides estimates of financial and other data relating to future periods. Such estimates and other information are the Company’s expectations at the point in time of issuance but may change at some future point in time. By issuing such estimates the Company has no obligation, and is not undertaking any obligation, to update such estimates or provide any other information relating to such estimates.</w:t>
      </w:r>
    </w:p>
    <w:p>
      <w:pPr>
        <w:spacing w:after="0" w:line="174" w:lineRule="exact"/>
        <w:rPr>
          <w:sz w:val="20"/>
          <w:szCs w:val="20"/>
          <w:color w:val="auto"/>
        </w:rPr>
      </w:pPr>
    </w:p>
    <w:p>
      <w:pPr>
        <w:ind w:left="820" w:right="240" w:hanging="461"/>
        <w:spacing w:after="0" w:line="26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possible changes in our estimates of site remediation requirements, final capping, closure and post-closure obligations, compliance and regulatory developments;</w:t>
      </w:r>
    </w:p>
    <w:p>
      <w:pPr>
        <w:spacing w:after="0" w:line="185" w:lineRule="exact"/>
        <w:rPr>
          <w:rFonts w:ascii="Arial" w:cs="Arial" w:eastAsia="Arial" w:hAnsi="Arial"/>
          <w:sz w:val="18"/>
          <w:szCs w:val="18"/>
          <w:color w:val="auto"/>
        </w:rPr>
      </w:pPr>
    </w:p>
    <w:p>
      <w:pPr>
        <w:ind w:left="820" w:right="160" w:hanging="461"/>
        <w:spacing w:after="0" w:line="26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185" w:lineRule="exact"/>
        <w:rPr>
          <w:rFonts w:ascii="Arial" w:cs="Arial" w:eastAsia="Arial" w:hAnsi="Arial"/>
          <w:sz w:val="18"/>
          <w:szCs w:val="18"/>
          <w:color w:val="auto"/>
        </w:rPr>
      </w:pPr>
    </w:p>
    <w:p>
      <w:pPr>
        <w:ind w:left="820" w:hanging="46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effect of limitations or bans on disposal or transportation of out-of-state waste or certain categories of waste;</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possible charges against earnings as a result of shut-down operations, uncompleted acquisitions, development or expansion projects or other events;</w:t>
      </w:r>
    </w:p>
    <w:p>
      <w:pPr>
        <w:spacing w:after="0" w:line="259" w:lineRule="exact"/>
        <w:rPr>
          <w:rFonts w:ascii="Arial" w:cs="Arial" w:eastAsia="Arial" w:hAnsi="Arial"/>
          <w:sz w:val="15"/>
          <w:szCs w:val="15"/>
          <w:color w:val="auto"/>
        </w:rPr>
      </w:pPr>
    </w:p>
    <w:p>
      <w:pPr>
        <w:ind w:left="820" w:right="120" w:hanging="461"/>
        <w:spacing w:after="0" w:line="26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effects that trends toward requiring recycling, waste reduction at the source and prohibiting the disposal of certain types of wastes could have on volumes of waste going to landfills and waste-to-energy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8" w:name="page9"/>
    <w:bookmarkEnd w:id="8"/>
    <w:p>
      <w:pPr>
        <w:ind w:left="820" w:hanging="46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effect the weather has on our quarter to quarter results, as well as the effect of extremely harsh weather on our operations;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effect that price fluctuations on commodity prices may have on our operating revenues;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outcome of litigation or threatened litigation;</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effect competition in our industry could have on our profitability ;</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possible diversions of management’s attention and increases in operating expenses due to efforts by labor unions to organize our employees;</w:t>
      </w:r>
    </w:p>
    <w:p>
      <w:pPr>
        <w:spacing w:after="0" w:line="248" w:lineRule="exact"/>
        <w:rPr>
          <w:rFonts w:ascii="Arial" w:cs="Arial" w:eastAsia="Arial" w:hAnsi="Arial"/>
          <w:sz w:val="16"/>
          <w:szCs w:val="16"/>
          <w:color w:val="auto"/>
        </w:rPr>
      </w:pPr>
    </w:p>
    <w:p>
      <w:pPr>
        <w:ind w:left="820" w:hanging="46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possible increases in operating expenses due to fuel price increases or fuel supply shortages;</w:t>
      </w:r>
    </w:p>
    <w:p>
      <w:pPr>
        <w:spacing w:after="0" w:line="225" w:lineRule="exact"/>
        <w:rPr>
          <w:rFonts w:ascii="Arial" w:cs="Arial" w:eastAsia="Arial" w:hAnsi="Arial"/>
          <w:sz w:val="18"/>
          <w:szCs w:val="18"/>
          <w:color w:val="auto"/>
        </w:rPr>
      </w:pPr>
    </w:p>
    <w:p>
      <w:pPr>
        <w:ind w:left="820" w:right="600" w:hanging="461"/>
        <w:spacing w:after="0" w:line="268"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effects of general economic conditions, including the ability of insurers to fully or timely meet their contractual commitments and of surety companies to continue to issue surety bonds;</w:t>
      </w:r>
    </w:p>
    <w:p>
      <w:pPr>
        <w:spacing w:after="0" w:line="185" w:lineRule="exact"/>
        <w:rPr>
          <w:rFonts w:ascii="Arial" w:cs="Arial" w:eastAsia="Arial" w:hAnsi="Arial"/>
          <w:sz w:val="18"/>
          <w:szCs w:val="18"/>
          <w:color w:val="auto"/>
        </w:rPr>
      </w:pPr>
    </w:p>
    <w:p>
      <w:pPr>
        <w:ind w:left="820" w:hanging="461"/>
        <w:spacing w:after="0" w:line="268"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need for additional capital if cash flows are less than we expect or capital expenditures are more than we expect, and the possibility that we cannot obtain additional capital on acceptable terms if needed;</w:t>
      </w:r>
    </w:p>
    <w:p>
      <w:pPr>
        <w:spacing w:after="0" w:line="185" w:lineRule="exact"/>
        <w:rPr>
          <w:rFonts w:ascii="Arial" w:cs="Arial" w:eastAsia="Arial" w:hAnsi="Arial"/>
          <w:sz w:val="18"/>
          <w:szCs w:val="18"/>
          <w:color w:val="auto"/>
        </w:rPr>
      </w:pPr>
    </w:p>
    <w:p>
      <w:pPr>
        <w:ind w:left="820" w:hanging="46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possible errors or problems upon implementation of new information technology systems; and</w:t>
      </w:r>
    </w:p>
    <w:p>
      <w:pPr>
        <w:spacing w:after="0" w:line="225" w:lineRule="exact"/>
        <w:rPr>
          <w:rFonts w:ascii="Arial" w:cs="Arial" w:eastAsia="Arial" w:hAnsi="Arial"/>
          <w:sz w:val="18"/>
          <w:szCs w:val="18"/>
          <w:color w:val="auto"/>
        </w:rPr>
      </w:pPr>
    </w:p>
    <w:p>
      <w:pPr>
        <w:ind w:left="820" w:right="220" w:hanging="461"/>
        <w:spacing w:after="0" w:line="268"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possible fluctuations in quarterly results of operations or adverse impacts on our results of operations as a result of the adoption of new accounting standards or interpretations.</w:t>
      </w:r>
    </w:p>
    <w:p>
      <w:pPr>
        <w:spacing w:after="0" w:line="186"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2002, and in Item 2 of the Company’s Quarterly Report on Form 10-Q for the quarter ended June 30, 2003.</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230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8"/>
              </w:rPr>
              <w:t>Quarters 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2,975</w:t>
            </w:r>
          </w:p>
        </w:tc>
        <w:tc>
          <w:tcPr>
            <w:tcW w:w="2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2,896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85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Operating (exclusive of depreciation and amortization shown below)</w:t>
            </w:r>
          </w:p>
        </w:tc>
        <w:tc>
          <w:tcPr>
            <w:tcW w:w="2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1,920</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1,791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297</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325</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60"/>
              <w:spacing w:after="0"/>
              <w:rPr>
                <w:sz w:val="20"/>
                <w:szCs w:val="20"/>
                <w:color w:val="auto"/>
              </w:rPr>
            </w:pPr>
            <w:r>
              <w:rPr>
                <w:rFonts w:ascii="Arial" w:cs="Arial" w:eastAsia="Arial" w:hAnsi="Arial"/>
                <w:sz w:val="18"/>
                <w:szCs w:val="18"/>
                <w:color w:val="auto"/>
              </w:rPr>
              <w:t>Restructuring</w:t>
            </w:r>
          </w:p>
        </w:tc>
        <w:tc>
          <w:tcPr>
            <w:tcW w:w="2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Asset impairments and unusual items</w:t>
            </w:r>
          </w:p>
        </w:tc>
        <w:tc>
          <w:tcPr>
            <w:tcW w:w="28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2,540</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2,431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435</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85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Interest expense</w:t>
            </w:r>
          </w:p>
        </w:tc>
        <w:tc>
          <w:tcPr>
            <w:tcW w:w="28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9"/>
              </w:rPr>
              <w:t>(110)</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60"/>
              <w:spacing w:after="0"/>
              <w:rPr>
                <w:sz w:val="20"/>
                <w:szCs w:val="20"/>
                <w:color w:val="auto"/>
              </w:rPr>
            </w:pPr>
            <w:r>
              <w:rPr>
                <w:rFonts w:ascii="Arial" w:cs="Arial" w:eastAsia="Arial" w:hAnsi="Arial"/>
                <w:sz w:val="18"/>
                <w:szCs w:val="18"/>
                <w:color w:val="auto"/>
              </w:rPr>
              <w:t>Minority interest</w:t>
            </w:r>
          </w:p>
        </w:tc>
        <w:tc>
          <w:tcPr>
            <w:tcW w:w="2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Interest income and other, net</w:t>
            </w:r>
          </w:p>
        </w:tc>
        <w:tc>
          <w:tcPr>
            <w:tcW w:w="2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(106)</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329</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5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540" w:type="dxa"/>
            <w:vAlign w:val="bottom"/>
            <w:gridSpan w:val="2"/>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gridSpan w:val="2"/>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5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0.36</w:t>
            </w:r>
          </w:p>
        </w:tc>
        <w:tc>
          <w:tcPr>
            <w:tcW w:w="2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52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0.35</w:t>
            </w:r>
          </w:p>
        </w:tc>
        <w:tc>
          <w:tcPr>
            <w:tcW w:w="2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5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540" w:type="dxa"/>
            <w:vAlign w:val="bottom"/>
            <w:gridSpan w:val="2"/>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54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2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589.8</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610.4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52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EEEEEE"/>
          </w:tcPr>
          <w:p>
            <w:pPr>
              <w:spacing w:after="0"/>
              <w:rPr>
                <w:sz w:val="20"/>
                <w:szCs w:val="20"/>
                <w:color w:val="auto"/>
              </w:rPr>
            </w:pPr>
            <w:r>
              <w:rPr>
                <w:rFonts w:ascii="Arial" w:cs="Arial" w:eastAsia="Arial" w:hAnsi="Arial"/>
                <w:sz w:val="18"/>
                <w:szCs w:val="18"/>
                <w:color w:val="auto"/>
              </w:rPr>
              <w:t>Diluted common shares outstanding</w:t>
            </w:r>
          </w:p>
        </w:tc>
        <w:tc>
          <w:tcPr>
            <w:tcW w:w="2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593.8</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613.2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5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540" w:type="dxa"/>
            <w:vAlign w:val="bottom"/>
            <w:gridSpan w:val="2"/>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gridSpan w:val="2"/>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54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52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520" w:type="dxa"/>
            <w:vAlign w:val="bottom"/>
            <w:shd w:val="clear" w:color="auto" w:fill="EEEEEE"/>
          </w:tcPr>
          <w:p>
            <w:pPr>
              <w:spacing w:after="0"/>
              <w:rPr>
                <w:sz w:val="20"/>
                <w:szCs w:val="20"/>
                <w:color w:val="auto"/>
              </w:rPr>
            </w:pPr>
            <w:r>
              <w:rPr>
                <w:rFonts w:ascii="Arial" w:cs="Arial" w:eastAsia="Arial" w:hAnsi="Arial"/>
                <w:sz w:val="18"/>
                <w:szCs w:val="18"/>
                <w:color w:val="auto"/>
              </w:rPr>
              <w:t>Pro forma income and earnings per common share assuming changes in accounting principles are applied</w:t>
            </w:r>
          </w:p>
        </w:tc>
        <w:tc>
          <w:tcPr>
            <w:tcW w:w="2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retroactively:</w:t>
            </w:r>
          </w:p>
        </w:tc>
        <w:tc>
          <w:tcPr>
            <w:tcW w:w="28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56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EEEEEE"/>
          </w:tcPr>
          <w:p>
            <w:pPr>
              <w:ind w:left="56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0.36</w:t>
            </w:r>
          </w:p>
        </w:tc>
        <w:tc>
          <w:tcPr>
            <w:tcW w:w="2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ind w:left="56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Note:</w:t>
            </w:r>
          </w:p>
        </w:tc>
        <w:tc>
          <w:tcPr>
            <w:tcW w:w="10860" w:type="dxa"/>
            <w:vAlign w:val="bottom"/>
          </w:tcPr>
          <w:p>
            <w:pPr>
              <w:ind w:left="160"/>
              <w:spacing w:after="0"/>
              <w:rPr>
                <w:sz w:val="20"/>
                <w:szCs w:val="20"/>
                <w:color w:val="auto"/>
              </w:rPr>
            </w:pPr>
            <w:r>
              <w:rPr>
                <w:rFonts w:ascii="Arial" w:cs="Arial" w:eastAsia="Arial" w:hAnsi="Arial"/>
                <w:sz w:val="18"/>
                <w:szCs w:val="18"/>
                <w:color w:val="auto"/>
                <w:w w:val="90"/>
              </w:rPr>
              <w:t>Effective April 1, 2002, certain costs and expenses that were previously included in selling, general and administrative expenses were reclassified to</w:t>
            </w:r>
          </w:p>
        </w:tc>
      </w:tr>
      <w:tr>
        <w:trPr>
          <w:trHeight w:val="216"/>
        </w:trPr>
        <w:tc>
          <w:tcPr>
            <w:tcW w:w="560" w:type="dxa"/>
            <w:vAlign w:val="bottom"/>
          </w:tcPr>
          <w:p>
            <w:pPr>
              <w:spacing w:after="0"/>
              <w:rPr>
                <w:sz w:val="18"/>
                <w:szCs w:val="18"/>
                <w:color w:val="auto"/>
              </w:rPr>
            </w:pPr>
          </w:p>
        </w:tc>
        <w:tc>
          <w:tcPr>
            <w:tcW w:w="10860" w:type="dxa"/>
            <w:vAlign w:val="bottom"/>
          </w:tcPr>
          <w:p>
            <w:pPr>
              <w:ind w:left="160"/>
              <w:spacing w:after="0"/>
              <w:rPr>
                <w:sz w:val="20"/>
                <w:szCs w:val="20"/>
                <w:color w:val="auto"/>
              </w:rPr>
            </w:pPr>
            <w:r>
              <w:rPr>
                <w:rFonts w:ascii="Arial" w:cs="Arial" w:eastAsia="Arial" w:hAnsi="Arial"/>
                <w:sz w:val="18"/>
                <w:szCs w:val="18"/>
                <w:color w:val="auto"/>
                <w:w w:val="88"/>
              </w:rPr>
              <w:t>operating expenses as a result of the March 2002 reorganization and to conform with the 2003 presentation. For the three months ended September 30,</w:t>
            </w:r>
          </w:p>
        </w:tc>
      </w:tr>
      <w:tr>
        <w:trPr>
          <w:trHeight w:val="222"/>
        </w:trPr>
        <w:tc>
          <w:tcPr>
            <w:tcW w:w="560" w:type="dxa"/>
            <w:vAlign w:val="bottom"/>
          </w:tcPr>
          <w:p>
            <w:pPr>
              <w:spacing w:after="0"/>
              <w:rPr>
                <w:sz w:val="19"/>
                <w:szCs w:val="19"/>
                <w:color w:val="auto"/>
              </w:rPr>
            </w:pPr>
          </w:p>
        </w:tc>
        <w:tc>
          <w:tcPr>
            <w:tcW w:w="10860" w:type="dxa"/>
            <w:vAlign w:val="bottom"/>
          </w:tcPr>
          <w:p>
            <w:pPr>
              <w:ind w:left="160"/>
              <w:spacing w:after="0"/>
              <w:rPr>
                <w:sz w:val="20"/>
                <w:szCs w:val="20"/>
                <w:color w:val="auto"/>
              </w:rPr>
            </w:pPr>
            <w:r>
              <w:rPr>
                <w:rFonts w:ascii="Arial" w:cs="Arial" w:eastAsia="Arial" w:hAnsi="Arial"/>
                <w:sz w:val="18"/>
                <w:szCs w:val="18"/>
                <w:color w:val="auto"/>
              </w:rPr>
              <w:t>2002, $45 million was reclassified.</w:t>
            </w:r>
          </w:p>
        </w:tc>
      </w:tr>
      <w:tr>
        <w:trPr>
          <w:trHeight w:val="432"/>
        </w:trPr>
        <w:tc>
          <w:tcPr>
            <w:tcW w:w="560" w:type="dxa"/>
            <w:vAlign w:val="bottom"/>
          </w:tcPr>
          <w:p>
            <w:pPr>
              <w:spacing w:after="0"/>
              <w:rPr>
                <w:sz w:val="24"/>
                <w:szCs w:val="24"/>
                <w:color w:val="auto"/>
              </w:rPr>
            </w:pPr>
          </w:p>
        </w:tc>
        <w:tc>
          <w:tcPr>
            <w:tcW w:w="10860" w:type="dxa"/>
            <w:vAlign w:val="bottom"/>
          </w:tcPr>
          <w:p>
            <w:pPr>
              <w:jc w:val="right"/>
              <w:ind w:right="5512"/>
              <w:spacing w:after="0"/>
              <w:rPr>
                <w:sz w:val="20"/>
                <w:szCs w:val="20"/>
                <w:color w:val="auto"/>
              </w:rPr>
            </w:pPr>
            <w:r>
              <w:rPr>
                <w:rFonts w:ascii="Arial" w:cs="Arial" w:eastAsia="Arial" w:hAnsi="Arial"/>
                <w:sz w:val="18"/>
                <w:szCs w:val="18"/>
                <w:color w:val="auto"/>
              </w:rPr>
              <w:t>(1)</w:t>
            </w:r>
          </w:p>
        </w:tc>
      </w:tr>
      <w:tr>
        <w:trPr>
          <w:trHeight w:val="228"/>
        </w:trPr>
        <w:tc>
          <w:tcPr>
            <w:tcW w:w="560" w:type="dxa"/>
            <w:vAlign w:val="bottom"/>
            <w:tcBorders>
              <w:bottom w:val="single" w:sz="8" w:color="808080"/>
            </w:tcBorders>
          </w:tcPr>
          <w:p>
            <w:pPr>
              <w:spacing w:after="0"/>
              <w:rPr>
                <w:sz w:val="19"/>
                <w:szCs w:val="19"/>
                <w:color w:val="auto"/>
              </w:rPr>
            </w:pPr>
          </w:p>
        </w:tc>
        <w:tc>
          <w:tcPr>
            <w:tcW w:w="10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6"/>
          </w:tcPr>
          <w:p>
            <w:pPr>
              <w:ind w:left="40"/>
              <w:spacing w:after="0"/>
              <w:rPr>
                <w:sz w:val="20"/>
                <w:szCs w:val="20"/>
                <w:color w:val="auto"/>
              </w:rPr>
            </w:pPr>
            <w:r>
              <w:rPr>
                <w:rFonts w:ascii="Arial" w:cs="Arial" w:eastAsia="Arial" w:hAnsi="Arial"/>
                <w:sz w:val="14"/>
                <w:szCs w:val="14"/>
                <w:b w:val="1"/>
                <w:bCs w:val="1"/>
                <w:color w:val="auto"/>
                <w:w w:val="98"/>
              </w:rPr>
              <w:t>Quarters Ended September 30,</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44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EPS Calculation:</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Diluted net income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14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Shares outstanding</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584.9</w:t>
            </w: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608.7</w:t>
            </w:r>
          </w:p>
        </w:tc>
        <w:tc>
          <w:tcPr>
            <w:tcW w:w="22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Effect of weighting</w:t>
            </w: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Basic common shares outstanding</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589.8</w:t>
            </w: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610.4</w:t>
            </w:r>
          </w:p>
        </w:tc>
        <w:tc>
          <w:tcPr>
            <w:tcW w:w="22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6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Dilutive effect of common stock options, stock warrants and other</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40" w:type="dxa"/>
            <w:vAlign w:val="bottom"/>
          </w:tcPr>
          <w:p>
            <w:pPr>
              <w:spacing w:after="0"/>
              <w:rPr>
                <w:sz w:val="19"/>
                <w:szCs w:val="19"/>
                <w:color w:val="auto"/>
              </w:rPr>
            </w:pPr>
          </w:p>
        </w:tc>
        <w:tc>
          <w:tcPr>
            <w:tcW w:w="62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contingently issuable shares</w:t>
            </w:r>
          </w:p>
        </w:tc>
        <w:tc>
          <w:tcPr>
            <w:tcW w:w="24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EEEEEE"/>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440" w:type="dxa"/>
            <w:vAlign w:val="bottom"/>
          </w:tcPr>
          <w:p>
            <w:pPr>
              <w:spacing w:after="0"/>
              <w:rPr>
                <w:sz w:val="24"/>
                <w:szCs w:val="24"/>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Diluted common shares outstanding</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593.8</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613.2</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4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0.36</w:t>
            </w:r>
          </w:p>
        </w:tc>
        <w:tc>
          <w:tcPr>
            <w:tcW w:w="2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gridSpan w:val="2"/>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1440" w:type="dxa"/>
            <w:vAlign w:val="bottom"/>
          </w:tcPr>
          <w:p>
            <w:pPr>
              <w:spacing w:after="0"/>
              <w:rPr>
                <w:sz w:val="24"/>
                <w:szCs w:val="24"/>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440" w:type="dxa"/>
            <w:vAlign w:val="bottom"/>
          </w:tcPr>
          <w:p>
            <w:pPr>
              <w:spacing w:after="0"/>
              <w:rPr>
                <w:sz w:val="9"/>
                <w:szCs w:val="9"/>
                <w:color w:val="auto"/>
              </w:rPr>
            </w:pPr>
          </w:p>
        </w:tc>
        <w:tc>
          <w:tcPr>
            <w:tcW w:w="6220" w:type="dxa"/>
            <w:vAlign w:val="bottom"/>
            <w:vMerge w:val="restart"/>
          </w:tcPr>
          <w:p>
            <w:pPr>
              <w:ind w:left="41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62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44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6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252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8,606</w:t>
            </w:r>
          </w:p>
        </w:tc>
        <w:tc>
          <w:tcPr>
            <w:tcW w:w="3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8,330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83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Operating (exclusive of depreciation and amortization shown below)</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5,600</w:t>
            </w: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5,088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921</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1,034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952</w:t>
            </w: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6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Asset impairments and unusual items</w:t>
            </w: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7,507</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7,069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1,099</w:t>
            </w: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1,261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83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(329)</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60"/>
              <w:spacing w:after="0"/>
              <w:rPr>
                <w:sz w:val="20"/>
                <w:szCs w:val="20"/>
                <w:color w:val="auto"/>
              </w:rPr>
            </w:pPr>
            <w:r>
              <w:rPr>
                <w:rFonts w:ascii="Arial" w:cs="Arial" w:eastAsia="Arial" w:hAnsi="Arial"/>
                <w:sz w:val="18"/>
                <w:szCs w:val="18"/>
                <w:color w:val="auto"/>
              </w:rPr>
              <w:t>Minority interest</w:t>
            </w:r>
          </w:p>
        </w:tc>
        <w:tc>
          <w:tcPr>
            <w:tcW w:w="3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Interest income and other, net</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(313)</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786</w:t>
            </w: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293</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493</w:t>
            </w: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w w:val="91"/>
              </w:rPr>
              <w:t>Cumulative effect of changes in accounting principles, net of income tax benefit of $31 in 2003 and expense of $0</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ind w:left="120"/>
              <w:spacing w:after="0"/>
              <w:rPr>
                <w:sz w:val="20"/>
                <w:szCs w:val="20"/>
                <w:color w:val="auto"/>
              </w:rPr>
            </w:pPr>
            <w:r>
              <w:rPr>
                <w:rFonts w:ascii="Arial" w:cs="Arial" w:eastAsia="Arial" w:hAnsi="Arial"/>
                <w:sz w:val="18"/>
                <w:szCs w:val="18"/>
                <w:color w:val="auto"/>
              </w:rPr>
              <w:t>in 2002</w:t>
            </w:r>
          </w:p>
        </w:tc>
        <w:tc>
          <w:tcPr>
            <w:tcW w:w="32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447</w:t>
            </w:r>
          </w:p>
        </w:tc>
        <w:tc>
          <w:tcPr>
            <w:tcW w:w="3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3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83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0.84</w:t>
            </w:r>
          </w:p>
        </w:tc>
        <w:tc>
          <w:tcPr>
            <w:tcW w:w="3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0.95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ind w:left="260"/>
              <w:spacing w:after="0"/>
              <w:rPr>
                <w:sz w:val="20"/>
                <w:szCs w:val="20"/>
                <w:color w:val="auto"/>
              </w:rPr>
            </w:pPr>
            <w:r>
              <w:rPr>
                <w:rFonts w:ascii="Arial" w:cs="Arial" w:eastAsia="Arial" w:hAnsi="Arial"/>
                <w:sz w:val="18"/>
                <w:szCs w:val="18"/>
                <w:color w:val="auto"/>
              </w:rPr>
              <w:t>Cumulative effect of changes in accounting principles</w:t>
            </w:r>
          </w:p>
        </w:tc>
        <w:tc>
          <w:tcPr>
            <w:tcW w:w="32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(0.08)</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0.76</w:t>
            </w:r>
          </w:p>
        </w:tc>
        <w:tc>
          <w:tcPr>
            <w:tcW w:w="3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0.95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3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83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0.83</w:t>
            </w:r>
          </w:p>
        </w:tc>
        <w:tc>
          <w:tcPr>
            <w:tcW w:w="3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0.94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ind w:left="260"/>
              <w:spacing w:after="0"/>
              <w:rPr>
                <w:sz w:val="20"/>
                <w:szCs w:val="20"/>
                <w:color w:val="auto"/>
              </w:rPr>
            </w:pPr>
            <w:r>
              <w:rPr>
                <w:rFonts w:ascii="Arial" w:cs="Arial" w:eastAsia="Arial" w:hAnsi="Arial"/>
                <w:sz w:val="18"/>
                <w:szCs w:val="18"/>
                <w:color w:val="auto"/>
              </w:rPr>
              <w:t>Cumulative effect of changes in accounting principles</w:t>
            </w:r>
          </w:p>
        </w:tc>
        <w:tc>
          <w:tcPr>
            <w:tcW w:w="32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(0.08)</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0.75</w:t>
            </w:r>
          </w:p>
        </w:tc>
        <w:tc>
          <w:tcPr>
            <w:tcW w:w="3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0.94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32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32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32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3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591.7</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617.1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EEEEEE"/>
          </w:tcPr>
          <w:p>
            <w:pPr>
              <w:spacing w:after="0"/>
              <w:rPr>
                <w:sz w:val="20"/>
                <w:szCs w:val="20"/>
                <w:color w:val="auto"/>
              </w:rPr>
            </w:pPr>
            <w:r>
              <w:rPr>
                <w:rFonts w:ascii="Arial" w:cs="Arial" w:eastAsia="Arial" w:hAnsi="Arial"/>
                <w:sz w:val="18"/>
                <w:szCs w:val="18"/>
                <w:color w:val="auto"/>
              </w:rPr>
              <w:t>Diluted common shares outstanding</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594.6</w:t>
            </w: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621.9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32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32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gridSpan w:val="2"/>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32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300" w:type="dxa"/>
            <w:vAlign w:val="bottom"/>
            <w:shd w:val="clear" w:color="auto" w:fill="EEEEEE"/>
          </w:tcPr>
          <w:p>
            <w:pPr>
              <w:spacing w:after="0"/>
              <w:rPr>
                <w:sz w:val="20"/>
                <w:szCs w:val="20"/>
                <w:color w:val="auto"/>
              </w:rPr>
            </w:pPr>
            <w:r>
              <w:rPr>
                <w:rFonts w:ascii="Arial" w:cs="Arial" w:eastAsia="Arial" w:hAnsi="Arial"/>
                <w:sz w:val="18"/>
                <w:szCs w:val="18"/>
                <w:color w:val="auto"/>
                <w:w w:val="97"/>
              </w:rPr>
              <w:t>Pro forma income and earnings per common share assuming changes in accounting principles are applied</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retroactively:</w:t>
            </w:r>
          </w:p>
        </w:tc>
        <w:tc>
          <w:tcPr>
            <w:tcW w:w="3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54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493</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547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Basic earnings per common share before cumulative effect of changes in accounting principles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0.84</w:t>
            </w:r>
          </w:p>
        </w:tc>
        <w:tc>
          <w:tcPr>
            <w:tcW w:w="3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ind w:left="540"/>
              <w:spacing w:after="0"/>
              <w:rPr>
                <w:sz w:val="20"/>
                <w:szCs w:val="20"/>
                <w:color w:val="auto"/>
              </w:rPr>
            </w:pPr>
            <w:r>
              <w:rPr>
                <w:rFonts w:ascii="Arial" w:cs="Arial" w:eastAsia="Arial" w:hAnsi="Arial"/>
                <w:sz w:val="18"/>
                <w:szCs w:val="18"/>
                <w:color w:val="auto"/>
              </w:rPr>
              <w:t>Diluted earnings per common share before cumulative effect of changes in accounting principles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0.83</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Note:</w:t>
            </w:r>
          </w:p>
        </w:tc>
        <w:tc>
          <w:tcPr>
            <w:tcW w:w="10860" w:type="dxa"/>
            <w:vAlign w:val="bottom"/>
          </w:tcPr>
          <w:p>
            <w:pPr>
              <w:ind w:left="160"/>
              <w:spacing w:after="0"/>
              <w:rPr>
                <w:sz w:val="20"/>
                <w:szCs w:val="20"/>
                <w:color w:val="auto"/>
              </w:rPr>
            </w:pPr>
            <w:r>
              <w:rPr>
                <w:rFonts w:ascii="Arial" w:cs="Arial" w:eastAsia="Arial" w:hAnsi="Arial"/>
                <w:sz w:val="18"/>
                <w:szCs w:val="18"/>
                <w:color w:val="auto"/>
                <w:w w:val="90"/>
              </w:rPr>
              <w:t>Effective April 1, 2002, certain costs and expenses that were previously included in selling, general and administrative expenses were reclassified to</w:t>
            </w:r>
          </w:p>
        </w:tc>
      </w:tr>
      <w:tr>
        <w:trPr>
          <w:trHeight w:val="216"/>
        </w:trPr>
        <w:tc>
          <w:tcPr>
            <w:tcW w:w="560" w:type="dxa"/>
            <w:vAlign w:val="bottom"/>
          </w:tcPr>
          <w:p>
            <w:pPr>
              <w:spacing w:after="0"/>
              <w:rPr>
                <w:sz w:val="18"/>
                <w:szCs w:val="18"/>
                <w:color w:val="auto"/>
              </w:rPr>
            </w:pPr>
          </w:p>
        </w:tc>
        <w:tc>
          <w:tcPr>
            <w:tcW w:w="10860" w:type="dxa"/>
            <w:vAlign w:val="bottom"/>
          </w:tcPr>
          <w:p>
            <w:pPr>
              <w:ind w:left="160"/>
              <w:spacing w:after="0"/>
              <w:rPr>
                <w:sz w:val="20"/>
                <w:szCs w:val="20"/>
                <w:color w:val="auto"/>
              </w:rPr>
            </w:pPr>
            <w:r>
              <w:rPr>
                <w:rFonts w:ascii="Arial" w:cs="Arial" w:eastAsia="Arial" w:hAnsi="Arial"/>
                <w:sz w:val="18"/>
                <w:szCs w:val="18"/>
                <w:color w:val="auto"/>
                <w:w w:val="88"/>
              </w:rPr>
              <w:t>operating expenses as a result of the March 2002 reorganization and to conform with the 2003 presentation. For the nine months ended September 30,</w:t>
            </w:r>
          </w:p>
        </w:tc>
      </w:tr>
      <w:tr>
        <w:trPr>
          <w:trHeight w:val="222"/>
        </w:trPr>
        <w:tc>
          <w:tcPr>
            <w:tcW w:w="560" w:type="dxa"/>
            <w:vAlign w:val="bottom"/>
          </w:tcPr>
          <w:p>
            <w:pPr>
              <w:spacing w:after="0"/>
              <w:rPr>
                <w:sz w:val="19"/>
                <w:szCs w:val="19"/>
                <w:color w:val="auto"/>
              </w:rPr>
            </w:pPr>
          </w:p>
        </w:tc>
        <w:tc>
          <w:tcPr>
            <w:tcW w:w="10860" w:type="dxa"/>
            <w:vAlign w:val="bottom"/>
          </w:tcPr>
          <w:p>
            <w:pPr>
              <w:ind w:left="160"/>
              <w:spacing w:after="0"/>
              <w:rPr>
                <w:sz w:val="20"/>
                <w:szCs w:val="20"/>
                <w:color w:val="auto"/>
              </w:rPr>
            </w:pPr>
            <w:r>
              <w:rPr>
                <w:rFonts w:ascii="Arial" w:cs="Arial" w:eastAsia="Arial" w:hAnsi="Arial"/>
                <w:sz w:val="18"/>
                <w:szCs w:val="18"/>
                <w:color w:val="auto"/>
              </w:rPr>
              <w:t>2002, $88 million related to the second and third quarters of 2002 was reclassified.</w:t>
            </w:r>
          </w:p>
        </w:tc>
      </w:tr>
      <w:tr>
        <w:trPr>
          <w:trHeight w:val="432"/>
        </w:trPr>
        <w:tc>
          <w:tcPr>
            <w:tcW w:w="560" w:type="dxa"/>
            <w:vAlign w:val="bottom"/>
          </w:tcPr>
          <w:p>
            <w:pPr>
              <w:spacing w:after="0"/>
              <w:rPr>
                <w:sz w:val="24"/>
                <w:szCs w:val="24"/>
                <w:color w:val="auto"/>
              </w:rPr>
            </w:pPr>
          </w:p>
        </w:tc>
        <w:tc>
          <w:tcPr>
            <w:tcW w:w="10860" w:type="dxa"/>
            <w:vAlign w:val="bottom"/>
          </w:tcPr>
          <w:p>
            <w:pPr>
              <w:jc w:val="right"/>
              <w:ind w:right="5512"/>
              <w:spacing w:after="0"/>
              <w:rPr>
                <w:sz w:val="20"/>
                <w:szCs w:val="20"/>
                <w:color w:val="auto"/>
              </w:rPr>
            </w:pPr>
            <w:r>
              <w:rPr>
                <w:rFonts w:ascii="Arial" w:cs="Arial" w:eastAsia="Arial" w:hAnsi="Arial"/>
                <w:sz w:val="18"/>
                <w:szCs w:val="18"/>
                <w:color w:val="auto"/>
              </w:rPr>
              <w:t>(3)</w:t>
            </w:r>
          </w:p>
        </w:tc>
      </w:tr>
      <w:tr>
        <w:trPr>
          <w:trHeight w:val="228"/>
        </w:trPr>
        <w:tc>
          <w:tcPr>
            <w:tcW w:w="560" w:type="dxa"/>
            <w:vAlign w:val="bottom"/>
            <w:tcBorders>
              <w:bottom w:val="single" w:sz="8" w:color="808080"/>
            </w:tcBorders>
          </w:tcPr>
          <w:p>
            <w:pPr>
              <w:spacing w:after="0"/>
              <w:rPr>
                <w:sz w:val="19"/>
                <w:szCs w:val="19"/>
                <w:color w:val="auto"/>
              </w:rPr>
            </w:pPr>
          </w:p>
        </w:tc>
        <w:tc>
          <w:tcPr>
            <w:tcW w:w="10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2500" w:type="dxa"/>
            <w:vAlign w:val="bottom"/>
            <w:gridSpan w:val="7"/>
          </w:tcPr>
          <w:p>
            <w:pPr>
              <w:ind w:left="240"/>
              <w:spacing w:after="0"/>
              <w:rPr>
                <w:sz w:val="20"/>
                <w:szCs w:val="20"/>
                <w:color w:val="auto"/>
              </w:rPr>
            </w:pPr>
            <w:r>
              <w:rPr>
                <w:rFonts w:ascii="Arial" w:cs="Arial" w:eastAsia="Arial" w:hAnsi="Arial"/>
                <w:sz w:val="14"/>
                <w:szCs w:val="14"/>
                <w:b w:val="1"/>
                <w:bCs w:val="1"/>
                <w:color w:val="auto"/>
                <w:w w:val="97"/>
              </w:rPr>
              <w:t>Nine Months Ended September 30,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8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EPS Calculation:</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493</w:t>
            </w:r>
          </w:p>
        </w:tc>
        <w:tc>
          <w:tcPr>
            <w:tcW w:w="4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584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340" w:type="dxa"/>
            <w:vAlign w:val="bottom"/>
            <w:shd w:val="clear" w:color="auto" w:fill="EEEEEE"/>
          </w:tcPr>
          <w:p>
            <w:pPr>
              <w:spacing w:after="0"/>
              <w:rPr>
                <w:sz w:val="20"/>
                <w:szCs w:val="20"/>
                <w:color w:val="auto"/>
              </w:rPr>
            </w:pPr>
            <w:r>
              <w:rPr>
                <w:rFonts w:ascii="Arial" w:cs="Arial" w:eastAsia="Arial" w:hAnsi="Arial"/>
                <w:sz w:val="18"/>
                <w:szCs w:val="18"/>
                <w:color w:val="auto"/>
              </w:rPr>
              <w:t>Adjustments:</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8340" w:type="dxa"/>
            <w:vAlign w:val="bottom"/>
          </w:tcPr>
          <w:p>
            <w:pPr>
              <w:ind w:left="280"/>
              <w:spacing w:after="0"/>
              <w:rPr>
                <w:sz w:val="20"/>
                <w:szCs w:val="20"/>
                <w:color w:val="auto"/>
              </w:rPr>
            </w:pPr>
            <w:r>
              <w:rPr>
                <w:rFonts w:ascii="Arial" w:cs="Arial" w:eastAsia="Arial" w:hAnsi="Arial"/>
                <w:sz w:val="18"/>
                <w:szCs w:val="18"/>
                <w:color w:val="auto"/>
              </w:rPr>
              <w:t>Interest on convertible securities, net of income taxes</w:t>
            </w:r>
          </w:p>
        </w:tc>
        <w:tc>
          <w:tcPr>
            <w:tcW w:w="300" w:type="dxa"/>
            <w:vAlign w:val="bottom"/>
          </w:tcPr>
          <w:p>
            <w:pPr>
              <w:spacing w:after="0"/>
              <w:rPr>
                <w:sz w:val="19"/>
                <w:szCs w:val="19"/>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340" w:type="dxa"/>
            <w:vAlign w:val="bottom"/>
            <w:shd w:val="clear" w:color="auto" w:fill="EEEEEE"/>
          </w:tcPr>
          <w:p>
            <w:pPr>
              <w:spacing w:after="0"/>
              <w:rPr>
                <w:sz w:val="20"/>
                <w:szCs w:val="20"/>
                <w:color w:val="auto"/>
              </w:rPr>
            </w:pPr>
            <w:r>
              <w:rPr>
                <w:rFonts w:ascii="Arial" w:cs="Arial" w:eastAsia="Arial" w:hAnsi="Arial"/>
                <w:sz w:val="18"/>
                <w:szCs w:val="18"/>
                <w:color w:val="auto"/>
              </w:rPr>
              <w:t>Diluted income before cumulative effect of changes in accounting principles</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493</w:t>
            </w:r>
          </w:p>
        </w:tc>
        <w:tc>
          <w:tcPr>
            <w:tcW w:w="4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585</w:t>
            </w:r>
          </w:p>
        </w:tc>
        <w:tc>
          <w:tcPr>
            <w:tcW w:w="3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Cumulative effect of changes in accounting principles</w:t>
            </w:r>
          </w:p>
        </w:tc>
        <w:tc>
          <w:tcPr>
            <w:tcW w:w="30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340" w:type="dxa"/>
            <w:vAlign w:val="bottom"/>
            <w:shd w:val="clear" w:color="auto" w:fill="EEEEEE"/>
          </w:tcPr>
          <w:p>
            <w:pPr>
              <w:spacing w:after="0"/>
              <w:rPr>
                <w:sz w:val="20"/>
                <w:szCs w:val="20"/>
                <w:color w:val="auto"/>
              </w:rPr>
            </w:pPr>
            <w:r>
              <w:rPr>
                <w:rFonts w:ascii="Arial" w:cs="Arial" w:eastAsia="Arial" w:hAnsi="Arial"/>
                <w:sz w:val="18"/>
                <w:szCs w:val="18"/>
                <w:color w:val="auto"/>
              </w:rPr>
              <w:t>Diluted net income</w:t>
            </w:r>
          </w:p>
        </w:tc>
        <w:tc>
          <w:tcPr>
            <w:tcW w:w="300" w:type="dxa"/>
            <w:vAlign w:val="bottom"/>
            <w:shd w:val="clear" w:color="auto" w:fill="EEEEEE"/>
          </w:tcPr>
          <w:p>
            <w:pPr>
              <w:ind w:left="22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447</w:t>
            </w:r>
          </w:p>
        </w:tc>
        <w:tc>
          <w:tcPr>
            <w:tcW w:w="4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587</w:t>
            </w:r>
          </w:p>
        </w:tc>
        <w:tc>
          <w:tcPr>
            <w:tcW w:w="3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6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64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640" w:type="dxa"/>
            <w:vAlign w:val="bottom"/>
            <w:gridSpan w:val="2"/>
          </w:tcPr>
          <w:p>
            <w:pPr>
              <w:ind w:left="300"/>
              <w:spacing w:after="0"/>
              <w:rPr>
                <w:sz w:val="20"/>
                <w:szCs w:val="20"/>
                <w:color w:val="auto"/>
              </w:rPr>
            </w:pPr>
            <w:r>
              <w:rPr>
                <w:rFonts w:ascii="Arial" w:cs="Arial" w:eastAsia="Arial" w:hAnsi="Arial"/>
                <w:sz w:val="18"/>
                <w:szCs w:val="18"/>
                <w:color w:val="auto"/>
              </w:rPr>
              <w:t>Shares outstanding</w:t>
            </w: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584.9</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608.7</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340" w:type="dxa"/>
            <w:vAlign w:val="bottom"/>
            <w:shd w:val="clear" w:color="auto" w:fill="EEEEEE"/>
          </w:tcPr>
          <w:p>
            <w:pPr>
              <w:spacing w:after="0"/>
              <w:rPr>
                <w:sz w:val="20"/>
                <w:szCs w:val="20"/>
                <w:color w:val="auto"/>
              </w:rPr>
            </w:pPr>
            <w:r>
              <w:rPr>
                <w:rFonts w:ascii="Arial" w:cs="Arial" w:eastAsia="Arial" w:hAnsi="Arial"/>
                <w:sz w:val="18"/>
                <w:szCs w:val="18"/>
                <w:color w:val="auto"/>
              </w:rPr>
              <w:t>Effect of weighting</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w:t>
            </w:r>
          </w:p>
        </w:tc>
        <w:tc>
          <w:tcPr>
            <w:tcW w:w="4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3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640" w:type="dxa"/>
            <w:vAlign w:val="bottom"/>
            <w:gridSpan w:val="2"/>
          </w:tcPr>
          <w:p>
            <w:pPr>
              <w:ind w:left="300"/>
              <w:spacing w:after="0"/>
              <w:rPr>
                <w:sz w:val="20"/>
                <w:szCs w:val="20"/>
                <w:color w:val="auto"/>
              </w:rPr>
            </w:pPr>
            <w:r>
              <w:rPr>
                <w:rFonts w:ascii="Arial" w:cs="Arial" w:eastAsia="Arial" w:hAnsi="Arial"/>
                <w:sz w:val="18"/>
                <w:szCs w:val="18"/>
                <w:color w:val="auto"/>
              </w:rPr>
              <w:t>Basic common shares outstanding</w:t>
            </w: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591.7</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617.1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340" w:type="dxa"/>
            <w:vAlign w:val="bottom"/>
            <w:shd w:val="clear" w:color="auto" w:fill="EEEEEE"/>
          </w:tcPr>
          <w:p>
            <w:pPr>
              <w:spacing w:after="0"/>
              <w:rPr>
                <w:sz w:val="20"/>
                <w:szCs w:val="20"/>
                <w:color w:val="auto"/>
              </w:rPr>
            </w:pPr>
            <w:r>
              <w:rPr>
                <w:rFonts w:ascii="Arial" w:cs="Arial" w:eastAsia="Arial" w:hAnsi="Arial"/>
                <w:sz w:val="18"/>
                <w:szCs w:val="18"/>
                <w:color w:val="auto"/>
              </w:rPr>
              <w:t>Adjustments:</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340" w:type="dxa"/>
            <w:vAlign w:val="bottom"/>
          </w:tcPr>
          <w:p>
            <w:pPr>
              <w:ind w:left="280"/>
              <w:spacing w:after="0"/>
              <w:rPr>
                <w:sz w:val="20"/>
                <w:szCs w:val="20"/>
                <w:color w:val="auto"/>
              </w:rPr>
            </w:pPr>
            <w:r>
              <w:rPr>
                <w:rFonts w:ascii="Arial" w:cs="Arial" w:eastAsia="Arial" w:hAnsi="Arial"/>
                <w:sz w:val="18"/>
                <w:szCs w:val="18"/>
                <w:color w:val="auto"/>
              </w:rPr>
              <w:t>Dilutive effect of common stock options, stock warrants and other contingently issuable shares</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3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Dilutive effect of convertible subordinated notes</w:t>
            </w:r>
          </w:p>
        </w:tc>
        <w:tc>
          <w:tcPr>
            <w:tcW w:w="3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640" w:type="dxa"/>
            <w:vAlign w:val="bottom"/>
            <w:gridSpan w:val="2"/>
          </w:tcPr>
          <w:p>
            <w:pPr>
              <w:ind w:left="300"/>
              <w:spacing w:after="0"/>
              <w:rPr>
                <w:sz w:val="20"/>
                <w:szCs w:val="20"/>
                <w:color w:val="auto"/>
              </w:rPr>
            </w:pPr>
            <w:r>
              <w:rPr>
                <w:rFonts w:ascii="Arial" w:cs="Arial" w:eastAsia="Arial" w:hAnsi="Arial"/>
                <w:sz w:val="18"/>
                <w:szCs w:val="18"/>
                <w:color w:val="auto"/>
              </w:rPr>
              <w:t>Diluted common shares outstanding</w:t>
            </w: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594.6</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621.9</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00" w:type="dxa"/>
            <w:vAlign w:val="bottom"/>
          </w:tcPr>
          <w:p>
            <w:pPr>
              <w:spacing w:after="0"/>
              <w:rPr>
                <w:sz w:val="9"/>
                <w:szCs w:val="9"/>
                <w:color w:val="auto"/>
              </w:rPr>
            </w:pPr>
          </w:p>
        </w:tc>
        <w:tc>
          <w:tcPr>
            <w:tcW w:w="8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8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0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340" w:type="dxa"/>
            <w:vAlign w:val="bottom"/>
            <w:shd w:val="clear" w:color="auto" w:fill="EEEEEE"/>
          </w:tcPr>
          <w:p>
            <w:pPr>
              <w:spacing w:after="0"/>
              <w:rPr>
                <w:sz w:val="20"/>
                <w:szCs w:val="20"/>
                <w:color w:val="auto"/>
              </w:rPr>
            </w:pPr>
            <w:r>
              <w:rPr>
                <w:rFonts w:ascii="Arial" w:cs="Arial" w:eastAsia="Arial" w:hAnsi="Arial"/>
                <w:sz w:val="18"/>
                <w:szCs w:val="18"/>
                <w:color w:val="auto"/>
              </w:rPr>
              <w:t>Basic earnings per common share:</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340" w:type="dxa"/>
            <w:vAlign w:val="bottom"/>
          </w:tcPr>
          <w:p>
            <w:pPr>
              <w:ind w:left="28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0.84</w:t>
            </w:r>
          </w:p>
        </w:tc>
        <w:tc>
          <w:tcPr>
            <w:tcW w:w="4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0.95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3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Cumulative effect of changes in accounting principles</w:t>
            </w:r>
          </w:p>
        </w:tc>
        <w:tc>
          <w:tcPr>
            <w:tcW w:w="3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93"/>
              </w:rPr>
              <w:t>(0.08)</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8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00" w:type="dxa"/>
            <w:vAlign w:val="bottom"/>
          </w:tcPr>
          <w:p>
            <w:pPr>
              <w:spacing w:after="0"/>
              <w:rPr>
                <w:sz w:val="24"/>
                <w:szCs w:val="24"/>
                <w:color w:val="auto"/>
              </w:rPr>
            </w:pPr>
          </w:p>
        </w:tc>
        <w:tc>
          <w:tcPr>
            <w:tcW w:w="83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0.76</w:t>
            </w:r>
          </w:p>
        </w:tc>
        <w:tc>
          <w:tcPr>
            <w:tcW w:w="4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0.95</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00" w:type="dxa"/>
            <w:vAlign w:val="bottom"/>
          </w:tcPr>
          <w:p>
            <w:pPr>
              <w:spacing w:after="0"/>
              <w:rPr>
                <w:sz w:val="9"/>
                <w:szCs w:val="9"/>
                <w:color w:val="auto"/>
              </w:rPr>
            </w:pPr>
          </w:p>
        </w:tc>
        <w:tc>
          <w:tcPr>
            <w:tcW w:w="8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8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0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34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340" w:type="dxa"/>
            <w:vAlign w:val="bottom"/>
          </w:tcPr>
          <w:p>
            <w:pPr>
              <w:ind w:left="28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0.83</w:t>
            </w:r>
          </w:p>
        </w:tc>
        <w:tc>
          <w:tcPr>
            <w:tcW w:w="4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0.94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3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Cumulative effect of changes in accounting principles</w:t>
            </w:r>
          </w:p>
        </w:tc>
        <w:tc>
          <w:tcPr>
            <w:tcW w:w="3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93"/>
              </w:rPr>
              <w:t>(0.08)</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8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00" w:type="dxa"/>
            <w:vAlign w:val="bottom"/>
          </w:tcPr>
          <w:p>
            <w:pPr>
              <w:spacing w:after="0"/>
              <w:rPr>
                <w:sz w:val="24"/>
                <w:szCs w:val="24"/>
                <w:color w:val="auto"/>
              </w:rPr>
            </w:pPr>
          </w:p>
        </w:tc>
        <w:tc>
          <w:tcPr>
            <w:tcW w:w="83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0.75</w:t>
            </w:r>
          </w:p>
        </w:tc>
        <w:tc>
          <w:tcPr>
            <w:tcW w:w="4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0.94</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640" w:type="dxa"/>
            <w:vAlign w:val="bottom"/>
            <w:gridSpan w:val="2"/>
            <w:vMerge w:val="restart"/>
          </w:tcPr>
          <w:p>
            <w:pPr>
              <w:jc w:val="right"/>
              <w:ind w:right="2732"/>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6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86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 w:type="dxa"/>
            <w:vAlign w:val="bottom"/>
            <w:tcBorders>
              <w:bottom w:val="single" w:sz="8" w:color="808080"/>
            </w:tcBorders>
          </w:tcPr>
          <w:p>
            <w:pPr>
              <w:spacing w:after="0"/>
              <w:rPr>
                <w:sz w:val="19"/>
                <w:szCs w:val="19"/>
                <w:color w:val="auto"/>
              </w:rPr>
            </w:pPr>
          </w:p>
        </w:tc>
        <w:tc>
          <w:tcPr>
            <w:tcW w:w="8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00" w:type="dxa"/>
            <w:vAlign w:val="bottom"/>
          </w:tcPr>
          <w:p>
            <w:pPr>
              <w:spacing w:after="0"/>
              <w:rPr>
                <w:sz w:val="14"/>
                <w:szCs w:val="14"/>
                <w:color w:val="auto"/>
              </w:rPr>
            </w:pPr>
          </w:p>
        </w:tc>
        <w:tc>
          <w:tcPr>
            <w:tcW w:w="118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0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8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523</w:t>
            </w:r>
          </w:p>
        </w:tc>
        <w:tc>
          <w:tcPr>
            <w:tcW w:w="36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ind w:left="520"/>
              <w:spacing w:after="0"/>
              <w:rPr>
                <w:sz w:val="20"/>
                <w:szCs w:val="20"/>
                <w:color w:val="auto"/>
              </w:rPr>
            </w:pPr>
            <w:r>
              <w:rPr>
                <w:rFonts w:ascii="Arial" w:cs="Arial" w:eastAsia="Arial" w:hAnsi="Arial"/>
                <w:sz w:val="15"/>
                <w:szCs w:val="15"/>
                <w:color w:val="auto"/>
                <w:w w:val="71"/>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264</w:t>
            </w:r>
          </w:p>
        </w:tc>
        <w:tc>
          <w:tcPr>
            <w:tcW w:w="3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1,649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1,644</w:t>
            </w: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8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Other</w:t>
            </w: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654</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792</w:t>
            </w:r>
          </w:p>
        </w:tc>
        <w:tc>
          <w:tcPr>
            <w:tcW w:w="3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00" w:type="dxa"/>
            <w:vAlign w:val="bottom"/>
          </w:tcPr>
          <w:p>
            <w:pPr>
              <w:spacing w:after="0"/>
              <w:rPr>
                <w:sz w:val="24"/>
                <w:szCs w:val="24"/>
                <w:color w:val="auto"/>
              </w:rPr>
            </w:pPr>
          </w:p>
        </w:tc>
        <w:tc>
          <w:tcPr>
            <w:tcW w:w="4840" w:type="dxa"/>
            <w:vAlign w:val="bottom"/>
          </w:tcPr>
          <w:p>
            <w:pPr>
              <w:ind w:left="58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2,826</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2,700</w:t>
            </w: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00" w:type="dxa"/>
            <w:vAlign w:val="bottom"/>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10,796</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10,612</w:t>
            </w:r>
          </w:p>
        </w:tc>
        <w:tc>
          <w:tcPr>
            <w:tcW w:w="3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5,224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5,079</w:t>
            </w: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Other intangible assets, net</w:t>
            </w: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155</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105</w:t>
            </w:r>
          </w:p>
        </w:tc>
        <w:tc>
          <w:tcPr>
            <w:tcW w:w="3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1,185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1,135</w:t>
            </w: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8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Total assets</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20,186</w:t>
            </w:r>
          </w:p>
        </w:tc>
        <w:tc>
          <w:tcPr>
            <w:tcW w:w="36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ind w:left="520"/>
              <w:spacing w:after="0"/>
              <w:rPr>
                <w:sz w:val="20"/>
                <w:szCs w:val="20"/>
                <w:color w:val="auto"/>
              </w:rPr>
            </w:pPr>
            <w:r>
              <w:rPr>
                <w:rFonts w:ascii="Arial" w:cs="Arial" w:eastAsia="Arial" w:hAnsi="Arial"/>
                <w:sz w:val="15"/>
                <w:szCs w:val="15"/>
                <w:color w:val="auto"/>
                <w:w w:val="71"/>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19,631</w:t>
            </w:r>
          </w:p>
        </w:tc>
        <w:tc>
          <w:tcPr>
            <w:tcW w:w="3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840" w:type="dxa"/>
            <w:vAlign w:val="bottom"/>
            <w:gridSpan w:val="2"/>
            <w:vMerge w:val="restart"/>
          </w:tcPr>
          <w:p>
            <w:pPr>
              <w:ind w:left="200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840" w:type="dxa"/>
            <w:vAlign w:val="bottom"/>
            <w:gridSpan w:val="2"/>
            <w:vMerge w:val="continue"/>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8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00" w:type="dxa"/>
            <w:vAlign w:val="bottom"/>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w w:val="94"/>
              </w:rPr>
              <w:t>Accounts payable, accrued liabilities, and deferred revenues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2,556</w:t>
            </w:r>
          </w:p>
        </w:tc>
        <w:tc>
          <w:tcPr>
            <w:tcW w:w="360" w:type="dxa"/>
            <w:vAlign w:val="bottom"/>
          </w:tcPr>
          <w:p>
            <w:pPr>
              <w:spacing w:after="0"/>
              <w:rPr>
                <w:sz w:val="18"/>
                <w:szCs w:val="18"/>
                <w:color w:val="auto"/>
              </w:rPr>
            </w:pPr>
          </w:p>
        </w:tc>
        <w:tc>
          <w:tcPr>
            <w:tcW w:w="62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2,942</w:t>
            </w: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8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558</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231</w:t>
            </w:r>
          </w:p>
        </w:tc>
        <w:tc>
          <w:tcPr>
            <w:tcW w:w="3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00" w:type="dxa"/>
            <w:vAlign w:val="bottom"/>
          </w:tcPr>
          <w:p>
            <w:pPr>
              <w:spacing w:after="0"/>
              <w:rPr>
                <w:sz w:val="24"/>
                <w:szCs w:val="24"/>
                <w:color w:val="auto"/>
              </w:rPr>
            </w:pPr>
          </w:p>
        </w:tc>
        <w:tc>
          <w:tcPr>
            <w:tcW w:w="484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3,114</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3,173</w:t>
            </w: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00" w:type="dxa"/>
            <w:vAlign w:val="bottom"/>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8,002</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8,062</w:t>
            </w:r>
          </w:p>
        </w:tc>
        <w:tc>
          <w:tcPr>
            <w:tcW w:w="3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3,420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3,069</w:t>
            </w: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8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Total liabilities</w:t>
            </w: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14,536</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14,304</w:t>
            </w:r>
          </w:p>
        </w:tc>
        <w:tc>
          <w:tcPr>
            <w:tcW w:w="3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Minority interest in subsidiaries</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5,606</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5,308</w:t>
            </w:r>
          </w:p>
        </w:tc>
        <w:tc>
          <w:tcPr>
            <w:tcW w:w="3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00" w:type="dxa"/>
            <w:vAlign w:val="bottom"/>
          </w:tcPr>
          <w:p>
            <w:pPr>
              <w:spacing w:after="0"/>
              <w:rPr>
                <w:sz w:val="24"/>
                <w:szCs w:val="24"/>
                <w:color w:val="auto"/>
              </w:rPr>
            </w:pPr>
          </w:p>
        </w:tc>
        <w:tc>
          <w:tcPr>
            <w:tcW w:w="4840" w:type="dxa"/>
            <w:vAlign w:val="bottom"/>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79"/>
              </w:rPr>
              <w:t>20,186</w:t>
            </w:r>
          </w:p>
        </w:tc>
        <w:tc>
          <w:tcPr>
            <w:tcW w:w="360" w:type="dxa"/>
            <w:vAlign w:val="bottom"/>
          </w:tcPr>
          <w:p>
            <w:pPr>
              <w:spacing w:after="0"/>
              <w:rPr>
                <w:sz w:val="24"/>
                <w:szCs w:val="24"/>
                <w:color w:val="auto"/>
              </w:rPr>
            </w:pPr>
          </w:p>
        </w:tc>
        <w:tc>
          <w:tcPr>
            <w:tcW w:w="62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19,631</w:t>
            </w: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840" w:type="dxa"/>
            <w:vAlign w:val="bottom"/>
            <w:gridSpan w:val="2"/>
            <w:vMerge w:val="restart"/>
          </w:tcPr>
          <w:p>
            <w:pPr>
              <w:jc w:val="right"/>
              <w:ind w:right="932"/>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840" w:type="dxa"/>
            <w:vAlign w:val="bottom"/>
            <w:gridSpan w:val="2"/>
            <w:vMerge w:val="continue"/>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8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0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0"/>
              </w:rPr>
              <w:t>Nine Months Ended September 30,</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44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2003</w:t>
            </w: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2002</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447</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586</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60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40" w:type="dxa"/>
            <w:vAlign w:val="bottom"/>
          </w:tcPr>
          <w:p>
            <w:pPr>
              <w:spacing w:after="0"/>
              <w:rPr>
                <w:sz w:val="19"/>
                <w:szCs w:val="19"/>
                <w:color w:val="auto"/>
              </w:rPr>
            </w:pPr>
          </w:p>
        </w:tc>
        <w:tc>
          <w:tcPr>
            <w:tcW w:w="60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16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040" w:type="dxa"/>
            <w:vAlign w:val="bottom"/>
          </w:tcPr>
          <w:p>
            <w:pPr>
              <w:ind w:left="680"/>
              <w:spacing w:after="0"/>
              <w:rPr>
                <w:sz w:val="20"/>
                <w:szCs w:val="20"/>
                <w:color w:val="auto"/>
              </w:rPr>
            </w:pPr>
            <w:r>
              <w:rPr>
                <w:rFonts w:ascii="Arial" w:cs="Arial" w:eastAsia="Arial" w:hAnsi="Arial"/>
                <w:sz w:val="18"/>
                <w:szCs w:val="18"/>
                <w:color w:val="auto"/>
              </w:rPr>
              <w:t>Cumulative effect of changes in accounting principles</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040" w:type="dxa"/>
            <w:vAlign w:val="bottom"/>
            <w:shd w:val="clear" w:color="auto" w:fill="EEEEEE"/>
          </w:tcPr>
          <w:p>
            <w:pPr>
              <w:ind w:left="68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952</w:t>
            </w:r>
          </w:p>
        </w:tc>
        <w:tc>
          <w:tcPr>
            <w:tcW w:w="3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918</w:t>
            </w:r>
          </w:p>
        </w:tc>
        <w:tc>
          <w:tcPr>
            <w:tcW w:w="3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040" w:type="dxa"/>
            <w:vAlign w:val="bottom"/>
          </w:tcPr>
          <w:p>
            <w:pPr>
              <w:ind w:left="6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266</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6040" w:type="dxa"/>
            <w:vAlign w:val="bottom"/>
            <w:shd w:val="clear" w:color="auto" w:fill="EEEEEE"/>
          </w:tcPr>
          <w:p>
            <w:pPr>
              <w:ind w:left="680"/>
              <w:spacing w:after="0"/>
              <w:rPr>
                <w:sz w:val="20"/>
                <w:szCs w:val="20"/>
                <w:color w:val="auto"/>
              </w:rPr>
            </w:pPr>
            <w:r>
              <w:rPr>
                <w:rFonts w:ascii="Arial" w:cs="Arial" w:eastAsia="Arial" w:hAnsi="Arial"/>
                <w:sz w:val="18"/>
                <w:szCs w:val="18"/>
                <w:color w:val="auto"/>
                <w:w w:val="95"/>
              </w:rPr>
              <w:t>Change in operating assets and liabilities, net of effects of acquisitions</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40" w:type="dxa"/>
            <w:vAlign w:val="bottom"/>
          </w:tcPr>
          <w:p>
            <w:pPr>
              <w:spacing w:after="0"/>
              <w:rPr>
                <w:sz w:val="19"/>
                <w:szCs w:val="19"/>
                <w:color w:val="auto"/>
              </w:rPr>
            </w:pPr>
          </w:p>
        </w:tc>
        <w:tc>
          <w:tcPr>
            <w:tcW w:w="6040" w:type="dxa"/>
            <w:vAlign w:val="bottom"/>
            <w:shd w:val="clear" w:color="auto" w:fill="EEEEEE"/>
          </w:tcPr>
          <w:p>
            <w:pPr>
              <w:ind w:left="820"/>
              <w:spacing w:after="0"/>
              <w:rPr>
                <w:sz w:val="20"/>
                <w:szCs w:val="20"/>
                <w:color w:val="auto"/>
              </w:rPr>
            </w:pPr>
            <w:r>
              <w:rPr>
                <w:rFonts w:ascii="Arial" w:cs="Arial" w:eastAsia="Arial" w:hAnsi="Arial"/>
                <w:sz w:val="18"/>
                <w:szCs w:val="18"/>
                <w:color w:val="auto"/>
              </w:rPr>
              <w:t>and divestitures</w:t>
            </w:r>
          </w:p>
        </w:tc>
        <w:tc>
          <w:tcPr>
            <w:tcW w:w="16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(425)</w:t>
            </w:r>
          </w:p>
        </w:tc>
        <w:tc>
          <w:tcPr>
            <w:tcW w:w="760" w:type="dxa"/>
            <w:vAlign w:val="bottom"/>
            <w:shd w:val="clear" w:color="auto" w:fill="EEEEEE"/>
          </w:tcPr>
          <w:p>
            <w:pPr>
              <w:spacing w:after="0"/>
              <w:rPr>
                <w:sz w:val="19"/>
                <w:szCs w:val="19"/>
                <w:color w:val="auto"/>
              </w:rPr>
            </w:pPr>
          </w:p>
        </w:tc>
        <w:tc>
          <w:tcPr>
            <w:tcW w:w="160" w:type="dxa"/>
            <w:vAlign w:val="bottom"/>
            <w:tcBorders>
              <w:right w:val="single" w:sz="8" w:color="EEEEEE"/>
            </w:tcBorders>
            <w:shd w:val="clear" w:color="auto" w:fill="EEEEEE"/>
          </w:tcPr>
          <w:p>
            <w:pPr>
              <w:spacing w:after="0"/>
              <w:rPr>
                <w:sz w:val="19"/>
                <w:szCs w:val="19"/>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(96)</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44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1,286</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1,527</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44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1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(244)</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(125)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0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(798)</w:t>
            </w:r>
          </w:p>
        </w:tc>
        <w:tc>
          <w:tcPr>
            <w:tcW w:w="7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(914)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w w:val="96"/>
              </w:rPr>
              <w:t>Net proceeds from restricted funds, business divestitures, asset sales and</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6040" w:type="dxa"/>
            <w:vAlign w:val="bottom"/>
          </w:tcPr>
          <w:p>
            <w:pPr>
              <w:ind w:left="4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280</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44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(762)</w:t>
            </w:r>
          </w:p>
        </w:tc>
        <w:tc>
          <w:tcPr>
            <w:tcW w:w="7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(783)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604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144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60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New borrowings</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3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498</w:t>
            </w:r>
          </w:p>
        </w:tc>
        <w:tc>
          <w:tcPr>
            <w:tcW w:w="3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Debt repayments</w:t>
            </w:r>
          </w:p>
        </w:tc>
        <w:tc>
          <w:tcPr>
            <w:tcW w:w="1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(99)</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(781)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0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Common stock repurchases</w:t>
            </w:r>
          </w:p>
        </w:tc>
        <w:tc>
          <w:tcPr>
            <w:tcW w:w="1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(264)</w:t>
            </w:r>
          </w:p>
        </w:tc>
        <w:tc>
          <w:tcPr>
            <w:tcW w:w="7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(561)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Exercise of common stock options and warrants</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0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w:t>
            </w:r>
          </w:p>
        </w:tc>
        <w:tc>
          <w:tcPr>
            <w:tcW w:w="7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44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(266)</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(819)</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44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144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730</w:t>
            </w:r>
          </w:p>
        </w:tc>
        <w:tc>
          <w:tcPr>
            <w:tcW w:w="3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44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523</w:t>
            </w:r>
          </w:p>
        </w:tc>
        <w:tc>
          <w:tcPr>
            <w:tcW w:w="3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656</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440" w:type="dxa"/>
            <w:vAlign w:val="bottom"/>
          </w:tcPr>
          <w:p>
            <w:pPr>
              <w:spacing w:after="0"/>
              <w:rPr>
                <w:sz w:val="9"/>
                <w:szCs w:val="9"/>
                <w:color w:val="auto"/>
              </w:rPr>
            </w:pPr>
          </w:p>
        </w:tc>
        <w:tc>
          <w:tcPr>
            <w:tcW w:w="6040" w:type="dxa"/>
            <w:vAlign w:val="bottom"/>
            <w:vMerge w:val="restart"/>
          </w:tcPr>
          <w:p>
            <w:pPr>
              <w:ind w:left="418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60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44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60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7"/>
          </w:tcPr>
          <w:p>
            <w:pPr>
              <w:jc w:val="center"/>
              <w:spacing w:after="0"/>
              <w:rPr>
                <w:sz w:val="20"/>
                <w:szCs w:val="20"/>
                <w:color w:val="auto"/>
              </w:rPr>
            </w:pPr>
            <w:r>
              <w:rPr>
                <w:rFonts w:ascii="Arial" w:cs="Arial" w:eastAsia="Arial" w:hAnsi="Arial"/>
                <w:sz w:val="14"/>
                <w:szCs w:val="14"/>
                <w:b w:val="1"/>
                <w:bCs w:val="1"/>
                <w:color w:val="auto"/>
                <w:w w:val="89"/>
              </w:rPr>
              <w:t>Quarters Ended</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5"/>
          </w:tcPr>
          <w:p>
            <w:pPr>
              <w:ind w:left="120"/>
              <w:spacing w:after="0"/>
              <w:rPr>
                <w:sz w:val="20"/>
                <w:szCs w:val="20"/>
                <w:color w:val="auto"/>
              </w:rPr>
            </w:pPr>
            <w:r>
              <w:rPr>
                <w:rFonts w:ascii="Arial" w:cs="Arial" w:eastAsia="Arial" w:hAnsi="Arial"/>
                <w:sz w:val="14"/>
                <w:szCs w:val="14"/>
                <w:b w:val="1"/>
                <w:bCs w:val="1"/>
                <w:color w:val="auto"/>
                <w:w w:val="96"/>
              </w:rPr>
              <w:t>September 30,</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76"/>
              </w:rPr>
              <w:t>2003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80" w:type="dxa"/>
            <w:vAlign w:val="bottom"/>
            <w:tcBorders>
              <w:bottom w:val="single" w:sz="8" w:color="auto"/>
            </w:tcBorders>
            <w:gridSpan w:val="3"/>
            <w:shd w:val="clear" w:color="auto" w:fill="EEEEEE"/>
          </w:tcPr>
          <w:p>
            <w:pPr>
              <w:spacing w:after="0" w:line="176" w:lineRule="exact"/>
              <w:rPr>
                <w:sz w:val="20"/>
                <w:szCs w:val="20"/>
                <w:color w:val="auto"/>
              </w:rPr>
            </w:pPr>
            <w:r>
              <w:rPr>
                <w:rFonts w:ascii="Arial" w:cs="Arial" w:eastAsia="Arial" w:hAnsi="Arial"/>
                <w:sz w:val="18"/>
                <w:szCs w:val="18"/>
                <w:b w:val="1"/>
                <w:bCs w:val="1"/>
                <w:color w:val="auto"/>
                <w:w w:val="84"/>
              </w:rPr>
              <w:t>Operating Revenues by Lines of Business</w:t>
            </w:r>
          </w:p>
        </w:tc>
        <w:tc>
          <w:tcPr>
            <w:tcW w:w="3820" w:type="dxa"/>
            <w:vAlign w:val="bottom"/>
            <w:tcBorders>
              <w:bottom w:val="single" w:sz="8" w:color="EEEEEE"/>
            </w:tcBorders>
            <w:gridSpan w:val="3"/>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right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left w:val="single" w:sz="8" w:color="EEEEEE"/>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right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left w:val="single" w:sz="8" w:color="EEEEEE"/>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right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left w:val="single" w:sz="8" w:color="EEEEEE"/>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6"/>
          </w:tcPr>
          <w:p>
            <w:pPr>
              <w:ind w:left="280"/>
              <w:spacing w:after="0"/>
              <w:rPr>
                <w:sz w:val="20"/>
                <w:szCs w:val="20"/>
                <w:color w:val="auto"/>
              </w:rPr>
            </w:pPr>
            <w:r>
              <w:rPr>
                <w:rFonts w:ascii="Arial" w:cs="Arial" w:eastAsia="Arial" w:hAnsi="Arial"/>
                <w:sz w:val="18"/>
                <w:szCs w:val="18"/>
                <w:color w:val="auto"/>
              </w:rPr>
              <w:t>NASW:</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6"/>
            <w:shd w:val="clear" w:color="auto" w:fill="EEEEEE"/>
          </w:tcPr>
          <w:p>
            <w:pPr>
              <w:ind w:left="560"/>
              <w:spacing w:after="0"/>
              <w:rPr>
                <w:sz w:val="20"/>
                <w:szCs w:val="20"/>
                <w:color w:val="auto"/>
              </w:rPr>
            </w:pPr>
            <w:r>
              <w:rPr>
                <w:rFonts w:ascii="Arial" w:cs="Arial" w:eastAsia="Arial" w:hAnsi="Arial"/>
                <w:sz w:val="18"/>
                <w:szCs w:val="18"/>
                <w:color w:val="auto"/>
              </w:rPr>
              <w:t>Collection</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$1,984</w:t>
            </w:r>
          </w:p>
        </w:tc>
        <w:tc>
          <w:tcPr>
            <w:tcW w:w="26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9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$1,953</w:t>
            </w:r>
          </w:p>
        </w:tc>
        <w:tc>
          <w:tcPr>
            <w:tcW w:w="2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$1,950</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6"/>
          </w:tcPr>
          <w:p>
            <w:pPr>
              <w:ind w:left="560"/>
              <w:spacing w:after="0"/>
              <w:rPr>
                <w:sz w:val="20"/>
                <w:szCs w:val="20"/>
                <w:color w:val="auto"/>
              </w:rPr>
            </w:pPr>
            <w:r>
              <w:rPr>
                <w:rFonts w:ascii="Arial" w:cs="Arial" w:eastAsia="Arial" w:hAnsi="Arial"/>
                <w:sz w:val="18"/>
                <w:szCs w:val="18"/>
                <w:color w:val="auto"/>
              </w:rPr>
              <w:t>Landfill</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703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708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6"/>
            <w:shd w:val="clear" w:color="auto" w:fill="EEEEEE"/>
          </w:tcPr>
          <w:p>
            <w:pPr>
              <w:ind w:left="560"/>
              <w:spacing w:after="0"/>
              <w:rPr>
                <w:sz w:val="20"/>
                <w:szCs w:val="20"/>
                <w:color w:val="auto"/>
              </w:rPr>
            </w:pPr>
            <w:r>
              <w:rPr>
                <w:rFonts w:ascii="Arial" w:cs="Arial" w:eastAsia="Arial" w:hAnsi="Arial"/>
                <w:sz w:val="18"/>
                <w:szCs w:val="18"/>
                <w:color w:val="auto"/>
              </w:rPr>
              <w:t>Transfer</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420</w:t>
            </w:r>
          </w:p>
        </w:tc>
        <w:tc>
          <w:tcPr>
            <w:tcW w:w="26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388</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6"/>
          </w:tcPr>
          <w:p>
            <w:pPr>
              <w:ind w:left="560"/>
              <w:spacing w:after="0"/>
              <w:rPr>
                <w:sz w:val="20"/>
                <w:szCs w:val="20"/>
                <w:color w:val="auto"/>
              </w:rPr>
            </w:pPr>
            <w:r>
              <w:rPr>
                <w:rFonts w:ascii="Arial" w:cs="Arial" w:eastAsia="Arial" w:hAnsi="Arial"/>
                <w:sz w:val="18"/>
                <w:szCs w:val="18"/>
                <w:color w:val="auto"/>
              </w:rPr>
              <w:t>Wheelabrator</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6"/>
            <w:shd w:val="clear" w:color="auto" w:fill="EEEEEE"/>
          </w:tcPr>
          <w:p>
            <w:pPr>
              <w:ind w:left="560"/>
              <w:spacing w:after="0"/>
              <w:rPr>
                <w:sz w:val="20"/>
                <w:szCs w:val="20"/>
                <w:color w:val="auto"/>
              </w:rPr>
            </w:pPr>
            <w:r>
              <w:rPr>
                <w:rFonts w:ascii="Arial" w:cs="Arial" w:eastAsia="Arial" w:hAnsi="Arial"/>
                <w:sz w:val="18"/>
                <w:szCs w:val="18"/>
                <w:color w:val="auto"/>
              </w:rPr>
              <w:t>Recycling and other</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w:t>
            </w:r>
          </w:p>
        </w:tc>
        <w:tc>
          <w:tcPr>
            <w:tcW w:w="26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gridSpan w:val="6"/>
          </w:tcPr>
          <w:p>
            <w:pPr>
              <w:ind w:left="560"/>
              <w:spacing w:after="0"/>
              <w:rPr>
                <w:sz w:val="20"/>
                <w:szCs w:val="20"/>
                <w:color w:val="auto"/>
              </w:rPr>
            </w:pPr>
            <w:r>
              <w:rPr>
                <w:rFonts w:ascii="Arial" w:cs="Arial" w:eastAsia="Arial" w:hAnsi="Arial"/>
                <w:sz w:val="18"/>
                <w:szCs w:val="18"/>
                <w:color w:val="auto"/>
              </w:rPr>
              <w:t>Intercompany</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(568)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(527)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6"/>
            <w:shd w:val="clear" w:color="auto" w:fill="EEEEEE"/>
          </w:tcPr>
          <w:p>
            <w:pPr>
              <w:ind w:left="860"/>
              <w:spacing w:after="0"/>
              <w:rPr>
                <w:sz w:val="20"/>
                <w:szCs w:val="20"/>
                <w:color w:val="auto"/>
              </w:rPr>
            </w:pPr>
            <w:r>
              <w:rPr>
                <w:rFonts w:ascii="Arial" w:cs="Arial" w:eastAsia="Arial" w:hAnsi="Arial"/>
                <w:sz w:val="18"/>
                <w:szCs w:val="18"/>
                <w:color w:val="auto"/>
              </w:rPr>
              <w:t>Operating revenues</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$2,975</w:t>
            </w:r>
          </w:p>
        </w:tc>
        <w:tc>
          <w:tcPr>
            <w:tcW w:w="26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9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$2,915</w:t>
            </w:r>
          </w:p>
        </w:tc>
        <w:tc>
          <w:tcPr>
            <w:tcW w:w="2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$2,896</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92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Internal Growth of Operating Revenues from Comparable Prior Periods</w:t>
            </w: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20" w:type="dxa"/>
            <w:vAlign w:val="bottom"/>
            <w:gridSpan w:val="7"/>
            <w:vMerge w:val="continue"/>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Borders>
              <w:left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6920" w:type="dxa"/>
            <w:vAlign w:val="bottom"/>
            <w:gridSpan w:val="7"/>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6"/>
            <w:shd w:val="clear" w:color="auto" w:fill="EEEEEE"/>
          </w:tcPr>
          <w:p>
            <w:pPr>
              <w:ind w:left="280"/>
              <w:spacing w:after="0"/>
              <w:rPr>
                <w:sz w:val="20"/>
                <w:szCs w:val="20"/>
                <w:color w:val="auto"/>
              </w:rPr>
            </w:pPr>
            <w:r>
              <w:rPr>
                <w:rFonts w:ascii="Arial" w:cs="Arial" w:eastAsia="Arial" w:hAnsi="Arial"/>
                <w:sz w:val="18"/>
                <w:szCs w:val="18"/>
                <w:color w:val="auto"/>
              </w:rPr>
              <w:t>Internal growth</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7"/>
              </w:rPr>
              <w:t>-0.1%</w:t>
            </w: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gridSpan w:val="6"/>
          </w:tcPr>
          <w:p>
            <w:pPr>
              <w:ind w:left="280"/>
              <w:spacing w:after="0"/>
              <w:rPr>
                <w:sz w:val="20"/>
                <w:szCs w:val="20"/>
                <w:color w:val="auto"/>
              </w:rPr>
            </w:pPr>
            <w:r>
              <w:rPr>
                <w:rFonts w:ascii="Arial" w:cs="Arial" w:eastAsia="Arial" w:hAnsi="Arial"/>
                <w:sz w:val="18"/>
                <w:szCs w:val="18"/>
                <w:color w:val="auto"/>
                <w:w w:val="95"/>
              </w:rPr>
              <w:t>Less: Price changes due to recycling commodities, electricity (IPP), and fuel surcharge</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6"/>
            <w:shd w:val="clear" w:color="auto" w:fill="EEEEEE"/>
          </w:tcPr>
          <w:p>
            <w:pPr>
              <w:ind w:left="860"/>
              <w:spacing w:after="0"/>
              <w:rPr>
                <w:sz w:val="20"/>
                <w:szCs w:val="20"/>
                <w:color w:val="auto"/>
              </w:rPr>
            </w:pPr>
            <w:r>
              <w:rPr>
                <w:rFonts w:ascii="Arial" w:cs="Arial" w:eastAsia="Arial" w:hAnsi="Arial"/>
                <w:sz w:val="18"/>
                <w:szCs w:val="18"/>
                <w:color w:val="auto"/>
              </w:rPr>
              <w:t>Adjusted internal growth</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0.1%</w:t>
            </w: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05"/>
        </w:trPr>
        <w:tc>
          <w:tcPr>
            <w:tcW w:w="692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Acquisition Summary (a)</w:t>
            </w: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20" w:type="dxa"/>
            <w:vAlign w:val="bottom"/>
            <w:gridSpan w:val="7"/>
            <w:vMerge w:val="continue"/>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Borders>
              <w:left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6920" w:type="dxa"/>
            <w:vAlign w:val="bottom"/>
            <w:gridSpan w:val="7"/>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6"/>
            <w:shd w:val="clear" w:color="auto" w:fill="EEEEEE"/>
          </w:tcPr>
          <w:p>
            <w:pPr>
              <w:ind w:left="280"/>
              <w:spacing w:after="0"/>
              <w:rPr>
                <w:sz w:val="20"/>
                <w:szCs w:val="20"/>
                <w:color w:val="auto"/>
              </w:rPr>
            </w:pPr>
            <w:r>
              <w:rPr>
                <w:rFonts w:ascii="Arial" w:cs="Arial" w:eastAsia="Arial" w:hAnsi="Arial"/>
                <w:sz w:val="18"/>
                <w:szCs w:val="18"/>
                <w:color w:val="auto"/>
              </w:rPr>
              <w:t>Gross annualized revenue acquired</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Borders>
              <w:left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gridSpan w:val="2"/>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900" w:type="dxa"/>
            <w:vAlign w:val="bottom"/>
            <w:gridSpan w:val="6"/>
          </w:tcPr>
          <w:p>
            <w:pPr>
              <w:ind w:left="280"/>
              <w:spacing w:after="0"/>
              <w:rPr>
                <w:sz w:val="20"/>
                <w:szCs w:val="20"/>
                <w:color w:val="auto"/>
              </w:rPr>
            </w:pPr>
            <w:r>
              <w:rPr>
                <w:rFonts w:ascii="Arial" w:cs="Arial" w:eastAsia="Arial" w:hAnsi="Arial"/>
                <w:sz w:val="18"/>
                <w:szCs w:val="18"/>
                <w:color w:val="auto"/>
              </w:rPr>
              <w:t>Total consideration</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Borders>
              <w:left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6"/>
            <w:shd w:val="clear" w:color="auto" w:fill="EEEEEE"/>
          </w:tcPr>
          <w:p>
            <w:pPr>
              <w:ind w:left="280"/>
              <w:spacing w:after="0"/>
              <w:rPr>
                <w:sz w:val="20"/>
                <w:szCs w:val="20"/>
                <w:color w:val="auto"/>
              </w:rPr>
            </w:pPr>
            <w:r>
              <w:rPr>
                <w:rFonts w:ascii="Arial" w:cs="Arial" w:eastAsia="Arial" w:hAnsi="Arial"/>
                <w:sz w:val="18"/>
                <w:szCs w:val="18"/>
                <w:color w:val="auto"/>
              </w:rPr>
              <w:t>Cash paid for acquisitions</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26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92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Recycling Segment Supplemental Data (b)</w:t>
            </w: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20" w:type="dxa"/>
            <w:vAlign w:val="bottom"/>
            <w:gridSpan w:val="7"/>
            <w:vMerge w:val="continue"/>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Borders>
              <w:left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6920" w:type="dxa"/>
            <w:vAlign w:val="bottom"/>
            <w:gridSpan w:val="7"/>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6"/>
            <w:shd w:val="clear" w:color="auto" w:fill="EEEEEE"/>
          </w:tcPr>
          <w:p>
            <w:pPr>
              <w:ind w:left="280"/>
              <w:spacing w:after="0"/>
              <w:rPr>
                <w:sz w:val="20"/>
                <w:szCs w:val="20"/>
                <w:color w:val="auto"/>
              </w:rPr>
            </w:pPr>
            <w:r>
              <w:rPr>
                <w:rFonts w:ascii="Arial" w:cs="Arial" w:eastAsia="Arial" w:hAnsi="Arial"/>
                <w:sz w:val="18"/>
                <w:szCs w:val="18"/>
                <w:color w:val="auto"/>
              </w:rPr>
              <w:t>Operating revenues</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Borders>
              <w:left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gridSpan w:val="2"/>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900" w:type="dxa"/>
            <w:vAlign w:val="bottom"/>
            <w:gridSpan w:val="6"/>
          </w:tcPr>
          <w:p>
            <w:pPr>
              <w:ind w:left="280"/>
              <w:spacing w:after="0"/>
              <w:rPr>
                <w:sz w:val="20"/>
                <w:szCs w:val="20"/>
                <w:color w:val="auto"/>
              </w:rPr>
            </w:pPr>
            <w:r>
              <w:rPr>
                <w:rFonts w:ascii="Arial" w:cs="Arial" w:eastAsia="Arial" w:hAnsi="Arial"/>
                <w:sz w:val="18"/>
                <w:szCs w:val="18"/>
                <w:color w:val="auto"/>
              </w:rPr>
              <w:t>Operating expenses (exclusive of depreciation and amortization)</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8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gridSpan w:val="2"/>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Borders>
              <w:left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20" w:type="dxa"/>
            <w:vAlign w:val="bottom"/>
            <w:gridSpan w:val="2"/>
          </w:tcPr>
          <w:p>
            <w:pPr>
              <w:spacing w:after="0"/>
              <w:rPr>
                <w:sz w:val="5"/>
                <w:szCs w:val="5"/>
                <w:color w:val="auto"/>
              </w:rPr>
            </w:pPr>
          </w:p>
        </w:tc>
        <w:tc>
          <w:tcPr>
            <w:tcW w:w="280" w:type="dxa"/>
            <w:vAlign w:val="bottom"/>
            <w:gridSpan w:val="2"/>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20" w:type="dxa"/>
            <w:vAlign w:val="bottom"/>
            <w:gridSpan w:val="9"/>
          </w:tcPr>
          <w:p>
            <w:pPr>
              <w:ind w:left="80"/>
              <w:spacing w:after="0"/>
              <w:rPr>
                <w:sz w:val="20"/>
                <w:szCs w:val="20"/>
                <w:color w:val="auto"/>
              </w:rPr>
            </w:pPr>
            <w:r>
              <w:rPr>
                <w:rFonts w:ascii="Arial" w:cs="Arial" w:eastAsia="Arial" w:hAnsi="Arial"/>
                <w:sz w:val="14"/>
                <w:szCs w:val="14"/>
                <w:b w:val="1"/>
                <w:bCs w:val="1"/>
                <w:color w:val="auto"/>
                <w:w w:val="93"/>
              </w:rPr>
              <w:t>Quarters Ended September 30,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gridSpan w:val="9"/>
          </w:tcPr>
          <w:p>
            <w:pPr>
              <w:jc w:val="right"/>
              <w:ind w:right="10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2002</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00" w:type="dxa"/>
            <w:vAlign w:val="bottom"/>
            <w:gridSpan w:val="6"/>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Free Cash Flow Analysis (c)</w:t>
            </w:r>
          </w:p>
        </w:tc>
        <w:tc>
          <w:tcPr>
            <w:tcW w:w="2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260" w:type="dxa"/>
            <w:vAlign w:val="bottom"/>
            <w:tcBorders>
              <w:right w:val="single" w:sz="8" w:color="EEEEEE"/>
            </w:tcBorders>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60" w:type="dxa"/>
            <w:vAlign w:val="bottom"/>
            <w:tcBorders>
              <w:left w:val="single" w:sz="8" w:color="EEEEEE"/>
            </w:tcBorders>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240" w:type="dxa"/>
            <w:vAlign w:val="bottom"/>
            <w:tcBorders>
              <w:right w:val="single" w:sz="8" w:color="EEEEEE"/>
            </w:tcBorders>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220" w:type="dxa"/>
            <w:vAlign w:val="bottom"/>
            <w:tcBorders>
              <w:left w:val="single" w:sz="8" w:color="EEEEEE"/>
            </w:tcBorders>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300" w:type="dxa"/>
            <w:vAlign w:val="bottom"/>
            <w:tcBorders>
              <w:right w:val="single" w:sz="8" w:color="EEEEEE"/>
            </w:tcBorders>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320" w:type="dxa"/>
            <w:vAlign w:val="bottom"/>
            <w:tcBorders>
              <w:left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80" w:type="dxa"/>
            <w:vAlign w:val="bottom"/>
            <w:tcBorders>
              <w:top w:val="single" w:sz="8" w:color="auto"/>
            </w:tcBorders>
            <w:shd w:val="clear" w:color="auto" w:fill="EEEEEE"/>
          </w:tcPr>
          <w:p>
            <w:pPr>
              <w:spacing w:after="0" w:line="20" w:lineRule="exact"/>
              <w:rPr>
                <w:sz w:val="1"/>
                <w:szCs w:val="1"/>
                <w:color w:val="auto"/>
              </w:rPr>
            </w:pPr>
          </w:p>
        </w:tc>
        <w:tc>
          <w:tcPr>
            <w:tcW w:w="200" w:type="dxa"/>
            <w:vAlign w:val="bottom"/>
            <w:tcBorders>
              <w:top w:val="single" w:sz="8" w:color="auto"/>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300" w:type="dxa"/>
            <w:vAlign w:val="bottom"/>
            <w:tcBorders>
              <w:top w:val="single" w:sz="8" w:color="EEEEEE"/>
            </w:tcBorders>
            <w:shd w:val="clear" w:color="auto" w:fill="EEEEEE"/>
          </w:tcPr>
          <w:p>
            <w:pPr>
              <w:spacing w:after="0" w:line="20" w:lineRule="exact"/>
              <w:rPr>
                <w:sz w:val="1"/>
                <w:szCs w:val="1"/>
                <w:color w:val="auto"/>
              </w:rPr>
            </w:pPr>
          </w:p>
        </w:tc>
        <w:tc>
          <w:tcPr>
            <w:tcW w:w="146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right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left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right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left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right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left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6"/>
          </w:tcPr>
          <w:p>
            <w:pPr>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$ 213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$ 643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$1,286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$1,527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84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5"/>
              </w:rPr>
              <w:t>(362)</w:t>
            </w: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gridSpan w:val="6"/>
          </w:tcPr>
          <w:p>
            <w:pPr>
              <w:spacing w:after="0"/>
              <w:rPr>
                <w:sz w:val="20"/>
                <w:szCs w:val="20"/>
                <w:color w:val="auto"/>
              </w:rPr>
            </w:pPr>
            <w:r>
              <w:rPr>
                <w:rFonts w:ascii="Arial" w:cs="Arial" w:eastAsia="Arial" w:hAnsi="Arial"/>
                <w:sz w:val="18"/>
                <w:szCs w:val="18"/>
                <w:color w:val="auto"/>
                <w:w w:val="97"/>
              </w:rPr>
              <w:t>Proceeds from divestitures of businesses, net of cash divested, and other sales of assets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Free cash flow</w:t>
            </w:r>
          </w:p>
        </w:tc>
        <w:tc>
          <w:tcPr>
            <w:tcW w:w="84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$ 292</w:t>
            </w:r>
          </w:p>
        </w:tc>
        <w:tc>
          <w:tcPr>
            <w:tcW w:w="26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532</w:t>
            </w:r>
          </w:p>
        </w:tc>
        <w:tc>
          <w:tcPr>
            <w:tcW w:w="2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695</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920" w:type="dxa"/>
            <w:vAlign w:val="bottom"/>
            <w:gridSpan w:val="7"/>
            <w:vMerge w:val="restart"/>
          </w:tcPr>
          <w:p>
            <w:pPr>
              <w:spacing w:after="0"/>
              <w:rPr>
                <w:sz w:val="20"/>
                <w:szCs w:val="20"/>
                <w:color w:val="auto"/>
              </w:rPr>
            </w:pPr>
            <w:r>
              <w:rPr>
                <w:rFonts w:ascii="Arial" w:cs="Arial" w:eastAsia="Arial" w:hAnsi="Arial"/>
                <w:sz w:val="18"/>
                <w:szCs w:val="18"/>
                <w:color w:val="auto"/>
              </w:rPr>
              <w:t>Pro forma adjustments:</w:t>
            </w: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20" w:type="dxa"/>
            <w:vAlign w:val="bottom"/>
            <w:gridSpan w:val="7"/>
            <w:vMerge w:val="continue"/>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920" w:type="dxa"/>
            <w:vAlign w:val="bottom"/>
            <w:gridSpan w:val="7"/>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gridSpan w:val="6"/>
            <w:shd w:val="clear" w:color="auto" w:fill="EEEEEE"/>
          </w:tcPr>
          <w:p>
            <w:pPr>
              <w:ind w:left="240"/>
              <w:spacing w:after="0"/>
              <w:rPr>
                <w:sz w:val="20"/>
                <w:szCs w:val="20"/>
                <w:color w:val="auto"/>
              </w:rPr>
            </w:pPr>
            <w:r>
              <w:rPr>
                <w:rFonts w:ascii="Arial" w:cs="Arial" w:eastAsia="Arial" w:hAnsi="Arial"/>
                <w:sz w:val="18"/>
                <w:szCs w:val="18"/>
                <w:color w:val="auto"/>
              </w:rPr>
              <w:t>Shareholder litigation payments, net of income tax and other</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325</w:t>
            </w: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9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920" w:type="dxa"/>
            <w:vAlign w:val="bottom"/>
            <w:gridSpan w:val="7"/>
          </w:tcPr>
          <w:p>
            <w:pPr>
              <w:spacing w:after="0"/>
              <w:rPr>
                <w:sz w:val="20"/>
                <w:szCs w:val="20"/>
                <w:color w:val="auto"/>
              </w:rPr>
            </w:pPr>
            <w:r>
              <w:rPr>
                <w:rFonts w:ascii="Arial" w:cs="Arial" w:eastAsia="Arial" w:hAnsi="Arial"/>
                <w:sz w:val="18"/>
                <w:szCs w:val="18"/>
                <w:color w:val="auto"/>
              </w:rPr>
              <w:t>Adjusted free cash flow</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$ 251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791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tcBorders>
              <w:left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provided is after the elimination of intercompany revenues and related expenses.</w:t>
      </w:r>
    </w:p>
    <w:p>
      <w:pPr>
        <w:spacing w:after="0" w:line="225" w:lineRule="exact"/>
        <w:rPr>
          <w:rFonts w:ascii="Arial" w:cs="Arial" w:eastAsia="Arial" w:hAnsi="Arial"/>
          <w:sz w:val="18"/>
          <w:szCs w:val="18"/>
          <w:color w:val="auto"/>
        </w:rPr>
      </w:pPr>
    </w:p>
    <w:p>
      <w:pPr>
        <w:ind w:left="540" w:right="160" w:hanging="532"/>
        <w:spacing w:after="0" w:line="25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553"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Quarters Ended</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June 30,</w:t>
            </w: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144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b w:val="1"/>
                <w:bCs w:val="1"/>
                <w:color w:val="auto"/>
                <w:w w:val="84"/>
              </w:rPr>
              <w:t>Balance Sheet Data</w:t>
            </w:r>
          </w:p>
        </w:tc>
        <w:tc>
          <w:tcPr>
            <w:tcW w:w="2980" w:type="dxa"/>
            <w:vAlign w:val="bottom"/>
            <w:tcBorders>
              <w:bottom w:val="single" w:sz="8" w:color="EEEEEE"/>
            </w:tcBorders>
            <w:gridSpan w:val="2"/>
            <w:shd w:val="clear" w:color="auto" w:fill="EEEEEE"/>
          </w:tcPr>
          <w:p>
            <w:pPr>
              <w:spacing w:after="0"/>
              <w:rPr>
                <w:sz w:val="17"/>
                <w:szCs w:val="17"/>
                <w:color w:val="auto"/>
              </w:rPr>
            </w:pPr>
          </w:p>
        </w:tc>
        <w:tc>
          <w:tcPr>
            <w:tcW w:w="15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500" w:type="dxa"/>
            <w:vAlign w:val="bottom"/>
            <w:tcBorders>
              <w:bottom w:val="single" w:sz="8" w:color="EEEEEE"/>
            </w:tcBorders>
            <w:shd w:val="clear" w:color="auto" w:fill="EEEEEE"/>
          </w:tcPr>
          <w:p>
            <w:pPr>
              <w:spacing w:after="0"/>
              <w:rPr>
                <w:sz w:val="17"/>
                <w:szCs w:val="17"/>
                <w:color w:val="auto"/>
              </w:rPr>
            </w:pPr>
          </w:p>
        </w:tc>
        <w:tc>
          <w:tcPr>
            <w:tcW w:w="40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50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500" w:type="dxa"/>
            <w:vAlign w:val="bottom"/>
            <w:tcBorders>
              <w:bottom w:val="single" w:sz="8" w:color="EEEEEE"/>
            </w:tcBorders>
            <w:shd w:val="clear" w:color="auto" w:fill="EEEEEE"/>
          </w:tcPr>
          <w:p>
            <w:pPr>
              <w:spacing w:after="0"/>
              <w:rPr>
                <w:sz w:val="17"/>
                <w:szCs w:val="17"/>
                <w:color w:val="auto"/>
              </w:rPr>
            </w:pPr>
          </w:p>
        </w:tc>
        <w:tc>
          <w:tcPr>
            <w:tcW w:w="4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523</w:t>
            </w:r>
          </w:p>
        </w:tc>
        <w:tc>
          <w:tcPr>
            <w:tcW w:w="4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Debt-to-total capital ratio:</w:t>
            </w:r>
          </w:p>
        </w:tc>
        <w:tc>
          <w:tcPr>
            <w:tcW w:w="1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w w:val="99"/>
              </w:rPr>
              <w:t>Long-term indebtedness, including current maturities</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8,560</w:t>
            </w:r>
          </w:p>
        </w:tc>
        <w:tc>
          <w:tcPr>
            <w:tcW w:w="4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8,458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8,526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EEEEEE"/>
          </w:tcPr>
          <w:p>
            <w:pPr>
              <w:ind w:left="220"/>
              <w:spacing w:after="0"/>
              <w:rPr>
                <w:sz w:val="20"/>
                <w:szCs w:val="20"/>
                <w:color w:val="auto"/>
              </w:rPr>
            </w:pPr>
            <w:r>
              <w:rPr>
                <w:rFonts w:ascii="Arial" w:cs="Arial" w:eastAsia="Arial" w:hAnsi="Arial"/>
                <w:sz w:val="18"/>
                <w:szCs w:val="18"/>
                <w:color w:val="auto"/>
              </w:rPr>
              <w:t>Total equity</w:t>
            </w:r>
          </w:p>
        </w:tc>
        <w:tc>
          <w:tcPr>
            <w:tcW w:w="1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5,606</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5,584</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5,410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78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20" w:type="dxa"/>
            <w:vAlign w:val="bottom"/>
            <w:gridSpan w:val="3"/>
          </w:tcPr>
          <w:p>
            <w:pPr>
              <w:ind w:left="440"/>
              <w:spacing w:after="0"/>
              <w:rPr>
                <w:sz w:val="20"/>
                <w:szCs w:val="20"/>
                <w:color w:val="auto"/>
              </w:rPr>
            </w:pPr>
            <w:r>
              <w:rPr>
                <w:rFonts w:ascii="Arial" w:cs="Arial" w:eastAsia="Arial" w:hAnsi="Arial"/>
                <w:sz w:val="18"/>
                <w:szCs w:val="18"/>
                <w:color w:val="auto"/>
              </w:rPr>
              <w:t>Total capital</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14,166</w:t>
            </w:r>
          </w:p>
        </w:tc>
        <w:tc>
          <w:tcPr>
            <w:tcW w:w="4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14,042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13,936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Debt-to-total capital</w:t>
            </w:r>
          </w:p>
        </w:tc>
        <w:tc>
          <w:tcPr>
            <w:tcW w:w="1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60.4%</w:t>
            </w: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60.2%</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105"/>
        </w:trPr>
        <w:tc>
          <w:tcPr>
            <w:tcW w:w="146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78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60" w:type="dxa"/>
            <w:vAlign w:val="bottom"/>
            <w:gridSpan w:val="2"/>
          </w:tcPr>
          <w:p>
            <w:pPr>
              <w:spacing w:after="0"/>
              <w:rPr>
                <w:sz w:val="5"/>
                <w:szCs w:val="5"/>
                <w:color w:val="auto"/>
              </w:rPr>
            </w:pPr>
          </w:p>
        </w:tc>
        <w:tc>
          <w:tcPr>
            <w:tcW w:w="34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78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440" w:type="dxa"/>
            <w:vAlign w:val="bottom"/>
            <w:gridSpan w:val="4"/>
          </w:tcPr>
          <w:p>
            <w:pPr>
              <w:spacing w:after="0"/>
              <w:rPr>
                <w:sz w:val="20"/>
                <w:szCs w:val="20"/>
                <w:color w:val="auto"/>
              </w:rPr>
            </w:pPr>
            <w:r>
              <w:rPr>
                <w:rFonts w:ascii="Arial" w:cs="Arial" w:eastAsia="Arial" w:hAnsi="Arial"/>
                <w:sz w:val="18"/>
                <w:szCs w:val="18"/>
                <w:color w:val="auto"/>
              </w:rPr>
              <w:t>Capitalized interest</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20" w:type="dxa"/>
            <w:vAlign w:val="bottom"/>
            <w:gridSpan w:val="3"/>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Other Operational Data</w:t>
            </w:r>
          </w:p>
        </w:tc>
        <w:tc>
          <w:tcPr>
            <w:tcW w:w="15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40" w:type="dxa"/>
            <w:vAlign w:val="bottom"/>
            <w:tcBorders>
              <w:top w:val="single" w:sz="8" w:color="auto"/>
            </w:tcBorders>
            <w:shd w:val="clear" w:color="auto" w:fill="EEEEEE"/>
          </w:tcPr>
          <w:p>
            <w:pPr>
              <w:spacing w:after="0" w:line="20" w:lineRule="exact"/>
              <w:rPr>
                <w:sz w:val="1"/>
                <w:szCs w:val="1"/>
                <w:color w:val="auto"/>
              </w:rPr>
            </w:pPr>
          </w:p>
        </w:tc>
        <w:tc>
          <w:tcPr>
            <w:tcW w:w="340" w:type="dxa"/>
            <w:vAlign w:val="bottom"/>
            <w:tcBorders>
              <w:top w:val="single" w:sz="8" w:color="auto"/>
            </w:tcBorders>
            <w:shd w:val="clear" w:color="auto" w:fill="EEEEEE"/>
          </w:tcPr>
          <w:p>
            <w:pPr>
              <w:spacing w:after="0" w:line="20" w:lineRule="exact"/>
              <w:rPr>
                <w:sz w:val="1"/>
                <w:szCs w:val="1"/>
                <w:color w:val="auto"/>
              </w:rPr>
            </w:pPr>
          </w:p>
        </w:tc>
        <w:tc>
          <w:tcPr>
            <w:tcW w:w="2640" w:type="dxa"/>
            <w:vAlign w:val="bottom"/>
            <w:tcBorders>
              <w:top w:val="single" w:sz="8" w:color="EEEEEE"/>
            </w:tcBorders>
            <w:shd w:val="clear" w:color="auto" w:fill="EEEEEE"/>
          </w:tcPr>
          <w:p>
            <w:pPr>
              <w:spacing w:after="0" w:line="20" w:lineRule="exact"/>
              <w:rPr>
                <w:sz w:val="1"/>
                <w:szCs w:val="1"/>
                <w:color w:val="auto"/>
              </w:rPr>
            </w:pPr>
          </w:p>
        </w:tc>
        <w:tc>
          <w:tcPr>
            <w:tcW w:w="15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50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50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50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Internalization of waste, based on disposal costs</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63.9%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64.2%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landfill disposal volumes (tons)</w:t>
            </w:r>
          </w:p>
        </w:tc>
        <w:tc>
          <w:tcPr>
            <w:tcW w:w="1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31.0</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30.1</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Total Waste to Energy disposal volumes (tons)</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disposal volumes (tons)</w:t>
            </w:r>
          </w:p>
        </w:tc>
        <w:tc>
          <w:tcPr>
            <w:tcW w:w="1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32.9</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46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60" w:type="dxa"/>
            <w:vAlign w:val="bottom"/>
            <w:gridSpan w:val="2"/>
          </w:tcPr>
          <w:p>
            <w:pPr>
              <w:spacing w:after="0"/>
              <w:rPr>
                <w:sz w:val="5"/>
                <w:szCs w:val="5"/>
                <w:color w:val="auto"/>
              </w:rPr>
            </w:pPr>
          </w:p>
        </w:tc>
        <w:tc>
          <w:tcPr>
            <w:tcW w:w="34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440" w:type="dxa"/>
            <w:vAlign w:val="bottom"/>
            <w:gridSpan w:val="4"/>
          </w:tcPr>
          <w:p>
            <w:pPr>
              <w:spacing w:after="0"/>
              <w:rPr>
                <w:sz w:val="20"/>
                <w:szCs w:val="20"/>
                <w:color w:val="auto"/>
              </w:rPr>
            </w:pPr>
            <w:r>
              <w:rPr>
                <w:rFonts w:ascii="Arial" w:cs="Arial" w:eastAsia="Arial" w:hAnsi="Arial"/>
                <w:sz w:val="18"/>
                <w:szCs w:val="18"/>
                <w:color w:val="auto"/>
              </w:rPr>
              <w:t>Active landfills</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289</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Landfills reporting volume</w:t>
            </w:r>
          </w:p>
        </w:tc>
        <w:tc>
          <w:tcPr>
            <w:tcW w:w="1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266</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Landfills Included in Operating Groups:</w:t>
            </w: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40" w:type="dxa"/>
            <w:vAlign w:val="bottom"/>
            <w:gridSpan w:val="4"/>
            <w:vMerge w:val="continue"/>
          </w:tcPr>
          <w:p>
            <w:pPr>
              <w:spacing w:after="0"/>
              <w:rPr>
                <w:sz w:val="5"/>
                <w:szCs w:val="5"/>
                <w:color w:val="auto"/>
              </w:rPr>
            </w:pPr>
          </w:p>
        </w:tc>
        <w:tc>
          <w:tcPr>
            <w:tcW w:w="1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4440" w:type="dxa"/>
            <w:vAlign w:val="bottom"/>
            <w:gridSpan w:val="4"/>
            <w:vMerge w:val="continue"/>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40" w:type="dxa"/>
            <w:vAlign w:val="bottom"/>
            <w:gridSpan w:val="4"/>
          </w:tcPr>
          <w:p>
            <w:pPr>
              <w:spacing w:after="0"/>
              <w:rPr>
                <w:sz w:val="20"/>
                <w:szCs w:val="20"/>
                <w:color w:val="auto"/>
              </w:rPr>
            </w:pPr>
            <w:r>
              <w:rPr>
                <w:rFonts w:ascii="Arial" w:cs="Arial" w:eastAsia="Arial" w:hAnsi="Arial"/>
                <w:sz w:val="18"/>
                <w:szCs w:val="18"/>
                <w:b w:val="1"/>
                <w:bCs w:val="1"/>
                <w:color w:val="auto"/>
              </w:rPr>
              <w:t>Expense Under Current Method -</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Non — SFAS No. 143 amortization expense</w:t>
            </w:r>
          </w:p>
        </w:tc>
        <w:tc>
          <w:tcPr>
            <w:tcW w:w="1780" w:type="dxa"/>
            <w:vAlign w:val="bottom"/>
            <w:gridSpan w:val="2"/>
            <w:shd w:val="clear" w:color="auto" w:fill="EEEEEE"/>
          </w:tcPr>
          <w:p>
            <w:pPr>
              <w:ind w:left="170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98.5</w:t>
            </w:r>
          </w:p>
        </w:tc>
        <w:tc>
          <w:tcPr>
            <w:tcW w:w="40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98.0</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w w:val="94"/>
              </w:rPr>
              <w:t>Amortization expense related to SFAS No. 143 obligations</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EEEEEE"/>
          </w:tcPr>
          <w:p>
            <w:pPr>
              <w:ind w:left="220"/>
              <w:spacing w:after="0"/>
              <w:rPr>
                <w:sz w:val="20"/>
                <w:szCs w:val="20"/>
                <w:color w:val="auto"/>
              </w:rPr>
            </w:pPr>
            <w:r>
              <w:rPr>
                <w:rFonts w:ascii="Arial" w:cs="Arial" w:eastAsia="Arial" w:hAnsi="Arial"/>
                <w:sz w:val="18"/>
                <w:szCs w:val="18"/>
                <w:color w:val="auto"/>
              </w:rPr>
              <w:t>Total amortization expense</w:t>
            </w:r>
          </w:p>
        </w:tc>
        <w:tc>
          <w:tcPr>
            <w:tcW w:w="1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113.9</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112.9</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Accretion and other related expense</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6"/>
              </w:rPr>
              <w:t>Landfill amortization, accretion and other related expense</w:t>
            </w:r>
          </w:p>
        </w:tc>
        <w:tc>
          <w:tcPr>
            <w:tcW w:w="1780" w:type="dxa"/>
            <w:vAlign w:val="bottom"/>
            <w:gridSpan w:val="2"/>
            <w:shd w:val="clear" w:color="auto" w:fill="EEEEEE"/>
          </w:tcPr>
          <w:p>
            <w:pPr>
              <w:ind w:left="170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125.7</w:t>
            </w:r>
          </w:p>
        </w:tc>
        <w:tc>
          <w:tcPr>
            <w:tcW w:w="40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125.4</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Expense Under Historical Method -</w:t>
            </w: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40" w:type="dxa"/>
            <w:vAlign w:val="bottom"/>
            <w:gridSpan w:val="4"/>
            <w:vMerge w:val="continue"/>
          </w:tcPr>
          <w:p>
            <w:pPr>
              <w:spacing w:after="0"/>
              <w:rPr>
                <w:sz w:val="5"/>
                <w:szCs w:val="5"/>
                <w:color w:val="auto"/>
              </w:rPr>
            </w:pPr>
          </w:p>
        </w:tc>
        <w:tc>
          <w:tcPr>
            <w:tcW w:w="1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4440" w:type="dxa"/>
            <w:vAlign w:val="bottom"/>
            <w:gridSpan w:val="4"/>
            <w:vMerge w:val="continue"/>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40" w:type="dxa"/>
            <w:vAlign w:val="bottom"/>
            <w:gridSpan w:val="4"/>
          </w:tcPr>
          <w:p>
            <w:pPr>
              <w:spacing w:after="0"/>
              <w:rPr>
                <w:sz w:val="20"/>
                <w:szCs w:val="20"/>
                <w:color w:val="auto"/>
              </w:rPr>
            </w:pPr>
            <w:r>
              <w:rPr>
                <w:rFonts w:ascii="Arial" w:cs="Arial" w:eastAsia="Arial" w:hAnsi="Arial"/>
                <w:sz w:val="18"/>
                <w:szCs w:val="18"/>
                <w:color w:val="auto"/>
              </w:rPr>
              <w:t>Landfill amortization expense</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107.0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Landfill final closure and post closure expense</w:t>
            </w:r>
          </w:p>
        </w:tc>
        <w:tc>
          <w:tcPr>
            <w:tcW w:w="1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6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40" w:type="dxa"/>
            <w:vAlign w:val="bottom"/>
            <w:gridSpan w:val="4"/>
          </w:tcPr>
          <w:p>
            <w:pPr>
              <w:spacing w:after="0"/>
              <w:rPr>
                <w:sz w:val="20"/>
                <w:szCs w:val="20"/>
                <w:color w:val="auto"/>
              </w:rPr>
            </w:pPr>
            <w:r>
              <w:rPr>
                <w:rFonts w:ascii="Arial" w:cs="Arial" w:eastAsia="Arial" w:hAnsi="Arial"/>
                <w:sz w:val="18"/>
                <w:szCs w:val="18"/>
                <w:color w:val="auto"/>
              </w:rPr>
              <w:t>Landfill amortization and final closure and post closure</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114.3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520" w:type="dxa"/>
            <w:vAlign w:val="bottom"/>
            <w:vMerge w:val="restart"/>
          </w:tcPr>
          <w:p>
            <w:pPr>
              <w:jc w:val="right"/>
              <w:ind w:right="922"/>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700"/>
      </w:cols>
      <w:pgMar w:left="1100" w:top="935"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3"/>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2019-12-20T03:59:47Z</dcterms:created>
  <dcterms:modified xsi:type="dcterms:W3CDTF">2019-12-20T03:59:47Z</dcterms:modified>
</cp:coreProperties>
</file>