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903605</wp:posOffset>
            </wp:positionH>
            <wp:positionV relativeFrom="page">
              <wp:posOffset>637540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680720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41" w:lineRule="exact"/>
        <w:rPr>
          <w:sz w:val="24"/>
          <w:szCs w:val="24"/>
          <w:color w:val="auto"/>
        </w:rPr>
      </w:pPr>
    </w:p>
    <w:p>
      <w:pPr>
        <w:jc w:val="center"/>
        <w:ind w:right="-20"/>
        <w:spacing w:after="0" w:line="368" w:lineRule="exact"/>
        <w:rPr>
          <w:sz w:val="20"/>
          <w:szCs w:val="20"/>
          <w:color w:val="auto"/>
        </w:rPr>
      </w:pPr>
      <w:r>
        <w:rPr>
          <w:rFonts w:ascii="Arial" w:cs="Arial" w:eastAsia="Arial" w:hAnsi="Arial"/>
          <w:sz w:val="32"/>
          <w:szCs w:val="32"/>
          <w:b w:val="1"/>
          <w:bCs w:val="1"/>
          <w:color w:val="auto"/>
        </w:rPr>
        <w:t>FORM 11</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1280" w:right="1879" w:hanging="629"/>
        <w:spacing w:after="0" w:line="256" w:lineRule="auto"/>
        <w:tabs>
          <w:tab w:leader="none" w:pos="127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1280" w:right="79" w:hanging="629"/>
        <w:spacing w:after="0" w:line="256" w:lineRule="auto"/>
        <w:tabs>
          <w:tab w:leader="none" w:pos="127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72" w:lineRule="exact"/>
        <w:rPr>
          <w:sz w:val="24"/>
          <w:szCs w:val="24"/>
          <w:color w:val="auto"/>
        </w:rPr>
      </w:pPr>
    </w:p>
    <w:p>
      <w:pPr>
        <w:ind w:left="1300"/>
        <w:spacing w:after="0"/>
        <w:tabs>
          <w:tab w:leader="none" w:pos="4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line="207" w:lineRule="exact"/>
        <w:rPr>
          <w:sz w:val="20"/>
          <w:szCs w:val="20"/>
          <w:color w:val="auto"/>
        </w:rPr>
      </w:pPr>
      <w:r>
        <w:rPr>
          <w:rFonts w:ascii="Arial" w:cs="Arial" w:eastAsia="Arial" w:hAnsi="Arial"/>
          <w:sz w:val="18"/>
          <w:szCs w:val="18"/>
          <w:b w:val="1"/>
          <w:bCs w:val="1"/>
          <w:color w:val="auto"/>
        </w:rPr>
        <w:t>Commission file number 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12154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WASTE MANAGEMENT RETIREMENT SAVINGS PLAN</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795020</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7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4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6"/>
        </w:trPr>
        <w:tc>
          <w:tcPr>
            <w:tcW w:w="81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396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804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2017 and 2016</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4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2017</w:t>
              </w:r>
            </w:hyperlink>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Pr>
          <w:p>
            <w:pPr>
              <w:spacing w:after="0"/>
              <w:rPr>
                <w:sz w:val="17"/>
                <w:szCs w:val="17"/>
                <w:color w:val="auto"/>
              </w:rPr>
            </w:pPr>
          </w:p>
        </w:tc>
        <w:tc>
          <w:tcPr>
            <w:tcW w:w="7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98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8180" w:type="dxa"/>
            <w:vAlign w:val="bottom"/>
            <w:gridSpan w:val="11"/>
          </w:tcPr>
          <w:p>
            <w:pPr>
              <w:spacing w:after="0"/>
              <w:rPr>
                <w:sz w:val="20"/>
                <w:szCs w:val="20"/>
                <w:color w:val="auto"/>
              </w:rPr>
            </w:pPr>
            <w:r>
              <w:rPr>
                <w:rFonts w:ascii="Arial" w:cs="Arial" w:eastAsia="Arial" w:hAnsi="Arial"/>
                <w:sz w:val="18"/>
                <w:szCs w:val="18"/>
                <w:color w:val="auto"/>
              </w:rPr>
              <w:t>Supplemental Schedule</w:t>
            </w:r>
          </w:p>
        </w:tc>
        <w:tc>
          <w:tcPr>
            <w:tcW w:w="880" w:type="dxa"/>
            <w:vAlign w:val="bottom"/>
          </w:tcPr>
          <w:p>
            <w:pPr>
              <w:spacing w:after="0"/>
              <w:rPr>
                <w:sz w:val="24"/>
                <w:szCs w:val="24"/>
                <w:color w:val="auto"/>
              </w:rPr>
            </w:pPr>
          </w:p>
        </w:tc>
      </w:tr>
      <w:tr>
        <w:trPr>
          <w:trHeight w:val="392"/>
        </w:trPr>
        <w:tc>
          <w:tcPr>
            <w:tcW w:w="140" w:type="dxa"/>
            <w:vAlign w:val="bottom"/>
          </w:tcPr>
          <w:p>
            <w:pPr>
              <w:spacing w:after="0"/>
              <w:rPr>
                <w:sz w:val="24"/>
                <w:szCs w:val="24"/>
                <w:color w:val="auto"/>
              </w:rPr>
            </w:pPr>
          </w:p>
        </w:tc>
        <w:tc>
          <w:tcPr>
            <w:tcW w:w="8040" w:type="dxa"/>
            <w:vAlign w:val="bottom"/>
            <w:gridSpan w:val="1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675"/>
        </w:trPr>
        <w:tc>
          <w:tcPr>
            <w:tcW w:w="140" w:type="dxa"/>
            <w:vAlign w:val="bottom"/>
            <w:tcBorders>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864"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 Participants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2017 and 2016, and the related statement of changes in net assets available for benefits for the year ended December 31, 2017, and the related notes (collectively referred to as the financial statements). In our opinion, the financial statements present fairly, in all material respects, the net assets available for benefits of the Plan as of December 31, 2017 and 2016, and the changes in net assets available for benefits for the year ended December 31, 2017,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Supplementary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2017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and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10" w:right="1419" w:bottom="1440" w:gutter="0" w:footer="0" w:header="0"/>
        </w:sectPr>
      </w:pPr>
    </w:p>
    <w:bookmarkStart w:id="3" w:name="page4"/>
    <w:bookmarkEnd w:id="3"/>
    <w:p>
      <w:pPr>
        <w:jc w:val="both"/>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7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at fair value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$ 2,044,574,761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$ 1,686,421,961</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Investments at contract value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310,707,555</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309,967,987</w:t>
            </w:r>
          </w:p>
        </w:tc>
      </w:tr>
      <w:tr>
        <w:trPr>
          <w:trHeight w:val="210"/>
        </w:trPr>
        <w:tc>
          <w:tcPr>
            <w:tcW w:w="4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15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2,355,282,316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1,996,389,948</w:t>
            </w:r>
          </w:p>
        </w:tc>
      </w:tr>
      <w:tr>
        <w:trPr>
          <w:trHeight w:val="210"/>
        </w:trPr>
        <w:tc>
          <w:tcPr>
            <w:tcW w:w="4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2,472,979</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2,217,397</w:t>
            </w: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Employer contributions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1,607,899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1,428,045</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Notes receivable from participants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70,337,814</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66,123,832</w:t>
            </w: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 pending</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26,312</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Other</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4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receivables</w:t>
            </w:r>
          </w:p>
        </w:tc>
        <w:tc>
          <w:tcPr>
            <w:tcW w:w="15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74,445,448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69,795,599</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5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$ 2,429,727,764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$ 2,066,185,547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180" w:type="dxa"/>
            <w:vAlign w:val="bottom"/>
          </w:tcPr>
          <w:p>
            <w:pPr>
              <w:jc w:val="center"/>
              <w:ind w:left="1810"/>
              <w:spacing w:after="0"/>
              <w:rPr>
                <w:sz w:val="20"/>
                <w:szCs w:val="20"/>
                <w:color w:val="auto"/>
              </w:rPr>
            </w:pPr>
            <w:r>
              <w:rPr>
                <w:rFonts w:ascii="Arial" w:cs="Arial" w:eastAsia="Arial" w:hAnsi="Arial"/>
                <w:sz w:val="18"/>
                <w:szCs w:val="18"/>
                <w:color w:val="auto"/>
                <w:w w:val="88"/>
              </w:rPr>
              <w:t>Waste Management Retirement Savings Plan</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7180" w:type="dxa"/>
            <w:vAlign w:val="bottom"/>
          </w:tcPr>
          <w:p>
            <w:pPr>
              <w:jc w:val="center"/>
              <w:ind w:left="179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180" w:type="dxa"/>
            <w:vAlign w:val="bottom"/>
          </w:tcPr>
          <w:p>
            <w:pPr>
              <w:jc w:val="center"/>
              <w:ind w:left="1790"/>
              <w:spacing w:after="0"/>
              <w:rPr>
                <w:sz w:val="20"/>
                <w:szCs w:val="20"/>
                <w:color w:val="auto"/>
              </w:rPr>
            </w:pPr>
            <w:r>
              <w:rPr>
                <w:rFonts w:ascii="Arial" w:cs="Arial" w:eastAsia="Arial" w:hAnsi="Arial"/>
                <w:sz w:val="18"/>
                <w:szCs w:val="18"/>
                <w:color w:val="auto"/>
                <w:w w:val="89"/>
              </w:rPr>
              <w:t>Year Ended December 31, 2017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8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w:t>
            </w:r>
          </w:p>
        </w:tc>
        <w:tc>
          <w:tcPr>
            <w:tcW w:w="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107,346,845</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Employer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63,590,391</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Rollover</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6,780,307</w:t>
            </w:r>
          </w:p>
        </w:tc>
      </w:tr>
      <w:tr>
        <w:trPr>
          <w:trHeight w:val="210"/>
        </w:trPr>
        <w:tc>
          <w:tcPr>
            <w:tcW w:w="7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177,717,543</w:t>
            </w:r>
          </w:p>
        </w:tc>
      </w:tr>
      <w:tr>
        <w:trPr>
          <w:trHeight w:val="216"/>
        </w:trPr>
        <w:tc>
          <w:tcPr>
            <w:tcW w:w="7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80" w:type="dxa"/>
            <w:vAlign w:val="bottom"/>
          </w:tcPr>
          <w:p>
            <w:pPr>
              <w:ind w:left="120"/>
              <w:spacing w:after="0"/>
              <w:rPr>
                <w:sz w:val="20"/>
                <w:szCs w:val="20"/>
                <w:color w:val="auto"/>
              </w:rPr>
            </w:pPr>
            <w:r>
              <w:rPr>
                <w:rFonts w:ascii="Arial" w:cs="Arial" w:eastAsia="Arial" w:hAnsi="Arial"/>
                <w:sz w:val="18"/>
                <w:szCs w:val="18"/>
                <w:color w:val="auto"/>
              </w:rPr>
              <w:t>Net appreciation in Plan investments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310,699,058</w:t>
            </w: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27,878,888</w:t>
            </w:r>
          </w:p>
        </w:tc>
      </w:tr>
      <w:tr>
        <w:trPr>
          <w:trHeight w:val="216"/>
        </w:trPr>
        <w:tc>
          <w:tcPr>
            <w:tcW w:w="7180" w:type="dxa"/>
            <w:vAlign w:val="bottom"/>
          </w:tcPr>
          <w:p>
            <w:pPr>
              <w:ind w:left="120"/>
              <w:spacing w:after="0"/>
              <w:rPr>
                <w:sz w:val="20"/>
                <w:szCs w:val="20"/>
                <w:color w:val="auto"/>
              </w:rPr>
            </w:pPr>
            <w:r>
              <w:rPr>
                <w:rFonts w:ascii="Arial" w:cs="Arial" w:eastAsia="Arial" w:hAnsi="Arial"/>
                <w:sz w:val="18"/>
                <w:szCs w:val="18"/>
                <w:color w:val="auto"/>
              </w:rPr>
              <w:t>Interest income on notes receivable from participants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2,979,938</w:t>
            </w: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33,043</w:t>
            </w:r>
          </w:p>
        </w:tc>
      </w:tr>
      <w:tr>
        <w:trPr>
          <w:trHeight w:val="210"/>
        </w:trPr>
        <w:tc>
          <w:tcPr>
            <w:tcW w:w="7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additions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519,308,470</w:t>
            </w:r>
          </w:p>
        </w:tc>
      </w:tr>
      <w:tr>
        <w:trPr>
          <w:trHeight w:val="210"/>
        </w:trPr>
        <w:tc>
          <w:tcPr>
            <w:tcW w:w="7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DEDUCTIONS FROM NET ASSETS AVAILABLE FOR BENEFITS: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1,606,985</w:t>
            </w:r>
          </w:p>
        </w:tc>
      </w:tr>
      <w:tr>
        <w:trPr>
          <w:trHeight w:val="216"/>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Benefits paid to participants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154,159,268</w:t>
            </w:r>
          </w:p>
        </w:tc>
      </w:tr>
      <w:tr>
        <w:trPr>
          <w:trHeight w:val="210"/>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deductions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155,766,253</w:t>
            </w:r>
          </w:p>
        </w:tc>
      </w:tr>
      <w:tr>
        <w:trPr>
          <w:trHeight w:val="210"/>
        </w:trPr>
        <w:tc>
          <w:tcPr>
            <w:tcW w:w="7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363,542,217</w:t>
            </w:r>
          </w:p>
        </w:tc>
      </w:tr>
      <w:tr>
        <w:trPr>
          <w:trHeight w:val="216"/>
        </w:trPr>
        <w:tc>
          <w:tcPr>
            <w:tcW w:w="7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Beginning of year</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2,066,185,547</w:t>
            </w:r>
          </w:p>
        </w:tc>
      </w:tr>
      <w:tr>
        <w:trPr>
          <w:trHeight w:val="217"/>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End of year</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2,429,727,764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(the “Trust Agreement”) and Merrill Lynch, Pierce, Fenner &amp; Smith Incorporated (“BAML”) serves as the Plan’s third-party recordkeeper.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Employees (as defined by the Plan) are eligible to participate in the Plan following completion of a 90</w:t>
      </w:r>
      <w:r>
        <w:rPr>
          <w:rFonts w:ascii="MS PGothic" w:cs="MS PGothic" w:eastAsia="MS PGothic" w:hAnsi="MS PGothic"/>
          <w:sz w:val="18"/>
          <w:szCs w:val="18"/>
          <w:color w:val="auto"/>
        </w:rPr>
        <w:t>‑</w:t>
      </w:r>
      <w:r>
        <w:rPr>
          <w:rFonts w:ascii="Arial" w:cs="Arial" w:eastAsia="Arial" w:hAnsi="Arial"/>
          <w:sz w:val="18"/>
          <w:szCs w:val="18"/>
          <w:color w:val="auto"/>
        </w:rPr>
        <w:t>day period of service (as defined by the Plan).</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firstLine="84"/>
        <w:spacing w:after="0" w:line="271" w:lineRule="auto"/>
        <w:tabs>
          <w:tab w:leader="none" w:pos="362"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With respect to each participant whose employment relationship is covered by a collective bargaining agreement, the amount of contributions by Waste Management, if any, is provided for in the applicable collective bargaining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Investment Options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offers participants diversified investment options. During 2017, the Plan offered (a) 12 common collective trust funds (including nine target retirement-date funds); (b) five mutual funds; (c) a WM common stock fund (which is an Employee Stock Ownership Plan); (d) a stable value fund, which includes direct investments in fully benefit-responsive contracts and investments in common collective trust funds, managed by Galliard Capital Management (“Galliard”) and (e) 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w:t>
      </w:r>
      <w:r>
        <w:rPr>
          <w:rFonts w:ascii="MS PGothic" w:cs="MS PGothic" w:eastAsia="MS PGothic" w:hAnsi="MS PGothic"/>
          <w:sz w:val="16"/>
          <w:szCs w:val="16"/>
          <w:color w:val="auto"/>
        </w:rPr>
        <w:t>‑</w:t>
      </w:r>
      <w:r>
        <w:rPr>
          <w:rFonts w:ascii="Arial" w:cs="Arial" w:eastAsia="Arial" w:hAnsi="Arial"/>
          <w:sz w:val="16"/>
          <w:szCs w:val="16"/>
          <w:color w:val="auto"/>
        </w:rPr>
        <w:t>1/2 may withdraw from their accounts. Distributions are made by a single lump-sum payment or direct rollover. Distributions of accounts invested in WM common stock may be taken in whole shares of common stock or cash.</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w:t>
      </w:r>
      <w:r>
        <w:rPr>
          <w:rFonts w:ascii="MS PGothic" w:cs="MS PGothic" w:eastAsia="MS PGothic" w:hAnsi="MS PGothic"/>
          <w:sz w:val="18"/>
          <w:szCs w:val="18"/>
          <w:color w:val="auto"/>
        </w:rPr>
        <w:t>‑</w:t>
      </w:r>
      <w:r>
        <w:rPr>
          <w:rFonts w:ascii="Arial" w:cs="Arial" w:eastAsia="Arial" w:hAnsi="Arial"/>
          <w:sz w:val="18"/>
          <w:szCs w:val="18"/>
          <w:color w:val="auto"/>
        </w:rPr>
        <w:t>month period, and the participant is not permitted to contribute to the Plan or any other plans maintained by Waste Management for six months after receiving the hardship distribution.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2017 and 2016.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8" w:name="page9"/>
    <w:bookmarkEnd w:id="8"/>
    <w:p>
      <w:pPr>
        <w:jc w:val="both"/>
        <w:ind w:firstLine="3"/>
        <w:spacing w:after="0" w:line="253"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 (b) repayments be made no less frequently than quarterly; (c) loans be repaid over a period not to exceed 54 months and (d)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expenses of the Plan are generally allocated among participants. Loan administration fees and certain other expenses are charged directly to the account balance of the applicable participant. In 2017, Waste Management elected to pay certain audit and legal fees of the Plan.</w:t>
      </w:r>
    </w:p>
    <w:p>
      <w:pPr>
        <w:spacing w:after="0" w:line="177" w:lineRule="exact"/>
        <w:rPr>
          <w:sz w:val="20"/>
          <w:szCs w:val="20"/>
          <w:color w:val="auto"/>
        </w:rPr>
      </w:pPr>
    </w:p>
    <w:p>
      <w:pPr>
        <w:ind w:right="6380" w:firstLine="3"/>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records purchases and sales of securities on a trade-date basis and dividends on the ex-dividend date. Interest income is recorded on the accrual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When necessary, reclassifications are made to the prior year financial information to conform to the current year presentation.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Stable Value Fund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attempts to replicate the investment characteristics of traditional GICs, which provide a specified rate of return for a specific period of time. Contract value represents principal, plus accrued interest less withdrawals.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fund also invests in two common collective trust funds, Wells Fargo Stable Value Fund W, which has an investment objective similar to that of the fund, and Wells Fargo/BlackRock Short Term Investment Fund S, which invests in highly liquid assets and is used for daily liquidity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181" w:lineRule="exact"/>
        <w:rPr>
          <w:sz w:val="20"/>
          <w:szCs w:val="20"/>
          <w:color w:val="auto"/>
        </w:rPr>
      </w:pPr>
    </w:p>
    <w:p>
      <w:pPr>
        <w:jc w:val="both"/>
        <w:ind w:left="260"/>
        <w:spacing w:after="0" w:line="34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Inputs that are generally unobservable and typically reflect the Plan’s estimate of assumptions that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would use in pricing the asset or liability. The Plan had no Level 3 assets as of December 31, 2017 or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by level, within the fair value hierarchy, a summary of investments of the Plan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measured at fair value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Quoted Prices in Active Markets (Level 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Mutual funds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892,825,400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745,348,620</w:t>
            </w:r>
          </w:p>
        </w:tc>
      </w:tr>
      <w:tr>
        <w:trPr>
          <w:trHeight w:val="21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WM common stock</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196,936,724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164,768,180</w:t>
            </w:r>
          </w:p>
        </w:tc>
      </w:tr>
      <w:tr>
        <w:trPr>
          <w:trHeight w:val="216"/>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Self-directed brokerage accounts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39,680,718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33,385,237</w:t>
            </w:r>
          </w:p>
        </w:tc>
      </w:tr>
      <w:tr>
        <w:trPr>
          <w:trHeight w:val="210"/>
        </w:trPr>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1</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1,129,442,842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943,502,037</w:t>
            </w:r>
          </w:p>
        </w:tc>
      </w:tr>
      <w:tr>
        <w:trPr>
          <w:trHeight w:val="210"/>
        </w:trPr>
        <w:tc>
          <w:tcPr>
            <w:tcW w:w="2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Self-directed brokerage accounts — money fund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7,566,260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9,411,704</w:t>
            </w:r>
          </w:p>
        </w:tc>
      </w:tr>
      <w:tr>
        <w:trPr>
          <w:trHeight w:val="21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Stable Value fund — short-term investment fund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7,028,338</w:t>
            </w:r>
          </w:p>
        </w:tc>
      </w:tr>
      <w:tr>
        <w:trPr>
          <w:trHeight w:val="216"/>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Money fund</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604,929</w:t>
            </w:r>
          </w:p>
        </w:tc>
      </w:tr>
      <w:tr>
        <w:trPr>
          <w:trHeight w:val="210"/>
        </w:trPr>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Level 2</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14,744,068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17,044,971</w:t>
            </w:r>
          </w:p>
        </w:tc>
      </w:tr>
      <w:tr>
        <w:trPr>
          <w:trHeight w:val="210"/>
        </w:trPr>
        <w:tc>
          <w:tcPr>
            <w:tcW w:w="2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Common collective trust funds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900,387,851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725,874,953</w:t>
            </w:r>
          </w:p>
        </w:tc>
      </w:tr>
      <w:tr>
        <w:trPr>
          <w:trHeight w:val="210"/>
        </w:trPr>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 Investments Measured at Net Asset Value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900,387,851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725,874,953</w:t>
            </w:r>
          </w:p>
        </w:tc>
      </w:tr>
      <w:tr>
        <w:trPr>
          <w:trHeight w:val="217"/>
        </w:trPr>
        <w:tc>
          <w:tcPr>
            <w:tcW w:w="5260" w:type="dxa"/>
            <w:vAlign w:val="bottom"/>
            <w:gridSpan w:val="2"/>
          </w:tcPr>
          <w:p>
            <w:pPr>
              <w:ind w:left="660"/>
              <w:spacing w:after="0"/>
              <w:rPr>
                <w:sz w:val="20"/>
                <w:szCs w:val="20"/>
                <w:color w:val="auto"/>
              </w:rPr>
            </w:pPr>
            <w:r>
              <w:rPr>
                <w:rFonts w:ascii="Arial" w:cs="Arial" w:eastAsia="Arial" w:hAnsi="Arial"/>
                <w:sz w:val="18"/>
                <w:szCs w:val="18"/>
                <w:color w:val="auto"/>
              </w:rPr>
              <w:t>Total Investments at Fair Value</w:t>
            </w:r>
          </w:p>
        </w:tc>
        <w:tc>
          <w:tcPr>
            <w:tcW w:w="1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2,044,574,761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1,686,421,961</w:t>
            </w:r>
          </w:p>
        </w:tc>
      </w:tr>
      <w:tr>
        <w:trPr>
          <w:trHeight w:val="108"/>
        </w:trPr>
        <w:tc>
          <w:tcPr>
            <w:tcW w:w="228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Plan has received a determination letter from the IRS dated April 30, 2015, stating that the Plan, as amended and restated as of January 1, 2015, is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Internal Revenue Service. The Plan administrator has analyzed the tax positions taken by the Plan, and has concluded that as of December 31, 2017,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2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0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$ 2,429,727,764</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$ 2,066,185,547</w:t>
            </w: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Amounts pending distribution to participants</w:t>
            </w: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(1,452,495)</w:t>
            </w:r>
          </w:p>
        </w:tc>
        <w:tc>
          <w:tcPr>
            <w:tcW w:w="1220" w:type="dxa"/>
            <w:vAlign w:val="bottom"/>
          </w:tcPr>
          <w:p>
            <w:pPr>
              <w:jc w:val="right"/>
              <w:spacing w:after="0"/>
              <w:rPr>
                <w:sz w:val="20"/>
                <w:szCs w:val="20"/>
                <w:color w:val="auto"/>
              </w:rPr>
            </w:pPr>
            <w:r>
              <w:rPr>
                <w:rFonts w:ascii="Arial" w:cs="Arial" w:eastAsia="Arial" w:hAnsi="Arial"/>
                <w:sz w:val="18"/>
                <w:szCs w:val="18"/>
                <w:color w:val="auto"/>
              </w:rPr>
              <w:t>(604,379)</w:t>
            </w:r>
          </w:p>
        </w:tc>
      </w:tr>
      <w:tr>
        <w:trPr>
          <w:trHeight w:val="217"/>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$ 2,428,275,269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$ 2,065,581,168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 5500 for the year ended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363,542,217</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as of December 31, 2016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604,379</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as of December 31, 2017</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(1,452,495)</w:t>
            </w:r>
          </w:p>
        </w:tc>
      </w:tr>
      <w:tr>
        <w:trPr>
          <w:trHeight w:val="217"/>
        </w:trPr>
        <w:tc>
          <w:tcPr>
            <w:tcW w:w="772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362,694,101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of America serves as the trustee of the Plan and is an affiliate of BAML, which is the Plan’s third-party recordkeeper and provides securities brokerage services for the self-directed brokerage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Because WM is the Plan sponsor, transactions involving WM common stock also qualify as party-in-interest transactions. The Plan sponsor believes that all of these transactions are exempt from the prohibited transactions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4"/>
          </w:tcPr>
          <w:p>
            <w:pPr>
              <w:jc w:val="center"/>
              <w:ind w:right="1299"/>
              <w:spacing w:after="0"/>
              <w:rPr>
                <w:sz w:val="20"/>
                <w:szCs w:val="20"/>
                <w:color w:val="auto"/>
              </w:rPr>
            </w:pPr>
            <w:r>
              <w:rPr>
                <w:rFonts w:ascii="Arial" w:cs="Arial" w:eastAsia="Arial" w:hAnsi="Arial"/>
                <w:sz w:val="18"/>
                <w:szCs w:val="18"/>
                <w:color w:val="auto"/>
                <w:w w:val="88"/>
              </w:rPr>
              <w:t>Waste Management Retirement Savings Plan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680" w:type="dxa"/>
            <w:vAlign w:val="bottom"/>
            <w:gridSpan w:val="6"/>
          </w:tcPr>
          <w:p>
            <w:pPr>
              <w:jc w:val="center"/>
              <w:ind w:left="1291"/>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EIN: 73</w:t>
            </w:r>
            <w:r>
              <w:rPr>
                <w:rFonts w:ascii="MS PGothic" w:cs="MS PGothic" w:eastAsia="MS PGothic" w:hAnsi="MS PGothic"/>
                <w:sz w:val="18"/>
                <w:szCs w:val="18"/>
                <w:color w:val="auto"/>
                <w:w w:val="97"/>
              </w:rPr>
              <w:t>‑</w:t>
            </w:r>
            <w:r>
              <w:rPr>
                <w:rFonts w:ascii="Arial" w:cs="Arial" w:eastAsia="Arial" w:hAnsi="Arial"/>
                <w:sz w:val="18"/>
                <w:szCs w:val="18"/>
                <w:color w:val="auto"/>
                <w:w w:val="97"/>
              </w:rPr>
              <w:t>1309529</w:t>
            </w:r>
          </w:p>
        </w:tc>
        <w:tc>
          <w:tcPr>
            <w:tcW w:w="2940" w:type="dxa"/>
            <w:vAlign w:val="bottom"/>
          </w:tcPr>
          <w:p>
            <w:pPr>
              <w:ind w:left="240"/>
              <w:spacing w:after="0"/>
              <w:rPr>
                <w:sz w:val="20"/>
                <w:szCs w:val="20"/>
                <w:color w:val="auto"/>
              </w:rPr>
            </w:pPr>
            <w:r>
              <w:rPr>
                <w:rFonts w:ascii="Arial" w:cs="Arial" w:eastAsia="Arial" w:hAnsi="Arial"/>
                <w:sz w:val="18"/>
                <w:szCs w:val="18"/>
                <w:color w:val="auto"/>
              </w:rPr>
              <w:t>Plan: 001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gridSpan w:val="2"/>
          </w:tcPr>
          <w:p>
            <w:pPr>
              <w:jc w:val="center"/>
              <w:ind w:right="1959"/>
              <w:spacing w:after="0"/>
              <w:rPr>
                <w:sz w:val="20"/>
                <w:szCs w:val="20"/>
                <w:color w:val="auto"/>
              </w:rPr>
            </w:pPr>
            <w:r>
              <w:rPr>
                <w:rFonts w:ascii="Arial" w:cs="Arial" w:eastAsia="Arial" w:hAnsi="Arial"/>
                <w:sz w:val="18"/>
                <w:szCs w:val="18"/>
                <w:color w:val="auto"/>
                <w:w w:val="89"/>
              </w:rPr>
              <w:t>December 31, 2017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78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Identity of Issue</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 of Investment</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BlackRock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Institutional Fund – Money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1,452,977</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Waste Management, Inc.</w:t>
            </w:r>
          </w:p>
        </w:tc>
        <w:tc>
          <w:tcPr>
            <w:tcW w:w="46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196,936,724</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BlackRock</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BlackRock Russell 1000 Value Fund 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80,232,740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T. Rowe Price Trust Company</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T. Rowe Price Blue Chip Growth Trust 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131,304,328</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JPMCB SmartRetirement Income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43,214,487</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JPMCB SmartRetirement 2020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150,460,880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JPMCB SmartRetirement 2025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36,703,404</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JPMCB SmartRetirement 2030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252,985,813</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JPMCB SmartRetirement 2035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29,460,909</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JPMCB SmartRetirement 2040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119,210,879</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JPMCB SmartRetirement 2045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22,548,883</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JPMCB SmartRetirement 2050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24,603,838</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JPMorgan Chase Bank, N.A.</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JPMCB SmartRetirement 2055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9,661,690</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The Vanguard Group, Inc.</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Vanguard Total Bond Market Index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127,453,692</w:t>
            </w:r>
          </w:p>
        </w:tc>
      </w:tr>
      <w:tr>
        <w:trPr>
          <w:trHeight w:val="216"/>
        </w:trPr>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Vanguard Group, Inc.</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Vanguard Institutional Total Stock Market Index Fund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390,489,884</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The Vanguard Group, Inc.</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Vanguard S&amp;P Small-Cap 600 Index Fund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162,103,219</w:t>
            </w:r>
          </w:p>
        </w:tc>
      </w:tr>
      <w:tr>
        <w:trPr>
          <w:trHeight w:val="216"/>
        </w:trPr>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American Funds</w:t>
            </w:r>
          </w:p>
        </w:tc>
        <w:tc>
          <w:tcPr>
            <w:tcW w:w="4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American Funds EuroPacific Growth Fund Class R6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164,016,489</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Dimensional Fund Advisors</w:t>
            </w:r>
          </w:p>
        </w:tc>
        <w:tc>
          <w:tcPr>
            <w:tcW w:w="46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Arial" w:cs="Arial" w:eastAsia="Arial" w:hAnsi="Arial"/>
                <w:sz w:val="18"/>
                <w:szCs w:val="18"/>
                <w:color w:val="auto"/>
              </w:rPr>
              <w:t>DFA Emerging Markets Core Equity Portfolio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48,762,116</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Galliard Capital Management, Inc.</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Stable Value Fund</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316,432,386</w:t>
            </w:r>
          </w:p>
        </w:tc>
      </w:tr>
      <w:tr>
        <w:trPr>
          <w:trHeight w:val="202"/>
        </w:trPr>
        <w:tc>
          <w:tcPr>
            <w:tcW w:w="4740" w:type="dxa"/>
            <w:vAlign w:val="bottom"/>
            <w:gridSpan w:val="5"/>
          </w:tcPr>
          <w:p>
            <w:pPr>
              <w:spacing w:after="0" w:line="201" w:lineRule="exact"/>
              <w:rPr>
                <w:sz w:val="20"/>
                <w:szCs w:val="20"/>
                <w:color w:val="auto"/>
              </w:rPr>
            </w:pPr>
            <w:r>
              <w:rPr>
                <w:rFonts w:ascii="Arial" w:cs="Arial" w:eastAsia="Arial" w:hAnsi="Arial"/>
                <w:sz w:val="18"/>
                <w:szCs w:val="18"/>
                <w:color w:val="auto"/>
              </w:rPr>
              <w:t>* Merrill Lynch, Pierce, Fenner &amp; Smith</w:t>
            </w: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27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Incorporated</w:t>
            </w:r>
          </w:p>
        </w:tc>
        <w:tc>
          <w:tcPr>
            <w:tcW w:w="4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Self-Directed Brokerage Accounts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47,246,978</w:t>
            </w:r>
          </w:p>
        </w:tc>
      </w:tr>
      <w:tr>
        <w:trPr>
          <w:trHeight w:val="210"/>
        </w:trPr>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2,355,282,316</w:t>
            </w:r>
          </w:p>
        </w:tc>
      </w:tr>
      <w:tr>
        <w:trPr>
          <w:trHeight w:val="202"/>
        </w:trPr>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8"/>
              </w:rPr>
              <w:t>Various maturity dates with interest rates ranging from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7"/>
              </w:rPr>
              <w:t>* Notes receivable from participants</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2"/>
              </w:rPr>
              <w:t>3.25% to 5.25%</w:t>
            </w:r>
          </w:p>
        </w:tc>
        <w:tc>
          <w:tcPr>
            <w:tcW w:w="29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70,337,814</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2,425,620,130</w:t>
            </w:r>
          </w:p>
        </w:tc>
      </w:tr>
      <w:tr>
        <w:trPr>
          <w:trHeight w:val="108"/>
        </w:trPr>
        <w:tc>
          <w:tcPr>
            <w:tcW w:w="2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Party-in-interest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8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6140" w:type="dxa"/>
            <w:vAlign w:val="bottom"/>
            <w:gridSpan w:val="2"/>
          </w:tcPr>
          <w:p>
            <w:pPr>
              <w:ind w:left="146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May 30, 2018</w:t>
            </w:r>
          </w:p>
        </w:tc>
        <w:tc>
          <w:tcPr>
            <w:tcW w:w="6140" w:type="dxa"/>
            <w:vAlign w:val="bottom"/>
            <w:gridSpan w:val="2"/>
          </w:tcPr>
          <w:p>
            <w:pPr>
              <w:ind w:left="1460"/>
              <w:spacing w:after="0"/>
              <w:rPr>
                <w:sz w:val="20"/>
                <w:szCs w:val="20"/>
                <w:color w:val="auto"/>
              </w:rPr>
            </w:pPr>
            <w:r>
              <w:rPr>
                <w:rFonts w:ascii="Arial" w:cs="Arial" w:eastAsia="Arial" w:hAnsi="Arial"/>
                <w:sz w:val="18"/>
                <w:szCs w:val="18"/>
                <w:color w:val="auto"/>
              </w:rPr>
              <w:t>By:   /s/ Gordon Blasius</w:t>
            </w:r>
          </w:p>
        </w:tc>
      </w:tr>
      <w:tr>
        <w:trPr>
          <w:trHeight w:val="195"/>
        </w:trPr>
        <w:tc>
          <w:tcPr>
            <w:tcW w:w="2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2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2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77" w:right="14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82"/>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gridSpan w:val="2"/>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jc w:val="center"/>
              <w:spacing w:after="0" w:line="170" w:lineRule="exact"/>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gridSpan w:val="2"/>
          </w:tcPr>
          <w:p>
            <w:pPr>
              <w:spacing w:after="0" w:line="170" w:lineRule="exact"/>
              <w:rPr>
                <w:sz w:val="20"/>
                <w:szCs w:val="20"/>
                <w:color w:val="auto"/>
              </w:rPr>
            </w:pPr>
            <w:r>
              <w:rPr>
                <w:rFonts w:ascii="Arial" w:cs="Arial" w:eastAsia="Arial" w:hAnsi="Arial"/>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898"/>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Borders>
              <w:top w:val="single" w:sz="8" w:color="0000EE"/>
            </w:tcBorders>
            <w:gridSpan w:val="2"/>
          </w:tcPr>
          <w:p>
            <w:pPr>
              <w:jc w:val="right"/>
              <w:ind w:right="436"/>
              <w:spacing w:after="0"/>
              <w:rPr>
                <w:sz w:val="20"/>
                <w:szCs w:val="20"/>
                <w:color w:val="auto"/>
              </w:rPr>
            </w:pPr>
            <w:r>
              <w:rPr>
                <w:rFonts w:ascii="Arial" w:cs="Arial" w:eastAsia="Arial" w:hAnsi="Arial"/>
                <w:sz w:val="18"/>
                <w:szCs w:val="18"/>
                <w:color w:val="auto"/>
              </w:rPr>
              <w:t>13</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877" w:right="14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333-184156 and Post-Effective Amendment No. 1 thereto) pertaining to the Waste Management Retirement Savings Plan of our report dated May 30, 2018, with respect to the financial statements and supplemental schedule of the Waste Management Retirement Savings Plan included in this Annual Report (Form 11-K)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2019-12-05T17:44:09Z</dcterms:created>
  <dcterms:modified xsi:type="dcterms:W3CDTF">2019-12-05T17:44:09Z</dcterms:modified>
</cp:coreProperties>
</file>