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87541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8754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Fish James C Jr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WM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Pres, Chief Executive Officer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20" w:space="600"/>
            <w:col w:w="3340"/>
          </w:cols>
          <w:pgMar w:left="460" w:top="221" w:right="359" w:bottom="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1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4. Securities Acquired (A) or Disposed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6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Of (D) (Instr. 3, 4 and 5)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jc w:val="center"/>
              <w:ind w:left="48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06/01/2021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57,283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98.898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284,012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06/01/2021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49,342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85.34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333,354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06/01/2021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131,625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140.5012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201,729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4,024.7376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Fish 2018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846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Annual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Exclusion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 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Fish 2018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846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Annual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Exclusion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 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8,500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Nicole M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Fish GST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Stephanie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8,500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 Fish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0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98.898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06/01/2021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57,283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02/19/2020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02/19/2029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57,283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98.898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57,283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85.34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06/01/2021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49,342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02/20/2019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02/20/2028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49,342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85.3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8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1"/>
          <w:szCs w:val="21"/>
          <w:color w:val="008000"/>
          <w:vertAlign w:val="superscript"/>
        </w:rPr>
        <w:t>(3)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exercise and shares sold pursuant to a 10b5-1 trading plan.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40" w:firstLine="2"/>
        <w:spacing w:after="0" w:line="290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$140.08 to $141.49.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Stock option granted pursuant to Waste Management, Inc. 2014 Stock Incentive Plan. The stock option vests 25% on the first and second anniversary of the date of grant with the remaining 50% on the third</w:t>
      </w:r>
    </w:p>
    <w:p>
      <w:pPr>
        <w:sectPr>
          <w:pgSz w:w="11900" w:h="16838" w:orient="portrait"/>
          <w:cols w:equalWidth="0" w:num="1">
            <w:col w:w="11080"/>
          </w:cols>
          <w:pgMar w:left="460" w:top="221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anniversary of the date of grant.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tbl>
      <w:tblPr>
        <w:tblLayout w:type="fixed"/>
        <w:tblInd w:w="65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06/03/2021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right="2519" w:firstLine="2"/>
        <w:spacing w:after="0" w:line="334" w:lineRule="auto"/>
        <w:tabs>
          <w:tab w:leader="none" w:pos="13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59"/>
      </w:cols>
      <w:pgMar w:left="500" w:top="131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23568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2021-06-03T13:09:30Z</dcterms:created>
  <dcterms:modified xsi:type="dcterms:W3CDTF">2021-06-03T13:09:30Z</dcterms:modified>
</cp:coreProperties>
</file>