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580"/>
            <w:col w:w="742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20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57"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65"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67"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21, 2014 was 457,920,973 (excluding treasury shares of 172,361,488).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00" w:type="dxa"/>
            <w:vAlign w:val="bottom"/>
          </w:tcPr>
          <w:p>
            <w:pPr>
              <w:jc w:val="center"/>
              <w:ind w:left="1843"/>
              <w:spacing w:after="0"/>
              <w:rPr>
                <w:sz w:val="20"/>
                <w:szCs w:val="20"/>
                <w:color w:val="auto"/>
              </w:rPr>
            </w:pPr>
            <w:r>
              <w:rPr>
                <w:rFonts w:ascii="Arial" w:cs="Arial" w:eastAsia="Arial" w:hAnsi="Arial"/>
                <w:sz w:val="18"/>
                <w:szCs w:val="18"/>
                <w:b w:val="1"/>
                <w:bCs w:val="1"/>
                <w:color w:val="auto"/>
                <w:w w:val="96"/>
              </w:rPr>
              <w:t>PART I.</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Pr>
          <w:p>
            <w:pPr>
              <w:jc w:val="center"/>
              <w:ind w:left="1843"/>
              <w:spacing w:after="0"/>
              <w:rPr>
                <w:sz w:val="20"/>
                <w:szCs w:val="20"/>
                <w:color w:val="auto"/>
              </w:rPr>
            </w:pPr>
            <w:r>
              <w:rPr>
                <w:rFonts w:ascii="Arial" w:cs="Arial" w:eastAsia="Arial" w:hAnsi="Arial"/>
                <w:sz w:val="18"/>
                <w:szCs w:val="18"/>
                <w:b w:val="1"/>
                <w:bCs w:val="1"/>
                <w:color w:val="auto"/>
                <w:w w:val="97"/>
              </w:rPr>
              <w:t>WASTE MANAGEMENT, INC.</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Pr>
          <w:p>
            <w:pPr>
              <w:jc w:val="center"/>
              <w:ind w:left="1843"/>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00" w:type="dxa"/>
            <w:vAlign w:val="bottom"/>
          </w:tcPr>
          <w:p>
            <w:pPr>
              <w:jc w:val="center"/>
              <w:ind w:left="1843"/>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300" w:type="dxa"/>
            <w:vAlign w:val="bottom"/>
            <w:shd w:val="clear" w:color="auto" w:fill="CCEEFF"/>
          </w:tcPr>
          <w:p>
            <w:pPr>
              <w:ind w:left="4820"/>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Accounts receivable, net of allowance for doubtful accounts of $32 and $33, respectively</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1,643</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receivables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in unconsolidated entity</w:t>
            </w:r>
          </w:p>
        </w:tc>
        <w:tc>
          <w:tcPr>
            <w:tcW w:w="160" w:type="dxa"/>
            <w:vAlign w:val="bottom"/>
          </w:tcPr>
          <w:p>
            <w:pPr>
              <w:spacing w:after="0"/>
              <w:rPr>
                <w:sz w:val="12"/>
                <w:szCs w:val="12"/>
                <w:color w:val="auto"/>
              </w:rPr>
            </w:pPr>
          </w:p>
        </w:tc>
        <w:tc>
          <w:tcPr>
            <w:tcW w:w="1480" w:type="dxa"/>
            <w:vAlign w:val="bottom"/>
            <w:gridSpan w:val="3"/>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Parts and supplies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Businesses held-for-sale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4,116</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$16,036 and $16,723, respectively</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10,849</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5,766</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entities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573</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22,211</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00" w:type="dxa"/>
            <w:vAlign w:val="bottom"/>
            <w:vMerge w:val="restart"/>
          </w:tcPr>
          <w:p>
            <w:pPr>
              <w:ind w:left="42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Deferred revenues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Businesses held-for-sale</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369</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3,789</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9,023</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8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16,548</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8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Waste Management, Inc. stockholders’ equity:</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4,466</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6,473</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Treasury stock at cost, 172,430,205 and 165,961,646 shares, respectively</w:t>
            </w:r>
          </w:p>
        </w:tc>
        <w:tc>
          <w:tcPr>
            <w:tcW w:w="160" w:type="dxa"/>
            <w:vAlign w:val="bottom"/>
          </w:tcPr>
          <w:p>
            <w:pPr>
              <w:spacing w:after="0"/>
              <w:rPr>
                <w:sz w:val="13"/>
                <w:szCs w:val="13"/>
                <w:color w:val="auto"/>
              </w:rPr>
            </w:pPr>
          </w:p>
        </w:tc>
        <w:tc>
          <w:tcPr>
            <w:tcW w:w="1480" w:type="dxa"/>
            <w:vAlign w:val="bottom"/>
            <w:gridSpan w:val="3"/>
          </w:tcPr>
          <w:p>
            <w:pPr>
              <w:jc w:val="right"/>
              <w:ind w:right="780"/>
              <w:spacing w:after="0" w:line="149" w:lineRule="exact"/>
              <w:rPr>
                <w:sz w:val="20"/>
                <w:szCs w:val="20"/>
                <w:color w:val="auto"/>
              </w:rPr>
            </w:pPr>
            <w:r>
              <w:rPr>
                <w:rFonts w:ascii="Arial" w:cs="Arial" w:eastAsia="Arial" w:hAnsi="Arial"/>
                <w:sz w:val="14"/>
                <w:szCs w:val="14"/>
                <w:color w:val="auto"/>
              </w:rPr>
              <w:t>(5,658)</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Waste Management, Inc. stockholders’ equity</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5,364</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5,663</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300" w:type="dxa"/>
            <w:vAlign w:val="bottom"/>
          </w:tcPr>
          <w:p>
            <w:pPr>
              <w:ind w:left="60"/>
              <w:spacing w:after="0" w:line="155" w:lineRule="exact"/>
              <w:rPr>
                <w:sz w:val="20"/>
                <w:szCs w:val="20"/>
                <w:color w:val="auto"/>
              </w:rPr>
            </w:pPr>
            <w:r>
              <w:rPr>
                <w:rFonts w:ascii="Arial" w:cs="Arial" w:eastAsia="Arial" w:hAnsi="Arial"/>
                <w:sz w:val="14"/>
                <w:szCs w:val="14"/>
                <w:color w:val="auto"/>
              </w:rPr>
              <w:t>Total liabilities and equity</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22,211</w:t>
            </w:r>
          </w:p>
        </w:tc>
        <w:tc>
          <w:tcPr>
            <w:tcW w:w="8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2014</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$ 3,602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10,559</w:t>
            </w:r>
          </w:p>
        </w:tc>
        <w:tc>
          <w:tcPr>
            <w:tcW w:w="440" w:type="dxa"/>
            <w:vAlign w:val="bottom"/>
            <w:shd w:val="clear" w:color="auto" w:fill="CCEEFF"/>
          </w:tcPr>
          <w:p>
            <w:pPr>
              <w:spacing w:after="0"/>
              <w:rPr>
                <w:sz w:val="18"/>
                <w:szCs w:val="18"/>
                <w:color w:val="auto"/>
              </w:rPr>
            </w:pPr>
          </w:p>
        </w:tc>
        <w:tc>
          <w:tcPr>
            <w:tcW w:w="580" w:type="dxa"/>
            <w:vAlign w:val="bottom"/>
            <w:tcBorders>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2,299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2,325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3"/>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3,044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9,012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8,994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1,489</w:t>
            </w: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3"/>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3"/>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3"/>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4"/>
          </w:tcPr>
          <w:p>
            <w:pPr>
              <w:jc w:val="right"/>
              <w:ind w:right="3"/>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0.62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$ 0.375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0.365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440" w:type="dxa"/>
            <w:vAlign w:val="bottom"/>
            <w:gridSpan w:val="15"/>
          </w:tcPr>
          <w:p>
            <w:pPr>
              <w:jc w:val="center"/>
              <w:ind w:left="1852"/>
              <w:spacing w:after="0"/>
              <w:rPr>
                <w:sz w:val="20"/>
                <w:szCs w:val="20"/>
                <w:color w:val="auto"/>
              </w:rPr>
            </w:pPr>
            <w:r>
              <w:rPr>
                <w:rFonts w:ascii="Arial" w:cs="Arial" w:eastAsia="Arial" w:hAnsi="Arial"/>
                <w:sz w:val="18"/>
                <w:szCs w:val="18"/>
                <w:b w:val="1"/>
                <w:bCs w:val="1"/>
                <w:color w:val="auto"/>
                <w:w w:val="97"/>
              </w:rPr>
              <w:t>CONDENSED CONSOLIDATED STATEMENTS OF COMPREHENSIVE INCOME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jc w:val="center"/>
              <w:ind w:left="4172"/>
              <w:spacing w:after="0"/>
              <w:rPr>
                <w:sz w:val="20"/>
                <w:szCs w:val="20"/>
                <w:color w:val="auto"/>
              </w:rPr>
            </w:pPr>
            <w:r>
              <w:rPr>
                <w:rFonts w:ascii="Arial" w:cs="Arial" w:eastAsia="Arial" w:hAnsi="Arial"/>
                <w:sz w:val="18"/>
                <w:szCs w:val="18"/>
                <w:b w:val="1"/>
                <w:bCs w:val="1"/>
                <w:color w:val="auto"/>
                <w:w w:val="93"/>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jc w:val="center"/>
              <w:ind w:left="4172"/>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9"/>
          </w:tcPr>
          <w:p>
            <w:pPr>
              <w:jc w:val="right"/>
              <w:ind w:right="132"/>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(80)</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Post-retirement benefit obligation,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(77)</w:t>
            </w: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71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663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631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6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provision (benefit)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2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(87)</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3"/>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1,811</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2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(781)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and other assets (net of cash divested)</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(deposits to) restricted trust and escrow accounts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2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(576)</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(2,392)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2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(600)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200" w:type="dxa"/>
            <w:vAlign w:val="bottom"/>
          </w:tcPr>
          <w:p>
            <w:pPr>
              <w:spacing w:after="0"/>
              <w:rPr>
                <w:sz w:val="12"/>
                <w:szCs w:val="12"/>
                <w:color w:val="auto"/>
              </w:rPr>
            </w:pP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(1,107)</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Increase (decrease) in cash and cash equivalents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125</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183</w:t>
            </w:r>
          </w:p>
        </w:tc>
        <w:tc>
          <w:tcPr>
            <w:tcW w:w="60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w w:val="90"/>
              </w:rPr>
              <w:t>Waste Management, Inc. Stockholders’ Equity</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2"/>
            <w:vMerge w:val="restart"/>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Paid-In</w:t>
            </w: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2013</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$6,002</w:t>
            </w: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4,596</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(165,962)</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(5,338)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740</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(521)</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Equity-based compensation transactions, including dividend</w:t>
            </w: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147</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3,096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(9,569)</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September 30, 2014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5,663</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630,282</w:t>
            </w: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4,466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(172,430)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(5,658)</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15.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3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On July 25, 2014, the Company signed a definitive Stock Purchase Agreement to sell substantially all of our Wheelabrator business to an affiliate of Energy Capital Partners with closing expected to occur by the end of 2014. Accordingly, our Wheelabrator business has been classified as “Businesses held-for-sale” within our Condensed Consolidated Balance Sheet as of September 30, 2014. Refer to Note 9 for additional information. We also provide additional services that are not managed through our Solid Waste or Wheelabrator businesses, which are presented in this report as “Other.” Additional information related to our segments can be found in Note 8.</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September 30, 2014 and for the three and nine months ended September 30, 2014 and 2013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2013.</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87"/>
              </w:rPr>
              <w:t>September 30, 2014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left="218"/>
              <w:spacing w:after="0"/>
              <w:rPr>
                <w:sz w:val="20"/>
                <w:szCs w:val="20"/>
                <w:color w:val="auto"/>
              </w:rPr>
            </w:pPr>
            <w:r>
              <w:rPr>
                <w:rFonts w:ascii="Arial" w:cs="Arial" w:eastAsia="Arial" w:hAnsi="Arial"/>
                <w:sz w:val="14"/>
                <w:szCs w:val="14"/>
                <w:b w:val="1"/>
                <w:bCs w:val="1"/>
                <w:color w:val="auto"/>
                <w:w w:val="87"/>
              </w:rPr>
              <w:t>December 31, 2013</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Remediation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Remediation</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1,429</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1,660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1,421</w:t>
            </w:r>
          </w:p>
        </w:tc>
        <w:tc>
          <w:tcPr>
            <w:tcW w:w="9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00" w:type="dxa"/>
            <w:vAlign w:val="bottom"/>
            <w:gridSpan w:val="15"/>
          </w:tcPr>
          <w:p>
            <w:pPr>
              <w:ind w:left="460"/>
              <w:spacing w:after="0"/>
              <w:rPr>
                <w:sz w:val="20"/>
                <w:szCs w:val="20"/>
                <w:color w:val="auto"/>
              </w:rPr>
            </w:pPr>
            <w:r>
              <w:rPr>
                <w:rFonts w:ascii="Arial" w:cs="Arial" w:eastAsia="Arial" w:hAnsi="Arial"/>
                <w:sz w:val="18"/>
                <w:szCs w:val="18"/>
                <w:color w:val="auto"/>
                <w:w w:val="92"/>
              </w:rPr>
              <w:t>The changes to landfill and environmental remediation liabilities are reflected in the table below (in millions):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Remediation</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7"/>
              </w:rPr>
              <w:t>$1,338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Revisions in estimates and interest rate assumptions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w w:val="97"/>
              </w:rPr>
              <w:t>Acquisitions, divestitures and other adjustments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Revisions in estimates and interest rate assumptions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w w:val="92"/>
              </w:rPr>
              <w:t>Acquisitions, divestitures and other adjustments(a)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reported for landfill liabilities includes a reduction of approximately $18 million related to our Wheelabrator business which is reflected in “Businesses held-for-sale” in our Condensed Consolidated Balance sheet as of September 30, 2014 due to the pending sale of our Wheelabrator business. Refer to Note 9 for additional information.</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15 for additional information related to these trusts.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September 30, 2014:</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88"/>
        </w:trPr>
        <w:tc>
          <w:tcPr>
            <w:tcW w:w="78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U.S. revolving credit facility, maturing July 2018 (weighted average interest rate of 1.2% at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2014 and December 31, 2013)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2016</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Canadian credit facility and term loan, maturing November 2017 (weighted average effective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of 2.6% at September 30, 2014 and 2.7% at December 31, 2013)</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r>
      <w:tr>
        <w:trPr>
          <w:trHeight w:val="208"/>
        </w:trPr>
        <w:tc>
          <w:tcPr>
            <w:tcW w:w="7820" w:type="dxa"/>
            <w:vAlign w:val="bottom"/>
          </w:tcPr>
          <w:p>
            <w:pPr>
              <w:spacing w:after="0"/>
              <w:rPr>
                <w:sz w:val="20"/>
                <w:szCs w:val="20"/>
                <w:color w:val="auto"/>
              </w:rPr>
            </w:pPr>
            <w:r>
              <w:rPr>
                <w:rFonts w:ascii="Arial" w:cs="Arial" w:eastAsia="Arial" w:hAnsi="Arial"/>
                <w:sz w:val="18"/>
                <w:szCs w:val="18"/>
                <w:color w:val="auto"/>
              </w:rPr>
              <w:t>Senior notes maturing through 2039, interest rates ranging from 2.60% to 7.75% (weighted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820" w:type="dxa"/>
            <w:vAlign w:val="bottom"/>
          </w:tcPr>
          <w:p>
            <w:pPr>
              <w:ind w:left="220"/>
              <w:spacing w:after="0"/>
              <w:rPr>
                <w:sz w:val="20"/>
                <w:szCs w:val="20"/>
                <w:color w:val="auto"/>
              </w:rPr>
            </w:pPr>
            <w:r>
              <w:rPr>
                <w:rFonts w:ascii="Arial" w:cs="Arial" w:eastAsia="Arial" w:hAnsi="Arial"/>
                <w:sz w:val="18"/>
                <w:szCs w:val="18"/>
                <w:color w:val="auto"/>
              </w:rPr>
              <w:t>average interest rate of 5.7% at September 30, 2014 and December 31, 2013)</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6,276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19"/>
                <w:szCs w:val="19"/>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9"/>
              </w:rPr>
              <w:t>Tax-exempt bonds, maturing through 2045, fixed and variable interest rates ranging from 0.05% to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5.7% (weighted average interest rate of 2.1% at September 30, 2014 and 2.3% at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10,164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September 30, 2014, we had (i) $500 million of debt maturing within the next 12 months, including $350 million of 6.375% senior notes that mature in March 2015 and $80 million of tax-exempt bonds; (ii) $585 million of short-term borrowings outstanding under the U.S. revolving credit facility (“$2.25 billion revolving credit facility”); (iii) $56 million of tax-exempt debt related to our Wheelabrator business with long-term maturities, which we have called and repaid effective October 1, 2014 and (iv) $563 million of tax-exempt borrowings subject to repricing within the next 12 months. Based on our intent and ability to refinance portions of our current obligations on a long-term basis as of September 30, 2014, including through use of forecasted available capacity under our $2.25 billion revolving credit facility, we have classified $563 million of this debt as long-term and the remaining $1,141 million as current obligations.</w:t>
      </w:r>
    </w:p>
    <w:p>
      <w:pPr>
        <w:spacing w:after="0" w:line="3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September 30, 2014, we also have $521 million of variable-rate tax-exempt bonds. The interest rates on these bonds are reset on either a daily or weekly basis through a remarketing process. If the remarketing agent is unable to remarket the bonds, the remarketing agent can put the bonds to us. These bonds are supported by letters of credit guaranteeing repayment of the bonds in this event. We classified these borrowings as long-term in our Condensed Consolidated Balance Sheet at September 30, 2014 because the borrowings are supported by letters of credit issued under our $2.25 billion revolving credit facility, which is long-term.</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September 30, 2014, we had an aggregate committed capacity of $2.65 billion for letters of credit under various U.S. credit facilities. Our $2.25 billion revolving credit facility expires in July 2018 and is our primary source of letter of credit capacity. Our remaining committed letter of credit capacity is provided under facilities with terms ending through December 2016. As of September 30, 2014, we had an aggregate of $1.3 billion of letters of credit outstanding under various credit facilities. Approximately $868 million of these letters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of credit have been issued under our $2.25 billion revolving credit facility. As of September 30, 2014, we had outstanding borrowings under our $2.25 billion revolving credit facility of $585 million, leaving $797 million of unused and available capacity.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 Canadian credit agreement that matures in November 2017 and provides for C$150 million of revolving credit capacity. We have the ability to issue up to C$50 million of letters of credit under the Canadian revolving credit facility, which if utilized, reduces the amount of credit capacity available for borrowings. As of September 30, 2014, we had no letters of credit or borrowings outstanding under the credit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During the first nine months of 2014, we incurred net borrowings of $165 million under our $2.25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w:t>
      </w:r>
    </w:p>
    <w:p>
      <w:pPr>
        <w:spacing w:after="0" w:line="5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Canadian Credit Facility and Term Loan </w:t>
      </w:r>
      <w:r>
        <w:rPr>
          <w:rFonts w:ascii="Arial" w:cs="Arial" w:eastAsia="Arial" w:hAnsi="Arial"/>
          <w:sz w:val="18"/>
          <w:szCs w:val="18"/>
          <w:color w:val="auto"/>
        </w:rPr>
        <w:t>— We repaid C$130 million, or $120 million, of net advances under our Canadian credit facility and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2014 with available cash.</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March 2014, we repaid $350 million of 5.0% senior notes that matured in March 2014 with borrowings under our $2.25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In May 2014, we issued $350 million of 3.5% senior notes due May 15, 2024. The net proceeds from the debt issuance were $347 million, all of which were used to repay borrowings under our $2.25 billion revolving credit facility.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Tax-Exempt Bonds — </w:t>
      </w:r>
      <w:r>
        <w:rPr>
          <w:rFonts w:ascii="Arial" w:cs="Arial" w:eastAsia="Arial" w:hAnsi="Arial"/>
          <w:sz w:val="16"/>
          <w:szCs w:val="16"/>
          <w:color w:val="auto"/>
        </w:rPr>
        <w:t>During the nine months ended September 30, 2014, we repaid $37 million of tax-exempt bonds with available cash.</w:t>
      </w:r>
    </w:p>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9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3380" w:type="dxa"/>
            <w:vAlign w:val="bottom"/>
            <w:gridSpan w:val="3"/>
            <w:vMerge w:val="continue"/>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2014</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9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derivatives</w:t>
            </w:r>
          </w:p>
        </w:tc>
        <w:tc>
          <w:tcPr>
            <w:tcW w:w="2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Long-term other assets</w:t>
            </w: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Total derivative assets</w:t>
            </w:r>
          </w:p>
        </w:tc>
        <w:tc>
          <w:tcPr>
            <w:tcW w:w="2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Electricity commodity derivatives(a)</w:t>
            </w:r>
          </w:p>
        </w:tc>
        <w:tc>
          <w:tcPr>
            <w:tcW w:w="2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Foreign currency derivatives</w:t>
            </w:r>
          </w:p>
        </w:tc>
        <w:tc>
          <w:tcPr>
            <w:tcW w:w="22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Current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Total derivative liabilities</w:t>
            </w:r>
          </w:p>
        </w:tc>
        <w:tc>
          <w:tcPr>
            <w:tcW w:w="2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reported as of September 30, 2014 is reflected in “Businesses held-for-sale” in our Condensed Consolidated Balance Sheet due to the pending sale of our Wheelabrator business. Refer to Note 9 for additional information.</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Refer to Note 14 for information related to the inputs used to measure the fair value of our derivative assets and liabilities.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prior years, we entered into interest rate swaps to maintain a portion of our debt obligations at variable market interest rates. We designated these interest rate swaps as fair value hedges of our fixed-rate senior notes. Fair value hedge accounting for interest rate swap contracts increased the carrying value of our debt instruments by $48 million as of September 30, 2014 and $59 million as of December 31, 2013. These fair value adjustments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long-term debt are being amortized as a reduction to interest expense using the effective interest method over the remaining term of the related senior notes, which extend through 2028. We recognized benefits to interest expense associated with the amortization of our terminated interest rate swaps of $3 million and $5 million for the three-month periods ended September 30, 2014 and 2013, respectively, and $11 million and $15 million for the nine-month periods ended September 30, 2014 and 2013,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These swaps were designated as cash flow hedges and had been executed in prior years to hedge the risk of changes in semi-annual interest payments due to fluctuations in the forward ten-year LIBOR swap rate for an anticipated fixed-rate debt issuance that occurred in May 2014. Accordingly, the effective portion of the loss associated with the matured forward-starting swaps has been deferred as a component of “Accumulated other comprehensive income” and is being amortized to interest expense over the ten-year term of the related senior notes. The ineffectiveness realized during the second quarter of 2014 was not material.</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September 30, 2014 and December 31, 2013, our “Accumulated other comprehensive income” included $51 million and $34 million, respectively, of after-tax deferred losses related to all terminated forward-starting swaps. These losses are being amortized as an increase to interest expense using the effective interest method over the ten-year term of the related senior notes, which extend through 2024. As of September 30, 2014, $11 million (on a pre-tax basis) is scheduled to be reclassified as an increase to interest expense over the next 12 months for these previously terminated swaps.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its Canadian subsidiaries. As of September 30, 2014, we had foreign exchange cross currency swaps outstanding for all of the anticipated cash flows associated with intercompany loans from WM Holdings to the wholly-owned Canadian subsidiaries. The hedged cash flows as of September 30, 2014 include C$370 million of total notional value. The scheduled principal payments of the loan and the related swaps are as follows: C$70 million due on October 31, 2016, C$150 million due on October 31, 2017 and C$150 million due on October 31, 2018. We designated these cross currency swaps as cash flow hedges. Gains or losses resulting from the remeasurement of the underlying non-functional currency intercompany loan are recognized in current earnings in the same financial statement line item as offsetting gains or losses on the related cross currency swaps.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use short-term “receive fixed, pay variable” electricity commodity swaps to reduce the variability in our revenues and cash flows caused by fluctuations in the market prices for electricity. We hedged 1.73 million megawatt hours, or approximately 56%, of Wheelabrator’s full year 2013 merchant electricity sales and the swaps executed through September 30, 2014 are expected to hedge approximately 480,000 megawatt hours, or approximately 16%, of Wheelabrator’s full year 2014 merchant electricity sales. For the three-month periods ended September 30, 2014 and 2013, we hedged 15% and 57%, respectively, of Wheelabrator’s merchant electricity sales. For the nine-month periods ended September 30, 2014 and 2013, we hedged 16% and 55%, respectively, of Wheelabrator’s merchant electricity sales.</w:t>
      </w:r>
    </w:p>
    <w:p>
      <w:pPr>
        <w:spacing w:after="0" w:line="6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was no significant ineffectiveness associated with our cash flow hedges during the three and nine months ended September 30, 2014 or 2013. Refer to Note 12 for information regarding the impacts of our cash flow derivatives on our comprehensive income and results of operations.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September 30, 2014 and December 31, 2013, we did not have any interest rate derivatives outstanding that contained these credit-risk-related features.</w:t>
      </w:r>
    </w:p>
    <w:p>
      <w:pPr>
        <w:spacing w:after="0" w:line="17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effective income tax rate for the three and nine months ended September 30, 2014 was 32.1% and 35.7%, respectively, compared with 34.3% and 33.6%, for the comparable prior year periods. We evaluate our effective income tax rate at each interim period and adjust it as facts and circumstances warrant. The difference between federal income taxes computed at the federal statutory rate and reported income taxes for the three and nine months ended September 30, 2014 was primarily due to the favorable impact of federal tax credits, state tax audit settlements and adjustments to our accruals and related deferred taxes due to the filing of our 2013 income tax returns offset, in part, by the impact of state and local income taxes and non-deductible accruals and impairments. The nine months ended September 30, 2014 was also unfavorably impacted by the divestiture of our Puerto Rico operations and certain other collection and landfill assets offset, in part, by the favorable impact of the revaluation of our deferred taxes and utilization of state net operating losses resulting from a change in state law and the utilization of capital loss carryovers. The difference between federal income taxes computed at the federal statutory rate and reported income taxes for the three and nine months ended September 30, 2013 was primarily due to the favorable impact of federal and state tax credits and tax audit settlements offset, in part, by the unfavorable impact of state and local income taxes and adjustments to our accruals and related deferred taxes due to the filing of our 2012 income tax returns.</w:t>
      </w:r>
    </w:p>
    <w:p>
      <w:pPr>
        <w:spacing w:after="0" w:line="4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2011, we acquired a noncontrolling interest in a limited liability company established to invest in and manage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We recognized $1 million and $3 million of net losses resulting from our share of the entity’s operating losses during the three and nine months ended September 30, 2014, and $1 million and $4 million during the three and nine months ended September 30, 2013, respectively. Our tax provision was reduced by $6 million and $14 million for the three and nine months ended September 30, 2014, respectively, and by $5 million and $14 million for the three and nine months ended September 30, 2013, respectively, primarily as a result of tax credits realized from this investment. See Note 15 for additional information related to this investment.</w:t>
      </w:r>
    </w:p>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2010, we acquired a noncontrolling interest in a limited liability company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Condensed Consolidated Statement of Operations. The value of our investment decreases as the tax credits are generated and utilized. During the three and nine months ended September 30, 2014, we recognized $6 million and $18 million of losses relating to our equity investment in this entity, $1 million and $4 million of interest expense, and a reduction in our tax provision of $10 million (including $7 million of tax credits) and $27 million (including $18 million of tax credits), respectively. During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three and nine months ended September 30, 2013, we recognized $6 million and $18 million of losses relating to our equity investment in this entity, $2 million and $5 million of interest expense, and a reduction in our tax provision of $11 million (including $8 million of tax credits) and $28 million (including $19 million of tax credits), respectively. See Note 15 for additional information related to this investment.</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Bonus Depreciation </w:t>
      </w:r>
      <w:r>
        <w:rPr>
          <w:rFonts w:ascii="Arial" w:cs="Arial" w:eastAsia="Arial" w:hAnsi="Arial"/>
          <w:sz w:val="18"/>
          <w:szCs w:val="18"/>
          <w:color w:val="auto"/>
        </w:rPr>
        <w:t>— The American Taxpayer Relief Act of 2012 was signed into law on January 2, 2013 and included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17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Pr>
          <w:p>
            <w:pPr>
              <w:spacing w:after="0"/>
              <w:rPr>
                <w:sz w:val="14"/>
                <w:szCs w:val="14"/>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347"/>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2013</w:t>
            </w: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457.9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469.2</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issuable shares</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469.2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80" w:type="dxa"/>
            <w:vAlign w:val="bottom"/>
            <w:gridSpan w:val="2"/>
            <w:vMerge w:val="continue"/>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9"/>
              </w:rPr>
              <w:t>Number of anti-dilutive potentially issuable shares excluded from diluted common</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September 30, 2014 include (i) guarantees of unconsolidated entities’ financial obligations maturing through 2020 for maximum future payments of $9 million and (ii) agreements guaranteeing certain market value losses for approximately 800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$231 million recorded in the Condensed Consolidated Financial Statements as of September 30, 2014.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facts and circumstances, could result in revisions to our accruals that could cause upward or downward adjustments to income from operations. These adjustments could be material in any given period.</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2014, we had been notified by the government that we are a PRP in connection with 75 locations listed on the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filed with the District Court of Harris County, Texas (the “District Court”) alleges the mismanagement of certain waste pits that were operated from 1965 to 1966 by MIMC. In 1998, a predecessor of WM acquired the stock of the parent entity of MIMC. On October 9, 2014, the District Court granted a motion for summary judgment that resulted in the dismissal of WM from the case, with remaining claims against Waste Management of Texas, Inc. and MIMC currently the subject of an on-going trial. Given the inherent uncertainties of litigation and numerous legal and factual issues in dispute, we cannot currently predict an outcome or estimate a range of loss. At this time, we do not believe that the resolution of this matter could have a material adverse effect on our business, financial condition or liquidity, but that it could have a material adverse effect on our results of operations or cash flows for a particular reporting period.</w:t>
      </w:r>
    </w:p>
    <w:p>
      <w:pPr>
        <w:spacing w:after="0" w:line="3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on April 30, 2014, the United States District Court for the District of Hawaii issued an indictment against Waste Management of Hawaii, Inc. (“WMHI”) and two employees of WMHI. The United States Attorney’s Office for the District of Hawaii had been investigating water discharges at the Waimanalo Gulch Sanitary Landfill, which WMHI operates for the city and county of Honolulu, in connection with three major rainstorms in December 2010 and January 2011. The indictment alleges violations of the federal Clean Water Act, conspiracy and making false statements to the Hawaii Department of Health and the EPA. We are vigorously defending against this action. Given the early stage of this case and significant issues in dispute, we cannot currently predict an outcome or estimate a range of loss, but we could potentially be subject to sanctions, including requirements to pay monetary penalties.</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October 2011 and January 2012, we were named as a defendant in a purported class action in the Circuit Court of Sarasota County,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Circuit Court of Lawrence County, Alabama,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a purported class action in 2008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currently be predicted, but we do not believe that the eventual outcome of these cases will have a material adverse effect on the Company’s business, financial condition, results of operations or cash flows.</w:t>
      </w:r>
    </w:p>
    <w:p>
      <w:pPr>
        <w:spacing w:after="0" w:line="3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any person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6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multiemployer defined benefit pension plans for the covered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Pension Plan.</w:t>
      </w:r>
    </w:p>
    <w:p>
      <w:pPr>
        <w:spacing w:after="0" w:line="6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2013 and 2014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six and 18 months, respectively. We participate in the IRS’s Compliance Assurance Process, which means we work with the IRS throughout the year in order to resolve any material issues prior to the filing of our annual tax return. We are also currently undergoing audits by various state and local jurisdictions for tax years that date back to 2009, with the exception of affirmative claims in one jurisdiction that date back to 2000. We are currently under audit in Canada for the tax years 2012 and 2013 and all tax years prior to 2009 are closed. In July 2011, we acquired Oakleaf Global Holdings (“Oakleaf”), which is subject to potential IRS examination for the year 2011.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Our senior management evaluates, oversees and manages the financial performance of our Solid Waste subsidiaries through our 17 geographic Areas. These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w:t>
      </w:r>
    </w:p>
    <w:p>
      <w:pPr>
        <w:spacing w:after="0" w:line="4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Wheelabrator business, which manages waste-to-energy facilities and independent power production plants, continues to be a separate reportable segment as it meets one of the quantitative disclosure thresholds. On July 25, 2014, the Company signed a definitive Stock Purchase Agreement to sell substantially all of our Wheelabrator business to an affiliate of Energy Capital Partners. Accordingly, our Wheelabrator business has been classified as “Businesses held-for-sale” within our Condensed Consolidated Balance Sheet as of September 30, 2014. We have concluded that our Wheelabrator business does not qualify for discontinued operations accounting under current authoritative guidance based on our commitment to enter into a long-term agreement to supply waste to certain Wheelabrator facilities upon closing. Refer to Note 9 for additional information.</w:t>
      </w:r>
    </w:p>
    <w:p>
      <w:pPr>
        <w:spacing w:after="0" w:line="3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operating segments not evaluated and overseen through the 17 Areas and Wheelabrator are presented herein as “Other” as these operating segments do not meet the criteria to be aggregated with other operating segments and do not meet the quantitative criteria to be separately reported.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8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Operating</w:t>
            </w:r>
          </w:p>
        </w:tc>
        <w:tc>
          <w:tcPr>
            <w:tcW w:w="3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Operations(a)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2"/>
              </w:rPr>
              <w:t>September 30, 2014</w:t>
            </w:r>
          </w:p>
        </w:tc>
        <w:tc>
          <w:tcPr>
            <w:tcW w:w="3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895</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(138)</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1,355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763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2,875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4,238</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3,602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4,238</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3,602</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1,359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ind w:left="42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3,508</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2,900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536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3,621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3,621</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80" w:type="dxa"/>
            <w:vAlign w:val="bottom"/>
            <w:gridSpan w:val="2"/>
          </w:tcPr>
          <w:p>
            <w:pPr>
              <w:jc w:val="right"/>
              <w:ind w:right="273"/>
              <w:spacing w:after="0"/>
              <w:rPr>
                <w:sz w:val="20"/>
                <w:szCs w:val="20"/>
                <w:color w:val="auto"/>
              </w:rPr>
            </w:pPr>
            <w:r>
              <w:rPr>
                <w:rFonts w:ascii="Arial" w:cs="Arial" w:eastAsia="Arial" w:hAnsi="Arial"/>
                <w:sz w:val="18"/>
                <w:szCs w:val="18"/>
                <w:color w:val="auto"/>
                <w:w w:val="99"/>
              </w:rPr>
              <w:t>18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Gross</w:t>
            </w:r>
          </w:p>
        </w:tc>
        <w:tc>
          <w:tcPr>
            <w:tcW w:w="3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0"/>
              </w:rPr>
              <w:t>Operating</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Revenues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1"/>
              </w:rPr>
              <w:t>Revenues</w:t>
            </w:r>
          </w:p>
        </w:tc>
        <w:tc>
          <w:tcPr>
            <w:tcW w:w="3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Operations(a)</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54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2014</w:t>
            </w:r>
          </w:p>
        </w:tc>
        <w:tc>
          <w:tcPr>
            <w:tcW w:w="3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2,630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2,225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2,235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10,112</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12,417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10,559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60" w:type="dxa"/>
            <w:vAlign w:val="bottom"/>
            <w:gridSpan w:val="3"/>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46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12,417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10,559</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September 30, 2013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4,827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3,928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60" w:type="dxa"/>
            <w:vAlign w:val="bottom"/>
            <w:gridSpan w:val="3"/>
            <w:vMerge w:val="restart"/>
          </w:tcPr>
          <w:p>
            <w:pPr>
              <w:ind w:left="44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4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10,096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8,356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1,576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12,379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10,483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12,379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10,483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authoritative guidance, the Company suspends depreciation and amortization on the underlying assets of operations classified as held-for-sale. Accordingly, we suspended $10 million of depreciation and amortization for both the three and nine months ended September 30, 2014 on assets of our Wheelabrator business upon signing the Stock Purchase Agreement discussed in Note 9.</w:t>
      </w:r>
    </w:p>
    <w:p>
      <w:pPr>
        <w:spacing w:after="0" w:line="59"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6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Divestitures and Businesses Held-for-Sale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17, 2014, the Company signed a definitive agreement to acquire the outstanding stock of Deffenbaugh Disposal, Inc., one of the largest privately owned collection and disposal firms in the Midwest. Closing of the acquisition is expected to occur in late 2014 or early 2015, subject to the receipt of regulatory approvals and the satisfaction of customary closing conditions.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Greenstar, LLC </w:t>
      </w:r>
      <w:r>
        <w:rPr>
          <w:rFonts w:ascii="Arial" w:cs="Arial" w:eastAsia="Arial" w:hAnsi="Arial"/>
          <w:sz w:val="16"/>
          <w:szCs w:val="16"/>
          <w:color w:val="auto"/>
        </w:rPr>
        <w:t>— 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an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3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Goodwill of $122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predominantly to our Areas and, to a lesser extent, our recycling brokerage services, as they are expected to benefit from the synergies of the combination. Goodwill related to this acquisition is deductible for income tax purposes. There were no material adjustments to the purchase price allocation from the date of acquisition.</w:t>
      </w:r>
    </w:p>
    <w:p>
      <w:pPr>
        <w:spacing w:after="0" w:line="1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RCI Environnement, Inc. </w:t>
      </w:r>
      <w:r>
        <w:rPr>
          <w:rFonts w:ascii="Arial" w:cs="Arial" w:eastAsia="Arial" w:hAnsi="Arial"/>
          <w:sz w:val="16"/>
          <w:szCs w:val="16"/>
          <w:color w:val="auto"/>
        </w:rPr>
        <w:t>— 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Goodwill of $191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Eastern Canada Area as it is expected to benefit from the synergies of the combination. A portion of goodwill related to this acquisition is deductible for income tax purposes in accordance with Canadian tax law. There were no material adjustments to the purchase price allocation from the date of acquisition.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final allocation of the purchase price for RCI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61"/>
        </w:trPr>
        <w:tc>
          <w:tcPr>
            <w:tcW w:w="9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presents the final allocation of the purchase price for RCI to other intangible assets (amounts in millions, except for amortization periods):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RCI</w:t>
            </w:r>
          </w:p>
        </w:tc>
      </w:tr>
      <w:tr>
        <w:trPr>
          <w:trHeight w:val="129"/>
        </w:trPr>
        <w:tc>
          <w:tcPr>
            <w:tcW w:w="8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82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8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intangible assets subject to amortization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Greenstar and RCI occurred at January 1, 2013 (in millions, except per share amounts):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5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Three Months</w:t>
            </w:r>
          </w:p>
        </w:tc>
        <w:tc>
          <w:tcPr>
            <w:tcW w:w="72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2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2013</w:t>
            </w:r>
          </w:p>
        </w:tc>
        <w:tc>
          <w:tcPr>
            <w:tcW w:w="720" w:type="dxa"/>
            <w:vAlign w:val="bottom"/>
          </w:tcPr>
          <w:p>
            <w:pPr>
              <w:spacing w:after="0"/>
              <w:rPr>
                <w:sz w:val="14"/>
                <w:szCs w:val="14"/>
                <w:color w:val="auto"/>
              </w:rPr>
            </w:pPr>
          </w:p>
        </w:tc>
        <w:tc>
          <w:tcPr>
            <w:tcW w:w="154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10,585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291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0.62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third quarter of 2014, we sold certain landfill and collection operations in our Eastern Canada Area, which were included in Tier 3. We received cash proceeds from the sale of $39 million and recognized a gain of $18 million. In the second quarter of 2014, we sold our Puerto Rico operations and certain other collection and landfill assets which were included in Tier 3 and Tier 1, respectively, of our Solid Waste business. We received proceeds from the sale of $80 million, consisting of $65 million of cash and $15 million of preferred stock. The loss recognized related to the sale was $26 million. The gain and loss associated with these divestitures are recorded in “(Income) expense from divestitures, asset impairments and unusual items” in our Condensed Consolidated Statement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Businesses Held-for-Sale</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July 25, 2014, the Company signed a definitive Stock Purchase Agreement to sell substantially all of our Wheelabrator business to an affiliate of Energy Capital Partners for $1.94 billion in cash, subject to certain post-closing adjustments. Closing of the sale is expected to occur by the end of 2014, subject to the satisfaction of customary closing conditions and receipt of regulatory approvals. In conjunction with the sale, the Company will enter into a long-term agreement to supply waste to certain Wheelabrator facilities upon closing. As of September 30, 2014, our Wheelabrator business meets the criteria to be classified as held-for-sale and has been classified as such within our Condensed Consolidated Balance Sheet. We have concluded that our Wheelabrator business does not qualify for discontinued operations accounting under current authoritative guidance based on our significant continuing obligations under the long-term waste supply agreement. The following table presents the carrying amounts of Wheelabrator assets and liabilities that have been aggregated in “Businesses held-for-sale” as of September 30, 2014 (in millions):</w:t>
      </w:r>
    </w:p>
    <w:p>
      <w:pPr>
        <w:sectPr>
          <w:pgSz w:w="11900" w:h="16838" w:orient="portrait"/>
          <w:cols w:equalWidth="0" w:num="1">
            <w:col w:w="11420"/>
          </w:cols>
          <w:pgMar w:left="240" w:top="274" w:right="239" w:bottom="1440" w:gutter="0" w:footer="0" w:header="0"/>
        </w:sect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Parts and supplies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Other assets</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Other intangible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Current portion of long-term debt</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Long-term debt, less current portion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Landfill and environmental remediation liabilities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56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2014</w:t>
      </w:r>
    </w:p>
    <w:p>
      <w:pPr>
        <w:ind w:left="660" w:hanging="65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94</w:t>
      </w:r>
    </w:p>
    <w:p>
      <w:pPr>
        <w:spacing w:after="0" w:line="5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60</w:t>
      </w:r>
    </w:p>
    <w:p>
      <w:pPr>
        <w:spacing w:after="0" w:line="55" w:lineRule="exact"/>
        <w:rPr>
          <w:rFonts w:ascii="Arial" w:cs="Arial" w:eastAsia="Arial" w:hAnsi="Arial"/>
          <w:sz w:val="14"/>
          <w:szCs w:val="14"/>
          <w:color w:val="auto"/>
        </w:rPr>
      </w:pPr>
    </w:p>
    <w:p>
      <w:pPr>
        <w:ind w:left="740"/>
        <w:spacing w:after="0"/>
        <w:rPr>
          <w:rFonts w:ascii="Arial" w:cs="Arial" w:eastAsia="Arial" w:hAnsi="Arial"/>
          <w:sz w:val="14"/>
          <w:szCs w:val="14"/>
          <w:color w:val="auto"/>
        </w:rPr>
      </w:pPr>
      <w:r>
        <w:rPr>
          <w:rFonts w:ascii="Arial" w:cs="Arial" w:eastAsia="Arial" w:hAnsi="Arial"/>
          <w:sz w:val="14"/>
          <w:szCs w:val="14"/>
          <w:color w:val="auto"/>
        </w:rPr>
        <w:t>3</w:t>
      </w:r>
    </w:p>
    <w:p>
      <w:pPr>
        <w:spacing w:after="0" w:line="5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523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56"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171</w:t>
      </w:r>
    </w:p>
    <w:p>
      <w:pPr>
        <w:spacing w:after="0" w:line="15"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1,151</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304</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23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440" w:hanging="438"/>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1,852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523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523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78" w:lineRule="exact"/>
        <w:rPr>
          <w:sz w:val="20"/>
          <w:szCs w:val="20"/>
          <w:color w:val="auto"/>
        </w:rPr>
      </w:pPr>
    </w:p>
    <w:p>
      <w:pPr>
        <w:ind w:left="660" w:hanging="65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w:t>
      </w:r>
    </w:p>
    <w:p>
      <w:pPr>
        <w:spacing w:after="0" w:line="61"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29</w:t>
      </w:r>
    </w:p>
    <w:p>
      <w:pPr>
        <w:spacing w:after="0" w:line="55" w:lineRule="exact"/>
        <w:rPr>
          <w:rFonts w:ascii="Arial" w:cs="Arial" w:eastAsia="Arial" w:hAnsi="Arial"/>
          <w:sz w:val="14"/>
          <w:szCs w:val="14"/>
          <w:color w:val="auto"/>
        </w:rPr>
      </w:pPr>
    </w:p>
    <w:p>
      <w:pPr>
        <w:ind w:left="740"/>
        <w:spacing w:after="0"/>
        <w:rPr>
          <w:rFonts w:ascii="Arial" w:cs="Arial" w:eastAsia="Arial" w:hAnsi="Arial"/>
          <w:sz w:val="14"/>
          <w:szCs w:val="14"/>
          <w:color w:val="auto"/>
        </w:rPr>
      </w:pPr>
      <w:r>
        <w:rPr>
          <w:rFonts w:ascii="Arial" w:cs="Arial" w:eastAsia="Arial" w:hAnsi="Arial"/>
          <w:sz w:val="14"/>
          <w:szCs w:val="14"/>
          <w:color w:val="auto"/>
        </w:rPr>
        <w:t>1</w:t>
      </w:r>
    </w:p>
    <w:p>
      <w:pPr>
        <w:spacing w:after="0" w:line="55" w:lineRule="exact"/>
        <w:rPr>
          <w:rFonts w:ascii="Arial" w:cs="Arial" w:eastAsia="Arial" w:hAnsi="Arial"/>
          <w:sz w:val="14"/>
          <w:szCs w:val="14"/>
          <w:color w:val="auto"/>
        </w:rPr>
      </w:pPr>
    </w:p>
    <w:p>
      <w:pPr>
        <w:ind w:left="740"/>
        <w:spacing w:after="0"/>
        <w:rPr>
          <w:rFonts w:ascii="Arial" w:cs="Arial" w:eastAsia="Arial" w:hAnsi="Arial"/>
          <w:sz w:val="14"/>
          <w:szCs w:val="14"/>
          <w:color w:val="auto"/>
        </w:rPr>
      </w:pPr>
      <w:r>
        <w:rPr>
          <w:rFonts w:ascii="Arial" w:cs="Arial" w:eastAsia="Arial" w:hAnsi="Arial"/>
          <w:sz w:val="14"/>
          <w:szCs w:val="14"/>
          <w:color w:val="auto"/>
        </w:rPr>
        <w:t>2</w:t>
      </w:r>
    </w:p>
    <w:p>
      <w:pPr>
        <w:spacing w:after="0" w:line="7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52</w:t>
      </w:r>
    </w:p>
    <w:p>
      <w:pPr>
        <w:spacing w:after="0" w:line="61"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523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35"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271</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17</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23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560" w:hanging="558"/>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523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523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320" w:space="720"/>
            <w:col w:w="1380"/>
          </w:cols>
          <w:pgMar w:left="240" w:top="274" w:right="239" w:bottom="1440" w:gutter="0" w:footer="0" w:header="0"/>
          <w:type w:val="continuous"/>
        </w:sectPr>
      </w:pPr>
    </w:p>
    <w:p>
      <w:pPr>
        <w:spacing w:after="0" w:line="6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August 2014, we announced a consolidation and realignment of several Corporate functions to better support achievement of the Company’s strategic goals, including cost reduction. We are in the process of implementing this restructuring plan and we expect it to be completed by the end of 2014. Voluntary separation arrangements were offered to all salaried employees within these organizations. To date, approximately 650 employees have separated from our Corporate and recycling organizations in connection with this restructuring, but we do not anticipate that all of these positions will be permanently eliminated.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third quarter of 2014, we recognized pre-tax charges of $67 million primarily associated with this restructuring, of which $61 million related to employee severance and benefit costs. We do not expect to incur any material charges associated with this restructuring in future periods.</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2013, we recognized a total of $13 million of pre-tax restructuring charges, of which $6 million was related to employee severance and benefit costs, including costs associated with our acquisition of Greenstar and our July 2012 restructuring.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recognized total charges of $71 million associated with our 2013 and 2014 restructurings related to employee severance and benefits, and we have paid approximately $19 million of these costs. At September 30, 2014, we had approximately $48 million of accrued employee severance related to our restructuring efforts, which will be paid through the end of 2016.</w:t>
      </w:r>
    </w:p>
    <w:p>
      <w:pPr>
        <w:spacing w:after="0" w:line="17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third quarter of 2014, we recognized net gains of $16 million, primarily attributable to an $18 million gain on the sale of certain landfill and collection operations in our Eastern Canada Area. This gain was more than offset by $39 million of net charges during the nine months ended September 30, 2014, primarily related to a $26 million loss on the divestiture of our Puerto Rico operations and certain other collection and landfill assets as discussed further in Note 9 and a $12 million impairment charge due to the decision to close a waste processing facility.</w:t>
      </w:r>
    </w:p>
    <w:p>
      <w:pPr>
        <w:spacing w:after="0" w:line="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During the third quarter of 2013, we recognized charges of $23 million, primarily related to (i) a $12 million impairment charge to write down goodwill and indefinite-lived intangibles related to an investment in a waste diversion technology company, partially offset by a $6 million benefit to noncontrolling interest and (ii) losses on divestitures primarily related to investments in oil and gas producing properties. During the nine months ended September 30, 2013, we also recognized additional charges of $15 million, primarily related to (i) a $14 million impairment charge in the second quarter of 2013 at a waste-to-energy facility as a result of projected operating losses, which caused us to write down the carrying value of the facility’s property, plant and equipment to its estimated fair value; (ii) losses on divestitures in the first quarter of 2013 primarily related to investments in oil and gas producing properties and (iii) other charges to impair goodwill and write down the carrying value of assets to their estimated fair values related to certain of our operations, all of which are individually immaterial. Partially offsetting these charges during 2013 were gains on divestitures including the sale of a transfer station in our Greater Mid-Atlantic Area during the first quarter of 2013.</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nine months ended September 30, 2014, we recognized $5 million of charges to write down an equity method investment in a waste diversion technology company to its fair value.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first quarter of 2014, we sold our investment in Shanghai Environment Group, which was part of our Wheelabrator business. We received cash proceeds from the sale of $155 million, which have been included in “Proceeds from divestitures of businesses and other assets (net of cash divested)” within “Net cash used in investing activities” in the Condensed Consolidated Statement of Cash Flows. The losses recognized related to the sale were not material and are recorded in “Other, net” in our Condensed Consolidated Statement of Operations.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nine months ended September 30, 2013, we recognized impairment charges of $11 million relating to other-than-temporary declines in the value of investments in waste diversion technology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accounted for under the cost method. We wrote down the carrying value of our investments to their fair value based on third-party investors’ recent transactions in these securities. Partially offsetting these charges was a $4 million gain on the sale of a similar investment recognized in the second quarter of 2013. These net charges are recorded in “Other, net” in our Condensed Consolidated Statement of Operations.</w:t>
      </w:r>
    </w:p>
    <w:p>
      <w:pPr>
        <w:spacing w:after="0" w:line="17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jc w:val="both"/>
        <w:ind w:firstLine="456"/>
        <w:spacing w:after="0" w:line="353" w:lineRule="auto"/>
        <w:rPr>
          <w:sz w:val="20"/>
          <w:szCs w:val="20"/>
          <w:color w:val="auto"/>
        </w:rPr>
      </w:pPr>
      <w:r>
        <w:rPr>
          <w:rFonts w:ascii="Arial" w:cs="Arial" w:eastAsia="Arial" w:hAnsi="Arial"/>
          <w:sz w:val="15"/>
          <w:szCs w:val="15"/>
          <w:color w:val="auto"/>
        </w:rPr>
        <w:t>The changes in the balances of each component of accumulated other comprehensive income, net of tax, which is included as a component of Waste Management, Inc. stockholders’ equity, are as follows (in millions, with amounts in parentheses representing debits to accumulated other comprehensive income):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2013</w:t>
      </w:r>
    </w:p>
    <w:p>
      <w:pPr>
        <w:spacing w:after="0" w:line="23" w:lineRule="exact"/>
        <w:rPr>
          <w:sz w:val="20"/>
          <w:szCs w:val="20"/>
          <w:color w:val="auto"/>
        </w:rPr>
      </w:pPr>
    </w:p>
    <w:p>
      <w:pPr>
        <w:ind w:left="440" w:hanging="215"/>
        <w:spacing w:after="0" w:line="286" w:lineRule="auto"/>
        <w:rPr>
          <w:sz w:val="20"/>
          <w:szCs w:val="20"/>
          <w:color w:val="auto"/>
        </w:rPr>
      </w:pPr>
      <w:r>
        <w:rPr>
          <w:rFonts w:ascii="Arial" w:cs="Arial" w:eastAsia="Arial" w:hAnsi="Arial"/>
          <w:sz w:val="16"/>
          <w:szCs w:val="16"/>
          <w:color w:val="auto"/>
        </w:rPr>
        <w:t>Other comprehensive income (loss) before reclassifications, net of tax expense (benefit) of $(2), $4, $0 and $0, respectively</w:t>
      </w:r>
    </w:p>
    <w:p>
      <w:pPr>
        <w:jc w:val="both"/>
        <w:ind w:left="440" w:right="340" w:hanging="215"/>
        <w:spacing w:after="0" w:line="255" w:lineRule="auto"/>
        <w:rPr>
          <w:sz w:val="20"/>
          <w:szCs w:val="20"/>
          <w:color w:val="auto"/>
        </w:rPr>
      </w:pPr>
      <w:r>
        <w:rPr>
          <w:rFonts w:ascii="Arial" w:cs="Arial" w:eastAsia="Arial" w:hAnsi="Arial"/>
          <w:sz w:val="18"/>
          <w:szCs w:val="18"/>
          <w:color w:val="auto"/>
        </w:rPr>
        <w:t>Amounts reclassified from accumulated other comprehensive income, net of tax (expense) benefit of $1, $0, $0 and $0,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0"/>
              <w:spacing w:after="0" w:line="150"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3"/>
                <w:szCs w:val="13"/>
                <w:color w:val="auto"/>
              </w:rPr>
            </w:pPr>
          </w:p>
        </w:tc>
        <w:tc>
          <w:tcPr>
            <w:tcW w:w="560" w:type="dxa"/>
            <w:vAlign w:val="bottom"/>
          </w:tcPr>
          <w:p>
            <w:pPr>
              <w:jc w:val="center"/>
              <w:ind w:right="42"/>
              <w:spacing w:after="0" w:line="150" w:lineRule="exact"/>
              <w:rPr>
                <w:sz w:val="20"/>
                <w:szCs w:val="20"/>
                <w:color w:val="auto"/>
              </w:rPr>
            </w:pPr>
            <w:r>
              <w:rPr>
                <w:rFonts w:ascii="Arial" w:cs="Arial" w:eastAsia="Arial" w:hAnsi="Arial"/>
                <w:sz w:val="14"/>
                <w:szCs w:val="14"/>
                <w:b w:val="1"/>
                <w:bCs w:val="1"/>
                <w:color w:val="auto"/>
                <w:w w:val="79"/>
              </w:rPr>
              <w:t>Post-</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Currency</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12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5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Benefit</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1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560" w:type="dxa"/>
            <w:vAlign w:val="bottom"/>
          </w:tcPr>
          <w:p>
            <w:pPr>
              <w:jc w:val="center"/>
              <w:ind w:right="42"/>
              <w:spacing w:after="0"/>
              <w:rPr>
                <w:sz w:val="20"/>
                <w:szCs w:val="20"/>
                <w:color w:val="auto"/>
              </w:rPr>
            </w:pPr>
            <w:r>
              <w:rPr>
                <w:rFonts w:ascii="Arial" w:cs="Arial" w:eastAsia="Arial" w:hAnsi="Arial"/>
                <w:sz w:val="14"/>
                <w:szCs w:val="14"/>
                <w:b w:val="1"/>
                <w:bCs w:val="1"/>
                <w:color w:val="auto"/>
                <w:w w:val="85"/>
              </w:rPr>
              <w:t>Plans</w:t>
            </w:r>
          </w:p>
        </w:tc>
        <w:tc>
          <w:tcPr>
            <w:tcW w:w="6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7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$154</w:t>
            </w:r>
          </w:p>
        </w:tc>
        <w:tc>
          <w:tcPr>
            <w:tcW w:w="60" w:type="dxa"/>
            <w:vAlign w:val="bottom"/>
          </w:tcPr>
          <w:p>
            <w:pPr>
              <w:spacing w:after="0"/>
              <w:rPr>
                <w:sz w:val="18"/>
                <w:szCs w:val="18"/>
                <w:color w:val="auto"/>
              </w:rPr>
            </w:pPr>
          </w:p>
        </w:tc>
      </w:tr>
      <w:tr>
        <w:trPr>
          <w:trHeight w:val="424"/>
        </w:trPr>
        <w:tc>
          <w:tcPr>
            <w:tcW w:w="28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648"/>
        </w:trPr>
        <w:tc>
          <w:tcPr>
            <w:tcW w:w="28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-829945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-409575</wp:posOffset>
            </wp:positionV>
            <wp:extent cx="72466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880" w:space="640"/>
            <w:col w:w="59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gridSpan w:val="2"/>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Pr>
          <w:p>
            <w:pPr>
              <w:spacing w:after="0"/>
              <w:rPr>
                <w:sz w:val="17"/>
                <w:szCs w:val="17"/>
                <w:color w:val="auto"/>
              </w:rPr>
            </w:pPr>
          </w:p>
        </w:tc>
        <w:tc>
          <w:tcPr>
            <w:tcW w:w="800" w:type="dxa"/>
            <w:vAlign w:val="bottom"/>
            <w:gridSpan w:val="2"/>
          </w:tcPr>
          <w:p>
            <w:pPr>
              <w:jc w:val="right"/>
              <w:ind w:right="300"/>
              <w:spacing w:after="0" w:line="204"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line="204" w:lineRule="exact"/>
              <w:rPr>
                <w:sz w:val="20"/>
                <w:szCs w:val="20"/>
                <w:color w:val="auto"/>
              </w:rPr>
            </w:pPr>
            <w:r>
              <w:rPr>
                <w:rFonts w:ascii="Arial" w:cs="Arial" w:eastAsia="Arial" w:hAnsi="Arial"/>
                <w:sz w:val="18"/>
                <w:szCs w:val="18"/>
                <w:color w:val="auto"/>
              </w:rPr>
              <w:t>5</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320"/>
              <w:spacing w:after="0" w:line="204" w:lineRule="exact"/>
              <w:rPr>
                <w:sz w:val="20"/>
                <w:szCs w:val="20"/>
                <w:color w:val="auto"/>
              </w:rPr>
            </w:pPr>
            <w:r>
              <w:rPr>
                <w:rFonts w:ascii="Arial" w:cs="Arial" w:eastAsia="Arial" w:hAnsi="Arial"/>
                <w:sz w:val="18"/>
                <w:szCs w:val="18"/>
                <w:color w:val="auto"/>
              </w:rPr>
              <w:t>(80)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Amount of Derivative Gain (Loss)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w w:val="97"/>
              </w:rPr>
              <w:t>Recognized in OCI (Effective Portion)</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gridSpan w:val="6"/>
          </w:tcPr>
          <w:p>
            <w:pPr>
              <w:jc w:val="right"/>
              <w:ind w:right="1040"/>
              <w:spacing w:after="0" w:line="129" w:lineRule="exact"/>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1"/>
                <w:szCs w:val="11"/>
                <w:color w:val="auto"/>
              </w:rPr>
            </w:pPr>
          </w:p>
        </w:tc>
        <w:tc>
          <w:tcPr>
            <w:tcW w:w="1720" w:type="dxa"/>
            <w:vAlign w:val="bottom"/>
            <w:gridSpan w:val="4"/>
          </w:tcPr>
          <w:p>
            <w:pPr>
              <w:jc w:val="right"/>
              <w:ind w:right="255"/>
              <w:spacing w:after="0" w:line="12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2013</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2014</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3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40" w:type="dxa"/>
            <w:vAlign w:val="bottom"/>
            <w:vMerge w:val="continue"/>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260" w:type="dxa"/>
            <w:vAlign w:val="bottom"/>
            <w:vMerge w:val="restart"/>
          </w:tcPr>
          <w:p>
            <w:pPr>
              <w:jc w:val="right"/>
              <w:ind w:right="572"/>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are as follows (in millions, with amounts in parentheses representing debits to the statement of operations classification):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Amount Reclassified from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Accumulated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6"/>
              </w:rPr>
              <w:t>Comprehensive Income</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5"/>
          </w:tcPr>
          <w:p>
            <w:pPr>
              <w:jc w:val="right"/>
              <w:ind w:right="860"/>
              <w:spacing w:after="0" w:line="129" w:lineRule="exact"/>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1"/>
                <w:szCs w:val="11"/>
                <w:color w:val="auto"/>
              </w:rPr>
            </w:pPr>
          </w:p>
        </w:tc>
        <w:tc>
          <w:tcPr>
            <w:tcW w:w="1540" w:type="dxa"/>
            <w:vAlign w:val="bottom"/>
            <w:gridSpan w:val="5"/>
          </w:tcPr>
          <w:p>
            <w:pPr>
              <w:jc w:val="right"/>
              <w:ind w:right="155"/>
              <w:spacing w:after="0" w:line="129" w:lineRule="exact"/>
              <w:rPr>
                <w:sz w:val="20"/>
                <w:szCs w:val="20"/>
                <w:color w:val="auto"/>
              </w:rPr>
            </w:pPr>
            <w:r>
              <w:rPr>
                <w:rFonts w:ascii="Arial" w:cs="Arial" w:eastAsia="Arial" w:hAnsi="Arial"/>
                <w:sz w:val="14"/>
                <w:szCs w:val="14"/>
                <w:b w:val="1"/>
                <w:bCs w:val="1"/>
                <w:color w:val="auto"/>
                <w:w w:val="97"/>
              </w:rPr>
              <w:t>Nine Months Ended</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 About Accumulated Other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4"/>
                <w:szCs w:val="1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0" w:type="dxa"/>
            <w:vAlign w:val="bottom"/>
          </w:tcPr>
          <w:p>
            <w:pPr>
              <w:spacing w:after="0"/>
              <w:rPr>
                <w:sz w:val="1"/>
                <w:szCs w:val="1"/>
                <w:color w:val="auto"/>
              </w:rPr>
            </w:pPr>
          </w:p>
        </w:tc>
      </w:tr>
      <w:tr>
        <w:trPr>
          <w:trHeight w:val="116"/>
        </w:trPr>
        <w:tc>
          <w:tcPr>
            <w:tcW w:w="5300" w:type="dxa"/>
            <w:vAlign w:val="bottom"/>
            <w:gridSpan w:val="2"/>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Comprehensive Income Components</w:t>
            </w:r>
          </w:p>
        </w:tc>
        <w:tc>
          <w:tcPr>
            <w:tcW w:w="30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8"/>
              <w:spacing w:after="0"/>
              <w:rPr>
                <w:sz w:val="20"/>
                <w:szCs w:val="20"/>
                <w:color w:val="auto"/>
              </w:rPr>
            </w:pPr>
            <w:r>
              <w:rPr>
                <w:rFonts w:ascii="Arial" w:cs="Arial" w:eastAsia="Arial" w:hAnsi="Arial"/>
                <w:sz w:val="14"/>
                <w:szCs w:val="14"/>
                <w:b w:val="1"/>
                <w:bCs w:val="1"/>
                <w:color w:val="auto"/>
                <w:w w:val="76"/>
              </w:rPr>
              <w:t>2014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 Classification</w:t>
            </w: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Gains and losses on cash flow hedges:</w:t>
            </w: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Forward-starting interest rate swaps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72"/>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820" w:type="dxa"/>
            <w:vAlign w:val="bottom"/>
            <w:gridSpan w:val="2"/>
          </w:tcPr>
          <w:p>
            <w:pPr>
              <w:ind w:left="3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820" w:type="dxa"/>
            <w:vAlign w:val="bottom"/>
            <w:gridSpan w:val="2"/>
          </w:tcPr>
          <w:p>
            <w:pPr>
              <w:ind w:left="30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Operating revenues</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Tax (expense) benefit</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vMerge w:val="restart"/>
          </w:tcPr>
          <w:p>
            <w:pPr>
              <w:ind w:left="3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5300" w:type="dxa"/>
            <w:vAlign w:val="bottom"/>
            <w:gridSpan w:val="2"/>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share repurchases have been made in accordance with financial plans approved by our Board of Directors. In February 2014, the Board of Directors authorized up to $600 million in future share repurchases.</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third quarter of 2014, we entered into accelerated share repurchase (“ASR”) agreements with two financial institutions to repurchase an aggregate of $600 million of our common stock, which we funded with borrowings under our $2.25 billion revolving credit facility. At the beginning of the ASR repurchase periods, we delivered $600 million in cash and received 9.6 million shares, representing 70 percent of the shares expected to be repurchased based on then-current market prices. The final number of shares to be repurchased and the final average price per share under each ASR agreement will depend on the volume-weighted average price of our stock, less a discount, during the term of each agreement. Purchases under the ASR agreements are expected to be completed in late 2014 or early 2015.</w:t>
      </w:r>
    </w:p>
    <w:p>
      <w:pPr>
        <w:spacing w:after="0" w:line="6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ASR agreements were accounted for as two separate transactions: (i) as shares of reacquired common stock for the shares delivered to us upon effectiveness of the ASR agreements and (ii) as a forward contract indexed to our own common stock for the undelivered shares. The initial delivery of shares is included in treasury stock at a cost of $420 million and resulted in an immediate reduction of the outstanding shares used to calculate the weighted-average common shares outstanding for basic and diluted earnings per share. The $180 million forward contract indexed to our own stock met the criteria for equity classification and this amount was recorded in additional paid-in capital.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86"/>
              </w:rPr>
              <w:t>September 30, 2014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$ 73</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172</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Electricity commodity derivatives(b)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86"/>
              </w:rPr>
              <w:t>December 31, 2013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$ 99</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162</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2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6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$ 31</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analysis, third-party appraisals or industry multiples and public comparables. The increase in the fair value of our redeemable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left="460"/>
        <w:spacing w:after="0" w:line="284" w:lineRule="auto"/>
        <w:rPr>
          <w:sz w:val="20"/>
          <w:szCs w:val="20"/>
          <w:color w:val="auto"/>
        </w:rPr>
      </w:pPr>
      <w:r>
        <w:rPr>
          <w:rFonts w:ascii="Arial" w:cs="Arial" w:eastAsia="Arial" w:hAnsi="Arial"/>
          <w:sz w:val="16"/>
          <w:szCs w:val="16"/>
          <w:color w:val="auto"/>
        </w:rPr>
        <w:t>preferred stock at September 30, 2014 compared to December 31, 2013 is related to (i) $15 million of preferred stock acquired in conjunction with the sale of our Puerto Rico operations and certain other collection and landfill assets, which is discussed in Note 9, and (ii) a $7 million increase in the fair value of the redeemable preferred stock outstanding at December 31, 2013 due to an increase in the price per share established in a recent stock issuance.</w:t>
      </w:r>
    </w:p>
    <w:p>
      <w:pPr>
        <w:spacing w:after="0" w:line="1" w:lineRule="exact"/>
        <w:rPr>
          <w:sz w:val="20"/>
          <w:szCs w:val="20"/>
          <w:color w:val="auto"/>
        </w:rPr>
      </w:pPr>
    </w:p>
    <w:p>
      <w:pPr>
        <w:ind w:left="4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reported as of September 30, 2014 is reflected in “Businesses held-for-sale” in our Condensed Consolidated Balance Sheet due to the pending sale of substantially all of our Wheelabrator business. Refer to Note 9 for additional information.</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At September 30, 2014 and December 31, 2013, the carrying value of our debt was approximately $10.2 billion. The carrying value of our debt includes adjustments associated with fair value hedge accounting related to our interest rate swaps as discussed in Note 4.</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estimated fair value of our debt was approximately $11.3 billion at September 30, 2014 and approximately $11.0 billion at December 31, 2013.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September 30, 2014 and December 31, 2013. These amounts have not been revalued since those dates, and current estimates of fair value could differ significantly from the amounts presented.</w:t>
      </w:r>
    </w:p>
    <w:p>
      <w:pPr>
        <w:spacing w:after="0" w:line="17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Waste-to-Energy LLCs — </w:t>
      </w:r>
      <w:r>
        <w:rPr>
          <w:rFonts w:ascii="Arial" w:cs="Arial" w:eastAsia="Arial" w:hAnsi="Arial"/>
          <w:sz w:val="18"/>
          <w:szCs w:val="18"/>
          <w:color w:val="auto"/>
        </w:rPr>
        <w:t>In June 2000, two limited liability companies were established to purchase interests in existing leveraged lease financings at three</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facilities that we lease, operate and maintain. We own a 0.5% interest in one of the LLCs (“LLC I”) and a 0.25% interest in the second LLC (“LLC II”). John Hancock Life Insurance Company (“Hancock”) owns 99.5% of LLC I and 99.75% of LLC II is owned by LLC I and the CIT Group (“CIT”). We are in discussions with Hancock and CIT to acquire their interests in these entities pursuant to terms and conditions of the LLC agreements. The LLCs are part of our Wheelabrator business. We intend to sell our interests in these entities to the purchaser of substantially all of our Wheelabrator business pursuant to the Stock Purchase Agreement discussed further in Note 9.</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Income, losses and cash flows of the LLCs are allocated to the members based on their initial equity ownership percentages until Hancock and CIT achieve targeted returns on their initial capital investments in each respective LLC. All allocations made through September 30, 2014 have been based on initial equity ownership percentages as the target returns have not yet been achieved for either LLC. We currently expect Hancock and CIT to achieve their targeted return on LLC II in early 2015 and Hancock to achieve its targeted return on LLC I in mid-2015. After the investors have achieved their targeted returns, the LLC agreements provide that we will receive 80% of the earnings of each of the LLCs and Hancock and CIT will be allocated the remaining 20%.</w:t>
      </w:r>
    </w:p>
    <w:p>
      <w:pPr>
        <w:spacing w:after="0" w:line="3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As of September 30, 2014 and December 31, 2013, our Condensed Consolidated Balance Sheets included $275 million and $284 million, respectively, of net property and equipment associated with the LLCs’ waste-to-energy facilities and $243 million and $239 million, respectively, in noncontrolling interests associated with Hancock’s and CIT’s interests in the LLCs. The September 30, 2014 net property and equipment of $275 million is part of our Wheelabrator business and is classified as “Businesses held-for-sale” in the Condensed Consolidated Balance Sheet. See Note 9 for further discussion. We recognized reductions in consolidated earnings of $8 million and $29 million for the three and nine months ended September 30, 2014, respectively, and $10 million and $32 million for the three and nine months ended September 30, 2013, respectively, for Hancock’s and CIT’s noncontrolling interests in the LLCs’ earnings, which are included in our consolidated net income. The LLCs’ earnings relate to the rental income generated from leasing the facilities to our subsidiaries, reduced by depreciation expense. The LLCs’ rental income is eliminated in the Company’s consolidation.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“JV”),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(“Partner”), to develop, construct, operate and maintain a waste-to-energy and recycling facility in England. We own a 50% interest in the JV. We determined that we are not the primary beneficiary of the JV, as all major decisions of the JV require either majority vote or unanimous consent of the directors (who are appointed in equal numbers by us and our Partner) or unanimous consent of the two shareholders of the JV. As such, our Partner shares equally in the power to direct the activities of the JV that most significantly impact its economic performance. Accordingly, we account for this investment under the equity method of accounting and do not consolidate this entity.</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Through September 30, 2014, we had funded approximately £18 million, or $30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Norfolk County Council (the “Council”), which awarded the project to the JV. The losses incurred on these derivatives will ultimately be recoverable from the Council under the terms of the project, and accordingly, are not reflected in our “Equity in net losses of unconsolidated entities.”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Following delays in obtaining planning approval, the Council held a special meeting on April 7, 2014 and voted to terminate the project agreement with the JV. The JV then exercised its right to accelerate the effective date of the project agreement’s termination to May 16, 2014. The Council now is obligated to reimburse the JV up to £34 million, or $55 million, based on the exchange rate as of September 30, 2014, in termination fees and reimbursements required by its agreements with the JV, of which £27 million, or $44 million, has been reimbursed to date. As a result, any impairment resulting from the termination of the project that we record on account of our interest in the JV will not be material. Our interest in the JV and rights to remaining reimbursements owed will not be transferred to the purchaser of our Wheelabrator business under the Stock Purchase Agreement discussed further in Note 9.</w:t>
      </w:r>
    </w:p>
    <w:p>
      <w:pPr>
        <w:spacing w:after="0" w:line="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2011, we acquired a noncontrolling interest in a limited liability company established to invest in and manage a</w:t>
      </w:r>
      <w:r>
        <w:rPr>
          <w:rFonts w:ascii="Arial" w:cs="Arial" w:eastAsia="Arial" w:hAnsi="Arial"/>
          <w:sz w:val="16"/>
          <w:szCs w:val="16"/>
          <w:i w:val="1"/>
          <w:iCs w:val="1"/>
          <w:color w:val="auto"/>
        </w:rPr>
        <w:t xml:space="preserve"> </w:t>
      </w:r>
      <w:r>
        <w:rPr>
          <w:rFonts w:ascii="Arial" w:cs="Arial" w:eastAsia="Arial" w:hAnsi="Arial"/>
          <w:sz w:val="16"/>
          <w:szCs w:val="16"/>
          <w:color w:val="auto"/>
        </w:rPr>
        <w:t>refined coal facility. Along with the other equity investor, we support the operations of the entity in exchange for a pro-rata share of the tax credits it generates. Our initial consideration for this investment consisted of a cash payment of $48 million. As of September 30, 2014 and December 31, 2013, our investment balance was $34 million and $27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2010,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September 30, 2014 and December 31, 2013, our investment balance was $110 million and $129 million, respectively, and our debt balance was $110 million and $128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Trusts for Final Capping, Closure, Post-Closure or Environmental Remediation Obligations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$128 million at September 30, 2014 and $125 million at December 31, 2013.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Condensed Consolidated Balance Sheet, as appropriate. Our investments and receivables related to these trusts had an aggregate carrying value of $113 million and $110 million as of September 30, 2014 and December 31, 2013, respectively.</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Investments in and advances to affiliates(a)</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current assets(a)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3,927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4,110</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10,849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16,400</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5,292</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7,177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16,710</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17,650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27,428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(39,577)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580" w:type="dxa"/>
            <w:vAlign w:val="bottom"/>
            <w:gridSpan w:val="8"/>
            <w:shd w:val="clear" w:color="auto" w:fill="CCEEFF"/>
          </w:tcPr>
          <w:p>
            <w:pPr>
              <w:ind w:left="4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Accounts payable and other current liabilities(a)</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2,575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Long-term debt, less current portion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3,007</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to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Other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3,736</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9,513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16,669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17,616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(34,285)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17,915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(34,285)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16,710</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17,650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27,428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(39,577)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reported for Non-Guarantor Subsidiaries include $1.9 billion of assets and $0.4 billion of liabilities associated with our Wheelabrator business, which are reflected in “Businesses held-for-sale” in our Condensed Consolidated Balance Sheet. The related ownership for WM Holdings’ net investment is reported in current assets. Refer to Note 9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affiliates(b)</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15,802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(36,915)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16,863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26,811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(36,915)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gridSpan w:val="7"/>
          </w:tcPr>
          <w:p>
            <w:pPr>
              <w:jc w:val="center"/>
              <w:ind w:left="117"/>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Due to affiliates(b)</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10,137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(4,268)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5,707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15,802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(32,647)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15,802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(32,647)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3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16,863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26,811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(36,915)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conjunction with the preparation of our September 30, 2014 Condensed Consolidating Financial Statements, we identified corrections associated with the presentation of affiliate obligations previously reported in WM and WM Holdings’ “Investments in and advances to affiliates”. Accordingly, the 2013 Condensed Consolidating Balance Sheet included herein has been revised.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Three Months Ended September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324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235</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Less: Net income attributable to noncontrolling interests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1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0"/>
              </w:rPr>
              <w:t>Three Months Ended September 30, 2013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344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256</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Less: Net income attributable to noncontrolling interests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1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WM</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(263)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867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604</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$ 708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Nine Months Ended September 30, 2013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320" w:type="dxa"/>
            <w:vAlign w:val="bottom"/>
            <w:gridSpan w:val="4"/>
          </w:tcPr>
          <w:p>
            <w:pPr>
              <w:jc w:val="center"/>
              <w:ind w:left="852"/>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WM</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(268)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865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597</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$ 703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Non-Guarantor</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73"/>
              </w:rPr>
              <w:t>Holdings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Three Months Ended September 30, 2014</w:t>
            </w: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$271</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360" w:type="dxa"/>
            <w:vAlign w:val="bottom"/>
            <w:gridSpan w:val="2"/>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271</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Three Months Ended September 30, 2013</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$292</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360" w:type="dxa"/>
            <w:vAlign w:val="bottom"/>
            <w:gridSpan w:val="2"/>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292</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WM</w:t>
            </w:r>
          </w:p>
        </w:tc>
        <w:tc>
          <w:tcPr>
            <w:tcW w:w="6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6"/>
              </w:rPr>
              <w:t>Non-Guarantor</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80"/>
              </w:rPr>
              <w:t>Holdings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Nine Months Ended September 30, 2014</w:t>
            </w:r>
          </w:p>
        </w:tc>
        <w:tc>
          <w:tcPr>
            <w:tcW w:w="2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867</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(1,715)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708</w:t>
            </w:r>
          </w:p>
        </w:tc>
        <w:tc>
          <w:tcPr>
            <w:tcW w:w="34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867</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771</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(1,715)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Nine Months Ended September 30, 2013</w:t>
            </w:r>
          </w:p>
        </w:tc>
        <w:tc>
          <w:tcPr>
            <w:tcW w:w="212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$714</w:t>
            </w:r>
          </w:p>
        </w:tc>
        <w:tc>
          <w:tcPr>
            <w:tcW w:w="34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872</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w:t>
            </w:r>
          </w:p>
        </w:tc>
        <w:tc>
          <w:tcPr>
            <w:tcW w:w="34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708</w:t>
            </w:r>
          </w:p>
        </w:tc>
        <w:tc>
          <w:tcPr>
            <w:tcW w:w="4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867</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divested) and other sales of assets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(1,995)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(1,259)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703</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865</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(865)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(181)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divested) and other sales of assets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(875)</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765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enhanced qualitative and quantitative disclosures regarding customer contracts. The amended authoritative guidance associated with revenue recognition is effective for the Company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8" w:name="page39"/>
    <w:bookmarkEnd w:id="3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2013.</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2014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anticipated divestiture of Wheelabrator may present financial, managerial and operational risks, including diversion of management attention, difficulties separating and transitioning systems and personnel, adverse effects on existing business and customer relationships and inability to replace earnings previously generated by the divested business. Additionally, continuing obligations and retained liabilities from the divestiture could adversely affect the Company’s financial results;</w:t>
      </w:r>
    </w:p>
    <w:p>
      <w:pPr>
        <w:spacing w:after="0" w:line="62"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August 2014 consolidation and realignment of staff may not achieve the goals and cost savings intended, and implementation may result in business disruption, employee distraction and restructuring charges;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39" w:name="page40"/>
    <w:bookmarkEnd w:id="39"/>
    <w:p>
      <w:pPr>
        <w:ind w:left="22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landfill gas recovery, waste-to-energy and independent power production plant operations; fluctuations in commodity prices may have negative effects on our operating results;</w:t>
      </w:r>
    </w:p>
    <w:p>
      <w:pPr>
        <w:spacing w:after="0" w:line="51" w:lineRule="exact"/>
        <w:rPr>
          <w:sz w:val="20"/>
          <w:szCs w:val="20"/>
          <w:color w:val="auto"/>
        </w:rPr>
      </w:pPr>
    </w:p>
    <w:p>
      <w:pPr>
        <w:jc w:val="both"/>
        <w:ind w:left="246" w:hanging="246"/>
        <w:spacing w:after="0" w:line="259"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which may divert capital investment away from our traditional business operations; such emerging technologies may not perform as intended or may experience other difficulties or delays that prevent us from realizing a return on our investment;</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6"/>
          </w:cols>
          <w:pgMar w:left="694" w:top="280" w:right="239" w:bottom="1440" w:gutter="0" w:footer="0" w:header="0"/>
        </w:sectPr>
      </w:pPr>
    </w:p>
    <w:bookmarkStart w:id="40" w:name="page41"/>
    <w:bookmarkEnd w:id="40"/>
    <w:p>
      <w:pPr>
        <w:ind w:left="700" w:hanging="246"/>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business;</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fail to achieve the financial results anticipated from the construction of new international waste-to-energy facilities;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Every day, we are helping industries, communities and individuals reduce, reuse and remove waste better through sound sustainability strategies. We have a precise day-to-day focus on collecting and handling our customers’ waste efficiently and responsibly. Meanwhile, we are also developing and implementing new ways to handle and extract value from waste. Our employees are committed to delivering environmental performance — our mission to maximize resource value, while minimizing environmental impact, so that both our economy and our environment can thrive. Drawing on our resources and experience, we actively pursue projects and initiatives that benefit the waste industry, our customers and the communities we serve and the environment.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also committed to providing long-term value to our stockholders by successfully executing on our strategic goals of optimizing our business, knowing and servicing the customer better than anyone else, and extracting more value from the materials we handle.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Pursue improved profitability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 in emerging technologies that offer alternatives to traditional disposal and generate additional value from the waste, recycling and other streams we manage.</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solutions.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the current quarter include:</w:t>
      </w:r>
    </w:p>
    <w:p>
      <w:pPr>
        <w:spacing w:after="0" w:line="90" w:lineRule="exact"/>
        <w:rPr>
          <w:sz w:val="20"/>
          <w:szCs w:val="20"/>
          <w:color w:val="auto"/>
        </w:rPr>
      </w:pPr>
    </w:p>
    <w:p>
      <w:pPr>
        <w:jc w:val="both"/>
        <w:ind w:left="700" w:hanging="246"/>
        <w:spacing w:after="0" w:line="298"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Revenues of $3,602 million compared with $3,621 million in the third quarter of 2013, a decrease of $19 million, or 0.5%. This decrease in revenues is primarily attributable to lower volumes, which decreased our revenues by $49 million and divestitures, primarily in Puerto Rico and certain landfill and collection operations in our Eastern Canada Area, which decreased revenue by $24 million. These decreases were partially offset by positive revenue growth from yield on our collection and disposal operations of $68 million, or 2.3%.</w:t>
      </w:r>
    </w:p>
    <w:p>
      <w:pPr>
        <w:spacing w:after="0" w:line="31"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expenses of $2,299 million, or 63.8% of revenues, compared with $2,325 million, or 64.2% of revenues, in the third quarter of 2013. This decrease of $26 million is largely driven by our decline in collection volumes and divestitures, which both affect several of our operating expense categories, particularly labor costs, transfer and disposal costs, and fuel costs.</w:t>
      </w:r>
    </w:p>
    <w:p>
      <w:pPr>
        <w:spacing w:after="0" w:line="59"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Selling, general and administrative expenses of $377 million, or 10.5% of revenues, compared with $349 million, or 9.6% of revenues, in the third quarter of 2013. This increase of $28 million is driven mainly by higher litigation reserves;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Income from operations of $546 million, or 15.2% of revenues, compared with $577 million, or 15.9% of revenues, in the third quarter of 2013; and</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$270 million, or $0.58 per diluted share, as compared with $291 million, or $0.62 per diluted share in the third quarter of 2013.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comparability of our diluted earnings per share has been affected by the following items that occurred in the third quarter of 2014:</w:t>
      </w:r>
    </w:p>
    <w:p>
      <w:pPr>
        <w:spacing w:after="0" w:line="90" w:lineRule="exact"/>
        <w:rPr>
          <w:sz w:val="20"/>
          <w:szCs w:val="20"/>
          <w:color w:val="auto"/>
        </w:rPr>
      </w:pPr>
    </w:p>
    <w:p>
      <w:pPr>
        <w:ind w:left="700" w:hanging="246"/>
        <w:spacing w:after="0" w:line="26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recognition of pre-tax charges aggregating $67 million primarily related to our August 2014 reorganization, which had a negative impact of $0.09 on our diluted earnings per share; and</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recognition of pre-tax charges aggregating $20 million comprised of (i) litigation reserves and (ii) the write down of an investment in a waste diversion technology company, partially offset by a gain on the sale of certain landfill and collection operations in our Eastern Canada Area . These items had a negative impact of $0.05 on our diluted earnings per share.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third quarter of 2013 results were affected by the following:</w:t>
      </w:r>
    </w:p>
    <w:p>
      <w:pPr>
        <w:spacing w:after="0" w:line="90" w:lineRule="exact"/>
        <w:rPr>
          <w:sz w:val="20"/>
          <w:szCs w:val="20"/>
          <w:color w:val="auto"/>
        </w:rPr>
      </w:pPr>
    </w:p>
    <w:p>
      <w:pPr>
        <w:jc w:val="both"/>
        <w:ind w:left="700" w:hanging="246"/>
        <w:spacing w:after="0" w:line="306"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recognition of pre-tax charges aggregating $23 million comprised of (i) $16 million related to impairments, primarily attributable to an investment in a waste diversion technology company, which was partially offset by a $6 million benefit to noncontrolling interests, and (ii) $7 million of losses on divestitures, primarily related to oil and gas producing properties. These items had a negative impact of $0.02 on our diluted earnings per share; and</w:t>
      </w:r>
    </w:p>
    <w:p>
      <w:pPr>
        <w:spacing w:after="0" w:line="25" w:lineRule="exact"/>
        <w:rPr>
          <w:rFonts w:ascii="Arial" w:cs="Arial" w:eastAsia="Arial" w:hAnsi="Arial"/>
          <w:sz w:val="16"/>
          <w:szCs w:val="16"/>
          <w:color w:val="auto"/>
        </w:rPr>
      </w:pPr>
    </w:p>
    <w:p>
      <w:pPr>
        <w:ind w:left="700" w:hanging="246"/>
        <w:spacing w:after="0" w:line="332"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recognition of pre-tax charges aggregating $8 million primarily associated with the partial withdrawal from an underfunded multiemployer pension plan and, to a lesser extent, other restructuring charges. These items had a negative impact of $0.01 on our diluted earnings per share.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Three Months</w:t>
            </w: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6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860" w:type="dxa"/>
            <w:vAlign w:val="bottom"/>
          </w:tcPr>
          <w:p>
            <w:pPr>
              <w:spacing w:after="0"/>
              <w:rPr>
                <w:sz w:val="14"/>
                <w:szCs w:val="14"/>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60" w:type="dxa"/>
            <w:vAlign w:val="bottom"/>
          </w:tcPr>
          <w:p>
            <w:pPr>
              <w:spacing w:after="0"/>
              <w:rPr>
                <w:sz w:val="12"/>
                <w:szCs w:val="12"/>
                <w:color w:val="auto"/>
              </w:rPr>
            </w:pPr>
          </w:p>
        </w:tc>
        <w:tc>
          <w:tcPr>
            <w:tcW w:w="42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50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$ 672</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$ 736</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$ 1,811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(323)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$ 418</w:t>
            </w:r>
          </w:p>
        </w:tc>
        <w:tc>
          <w:tcPr>
            <w:tcW w:w="80" w:type="dxa"/>
            <w:vAlign w:val="bottom"/>
          </w:tcPr>
          <w:p>
            <w:pPr>
              <w:spacing w:after="0"/>
              <w:rPr>
                <w:sz w:val="19"/>
                <w:szCs w:val="19"/>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$ 452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1,349</w:t>
            </w:r>
          </w:p>
        </w:tc>
        <w:tc>
          <w:tcPr>
            <w:tcW w:w="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1,147</w:t>
            </w:r>
          </w:p>
        </w:tc>
      </w:tr>
      <w:tr>
        <w:trPr>
          <w:trHeight w:val="20"/>
        </w:trPr>
        <w:tc>
          <w:tcPr>
            <w:tcW w:w="6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When comparing our cash flows from operating activities for the three and nine months ended September 30, 2014 to the comparable periods in 2013, the decrease for the three months of $64 million is primarily related to higher income tax payments in the current year. The decrease of $47 million for the nine months was primarily related to (i) higher income tax payments in the current year; (ii) higher annual incentive plan payments made in the first quarter of 2014 when compared to 2013 and (iii) the settlement of forward-starting swap liabilities in the first quarter of 2014. These decreases were partially offset by higher cash earnings and favorable working capital changes.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increase in proceeds from divestitures of businesses and other assets (net of cash divested) is largely driven by (i) the sale of our investment in Shanghai Environment Group (“SEG”), which was part of our Wheelabrator business, in the first quarter of 2014 for $155 million (ii) the sale of our Puerto Rico operations and certain other collection and landfill assets in the second quarter of 2014, for proceeds of $80 million, including $65 million in cash; (iii) the sale of a vacant facility in the second quarter of 2014 for $19 million and (iv) the sale of certain landfill and collection operations in our Eastern Canada Area in the third quarter of 2014 for $39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17, 2014, the Company signed a definitive agreement to acquire the outstanding stock of Deffenbaugh Disposal, Inc., one of the largest privately owned collection and disposal firms in the Midwest. Closing of the acquisition is expected to occur in late 2014 or early 2015, subject to the receipt of regulatory approvals and the satisfaction of customary closing conditions.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Greenstar, LLC </w:t>
      </w:r>
      <w:r>
        <w:rPr>
          <w:rFonts w:ascii="Arial" w:cs="Arial" w:eastAsia="Arial" w:hAnsi="Arial"/>
          <w:sz w:val="16"/>
          <w:szCs w:val="16"/>
          <w:color w:val="auto"/>
        </w:rPr>
        <w:t>— 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of which $20 million is guaranteed. The remaining $20 million of this consideration is contingent, based on changes in certain recyclable commodity indexes,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had an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5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RCI Environnement, Inc. </w:t>
      </w:r>
      <w:r>
        <w:rPr>
          <w:rFonts w:ascii="Arial" w:cs="Arial" w:eastAsia="Arial" w:hAnsi="Arial"/>
          <w:sz w:val="16"/>
          <w:szCs w:val="16"/>
          <w:color w:val="auto"/>
        </w:rPr>
        <w:t>— 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third quarter of 2014, we sold certain landfill and collection operations in our Eastern Canada Area, which were included in Tier 3. We received cash proceeds from the sale of $39 million and recognized a gain of $18 million. In the second quarter of 2014, we sold our Puerto Rico operations and certain other collection and landfill assets which were included in Tier 3 and Tier 1, respectively, of our Solid Waste business. We received proceeds from the sale of $80 million, consisting of $65 million of cash and $15 million of preferred stock. The loss recognized related to the sale was $26 million. The gain and loss associated with these divestitures are recorded in “(Income) expense from divestitures, asset impairments and unusual items” in our Condensed Consolidated Statement of Operations.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Businesses Held-for-Sale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July 25, 2014, the Company signed a definitive Stock Purchase Agreement to sell substantially all of our Wheelabrator business to an affiliate of Energy Capital Partners for $1.94 billion in cash, subject to certain post-closing adjustments. Closing of the sale is expected to occur by the end of 2014, subject to the satisfaction of customary closing conditions and receipt of regulatory approvals. In conjunction with the sale, the Company will enter into a long-term agreement to supply waste to certain Wheelabrator facilities upon closing.</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2013. Actual results could differ materially from the estimates and assumptions that we use in the preparation of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including Strategic Business Solutions, Energy and Environmental Services, recycling brokerage services, electronic recycling services, landfill gas-to-energy services, integrated medical waste services, expanded service offerings and solutions. Part of our expansion of services includes offering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and portable self-storage services. In addition, we have made investments that involve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acquisition and development of interests in oil and gas producing properties. These operations are presented as “Other” in the table below. The following table summarizes revenues during each period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Tier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2,630</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2,632</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Tier 3</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3,467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10,096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Wheelabrator</w:t>
            </w: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Intercompany</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(1,858)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(1,896)</w:t>
            </w: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3,602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3,621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10,559</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10,483</w:t>
            </w: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Residential</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Landfill</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Wheelabrator</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(1,858)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(1,896)</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vMerge w:val="continue"/>
          </w:tcPr>
          <w:p>
            <w:pPr>
              <w:spacing w:after="0"/>
              <w:rPr>
                <w:sz w:val="19"/>
                <w:szCs w:val="19"/>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3,602</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3,621</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10,559</w:t>
            </w: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10,483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60" w:type="dxa"/>
            <w:vAlign w:val="bottom"/>
            <w:vMerge w:val="restart"/>
          </w:tcPr>
          <w:p>
            <w:pPr>
              <w:jc w:val="right"/>
              <w:ind w:right="1272"/>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7"/>
              </w:rPr>
              <w:t>Period-to-Period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4"/>
              </w:rPr>
              <w:t>2014 vs. 2013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4"/>
              </w:rPr>
              <w:t>2014 vs. 2013</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
              <w:spacing w:after="0" w:line="129" w:lineRule="exact"/>
              <w:rPr>
                <w:sz w:val="20"/>
                <w:szCs w:val="20"/>
                <w:color w:val="auto"/>
              </w:rPr>
            </w:pPr>
            <w:r>
              <w:rPr>
                <w:rFonts w:ascii="Arial" w:cs="Arial" w:eastAsia="Arial" w:hAnsi="Arial"/>
                <w:sz w:val="14"/>
                <w:szCs w:val="14"/>
                <w:b w:val="1"/>
                <w:bCs w:val="1"/>
                <w:color w:val="auto"/>
                <w:w w:val="98"/>
              </w:rPr>
              <w:t>As a % of</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Company(a)</w:t>
            </w:r>
          </w:p>
        </w:tc>
        <w:tc>
          <w:tcPr>
            <w:tcW w:w="380" w:type="dxa"/>
            <w:vAlign w:val="bottom"/>
          </w:tcPr>
          <w:p>
            <w:pPr>
              <w:spacing w:after="0"/>
              <w:rPr>
                <w:sz w:val="14"/>
                <w:szCs w:val="14"/>
                <w:color w:val="auto"/>
              </w:rPr>
            </w:pPr>
          </w:p>
        </w:tc>
        <w:tc>
          <w:tcPr>
            <w:tcW w:w="5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7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Company(a)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Average yield(b)</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20" w:type="dxa"/>
            <w:vAlign w:val="bottom"/>
            <w:gridSpan w:val="3"/>
          </w:tcPr>
          <w:p>
            <w:pPr>
              <w:jc w:val="right"/>
              <w:ind w:right="52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(159)</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20" w:type="dxa"/>
            <w:vAlign w:val="bottom"/>
            <w:gridSpan w:val="3"/>
          </w:tcPr>
          <w:p>
            <w:pPr>
              <w:jc w:val="right"/>
              <w:ind w:right="5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($3,597 million and $10,441 million for the three- and nine-month periods, respectively).</w:t>
      </w:r>
    </w:p>
    <w:p>
      <w:pPr>
        <w:jc w:val="both"/>
        <w:ind w:left="4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center"/>
              <w:ind w:right="106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4"/>
          </w:tcPr>
          <w:p>
            <w:pPr>
              <w:jc w:val="center"/>
              <w:ind w:right="13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5"/>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4"/>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4"/>
              </w:rPr>
              <w:t>2014 vs. 2013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2014 vs. 2013</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spacing w:after="0"/>
              <w:rPr>
                <w:sz w:val="14"/>
                <w:szCs w:val="14"/>
                <w:color w:val="auto"/>
              </w:rPr>
            </w:pPr>
          </w:p>
        </w:tc>
        <w:tc>
          <w:tcPr>
            <w:tcW w:w="14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2"/>
              </w:rPr>
              <w:t>Business(i)</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2180" w:type="dxa"/>
            <w:vAlign w:val="bottom"/>
            <w:gridSpan w:val="3"/>
          </w:tcPr>
          <w:p>
            <w:pPr>
              <w:jc w:val="right"/>
              <w:ind w:right="7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206</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460"/>
              <w:spacing w:after="0"/>
              <w:rPr>
                <w:sz w:val="20"/>
                <w:szCs w:val="20"/>
                <w:color w:val="auto"/>
              </w:rPr>
            </w:pPr>
            <w:r>
              <w:rPr>
                <w:rFonts w:ascii="Arial" w:cs="Arial" w:eastAsia="Arial" w:hAnsi="Arial"/>
                <w:sz w:val="18"/>
                <w:szCs w:val="18"/>
                <w:color w:val="auto"/>
              </w:rPr>
              <w:t>Collection and disposal(ii)</w:t>
            </w: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3"/>
            <w:vMerge w:val="restart"/>
          </w:tcPr>
          <w:p>
            <w:pPr>
              <w:jc w:val="right"/>
              <w:ind w:right="8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205</w:t>
            </w:r>
          </w:p>
        </w:tc>
        <w:tc>
          <w:tcPr>
            <w:tcW w:w="13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3"/>
            <w:vMerge w:val="restart"/>
          </w:tcPr>
          <w:p>
            <w:pPr>
              <w:jc w:val="right"/>
              <w:ind w:right="7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22"/>
        </w:trPr>
        <w:tc>
          <w:tcPr>
            <w:tcW w:w="616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204</w:t>
            </w:r>
          </w:p>
        </w:tc>
        <w:tc>
          <w:tcPr>
            <w:tcW w:w="15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900" w:hanging="446"/>
        <w:spacing w:after="0" w:line="305"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nine months ended September 30,</w:t>
      </w:r>
    </w:p>
    <w:p>
      <w:pPr>
        <w:ind w:left="900"/>
        <w:spacing w:after="0"/>
        <w:rPr>
          <w:rFonts w:ascii="Arial" w:cs="Arial" w:eastAsia="Arial" w:hAnsi="Arial"/>
          <w:sz w:val="15"/>
          <w:szCs w:val="15"/>
          <w:color w:val="auto"/>
        </w:rPr>
      </w:pPr>
      <w:r>
        <w:rPr>
          <w:rFonts w:ascii="Arial" w:cs="Arial" w:eastAsia="Arial" w:hAnsi="Arial"/>
          <w:sz w:val="18"/>
          <w:szCs w:val="18"/>
          <w:color w:val="auto"/>
        </w:rPr>
        <w:t>2013 adjusted to exclude the impacts of divestitures (in millions):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Denominator</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90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9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r>
      <w:tr>
        <w:trPr>
          <w:trHeight w:val="149"/>
        </w:trPr>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w w:val="98"/>
              </w:rPr>
              <w:t>Ended</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9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2,881</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Waste-to-energy disposal</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2,988</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19"/>
                <w:szCs w:val="19"/>
                <w:color w:val="auto"/>
              </w:rPr>
            </w:pPr>
          </w:p>
        </w:tc>
      </w:tr>
      <w:tr>
        <w:trPr>
          <w:trHeight w:val="21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Electricity</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Total Company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3,597</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business which is reported as “Electricity” revenues.</w:t>
      </w:r>
    </w:p>
    <w:p>
      <w:pPr>
        <w:spacing w:after="0" w:line="5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Our revenues decreased $19 million, or 0.5%, and increased $76 million, or 0.7%, for the three and nine months ended September 30, 2014, respectively, as compared with the prior year periods. Our current periods’ revenue fluctuation has been driven by (i) revenue declines due to lower volumes; (ii) divestitures, primarily our Puerto Rico divestiture in the second quarter of 2014 and the divestiture of certain landfill and collection operations in our Eastern Canada Area in the current quarter and (iii) foreign currency translation, which affects revenues from our Canadian operations. Offsetting these revenue declines were</w:t>
      </w:r>
    </w:p>
    <w:p>
      <w:pPr>
        <w:spacing w:after="0" w:line="3" w:lineRule="exact"/>
        <w:rPr>
          <w:sz w:val="20"/>
          <w:szCs w:val="20"/>
          <w:color w:val="auto"/>
        </w:rPr>
      </w:pPr>
    </w:p>
    <w:p>
      <w:pPr>
        <w:ind w:firstLine="8"/>
        <w:spacing w:after="0" w:line="323" w:lineRule="auto"/>
        <w:tabs>
          <w:tab w:leader="none" w:pos="2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increased revenue growth from yield on our collection and disposal operations; and (ii) revenue from acquired operations, particularly the RCI operations acquired in in July 2013, which contributed approximately $77 million to the revenue growth for the nine months ended September 30, 2014.</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 growth from collection and disposal average yield was $68 million, or 2.3%, and $205 million, or 2.4%, for the three and nine months ended September 30, 2014, respectively, as compared with the prior year period. The details of our three principal collection lines of business are as follows (dollars in millions):</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87"/>
              </w:rPr>
              <w:t>Period-to-Period</w:t>
            </w:r>
          </w:p>
        </w:tc>
        <w:tc>
          <w:tcPr>
            <w:tcW w:w="16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4"/>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18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2"/>
                <w:szCs w:val="12"/>
                <w:color w:val="auto"/>
              </w:rPr>
            </w:pPr>
          </w:p>
        </w:tc>
        <w:tc>
          <w:tcPr>
            <w:tcW w:w="18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2"/>
                <w:szCs w:val="12"/>
                <w:color w:val="auto"/>
              </w:rPr>
            </w:pPr>
          </w:p>
        </w:tc>
        <w:tc>
          <w:tcPr>
            <w:tcW w:w="18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4"/>
              </w:rPr>
              <w:t>2014 vs. 2013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4"/>
              </w:rPr>
              <w:t>2014 vs. 2013</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7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7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29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shd w:val="clear" w:color="auto" w:fill="CCEEFF"/>
          </w:tcPr>
          <w:p>
            <w:pPr>
              <w:spacing w:after="0"/>
              <w:rPr>
                <w:sz w:val="18"/>
                <w:szCs w:val="18"/>
                <w:color w:val="auto"/>
              </w:rPr>
            </w:pPr>
          </w:p>
        </w:tc>
        <w:tc>
          <w:tcPr>
            <w:tcW w:w="2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780" w:type="dxa"/>
            <w:vAlign w:val="bottom"/>
            <w:tcBorders>
              <w:left w:val="single" w:sz="8" w:color="CCEEFF"/>
            </w:tcBorders>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4.5%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Industrial</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340" w:type="dxa"/>
            <w:vAlign w:val="bottom"/>
            <w:gridSpan w:val="2"/>
          </w:tcPr>
          <w:p>
            <w:pPr>
              <w:ind w:left="1120"/>
              <w:spacing w:after="0"/>
              <w:rPr>
                <w:sz w:val="20"/>
                <w:szCs w:val="20"/>
                <w:color w:val="auto"/>
              </w:rPr>
            </w:pPr>
            <w:r>
              <w:rPr>
                <w:rFonts w:ascii="Arial" w:cs="Arial" w:eastAsia="Arial" w:hAnsi="Arial"/>
                <w:sz w:val="18"/>
                <w:szCs w:val="18"/>
                <w:color w:val="auto"/>
                <w:w w:val="79"/>
              </w:rPr>
              <w:t>3.5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w w:val="79"/>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1.4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80" w:type="dxa"/>
            <w:vAlign w:val="bottom"/>
            <w:tcBorders>
              <w:left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79"/>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196</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900" w:type="dxa"/>
            <w:vAlign w:val="bottom"/>
            <w:vMerge w:val="restart"/>
          </w:tcPr>
          <w:p>
            <w:pPr>
              <w:jc w:val="right"/>
              <w:ind w:right="492"/>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47" w:name="page48"/>
    <w:bookmarkEnd w:id="4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year-over-year yield growth was driven largely by our pricing strategy that combines focused effort on price increases with lower rollbacks. Other drivers affecting the current period average yield include:</w:t>
      </w:r>
    </w:p>
    <w:p>
      <w:pPr>
        <w:spacing w:after="0" w:line="51" w:lineRule="exact"/>
        <w:rPr>
          <w:sz w:val="20"/>
          <w:szCs w:val="20"/>
          <w:color w:val="auto"/>
        </w:rPr>
      </w:pPr>
    </w:p>
    <w:p>
      <w:pPr>
        <w:jc w:val="both"/>
        <w:ind w:left="700" w:hanging="246"/>
        <w:spacing w:after="0" w:line="25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instituted a fee in April 2013 to help us recover a portion of the significant regulatory costs and fees, such as host fees and disposal taxes, which have not been recouped by our pricing programs. Revenues generated from this fee are approximately $30 million and $68 million for the three and nine months ended September 30, 2014, respectively, principally in our collection business, with the most significant impact in our commercial line of business.</w:t>
      </w:r>
    </w:p>
    <w:p>
      <w:pPr>
        <w:spacing w:after="0" w:line="62" w:lineRule="exact"/>
        <w:rPr>
          <w:rFonts w:ascii="Arial" w:cs="Arial" w:eastAsia="Arial" w:hAnsi="Arial"/>
          <w:sz w:val="18"/>
          <w:szCs w:val="18"/>
          <w:color w:val="auto"/>
        </w:rPr>
      </w:pPr>
    </w:p>
    <w:p>
      <w:pPr>
        <w:ind w:left="700" w:right="20" w:hanging="246"/>
        <w:spacing w:after="0" w:line="332"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Revenue growth from yield in our industrial line of business was aided by our continued expansion of the Energy and Environmental Services business, which typically has higher average rates due to extended transportation distances, special waste handling costs and higher disposal costs.</w:t>
      </w:r>
    </w:p>
    <w:p>
      <w:pPr>
        <w:spacing w:after="0" w:line="4"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our residential line of business, we are focused on bidding on contracts that improve our yield performance and increase our overall returns. Our effort to increase yield in our residential line of business is a challenge principally due to a very competitive environment. A high percentage of our residential business is in municipal franchise markets, and many municipalities are facing significant budget challenges, which results in very competitive bid processes as we rebid contracts and try to win new contracts.</w:t>
      </w:r>
    </w:p>
    <w:p>
      <w:pPr>
        <w:spacing w:after="0" w:line="62"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Yield growth from our landfill and transfer station operations also improved for the three and nine months ended September 30, 2014. Improving yield in our landfill business has proved to be a challenge, due, in part, to excess disposal capacity that exists in many of the markets in which we own or operate landfills.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Electricity </w:t>
      </w:r>
      <w:r>
        <w:rPr>
          <w:rFonts w:ascii="Arial" w:cs="Arial" w:eastAsia="Arial" w:hAnsi="Arial"/>
          <w:sz w:val="16"/>
          <w:szCs w:val="16"/>
          <w:color w:val="auto"/>
        </w:rPr>
        <w:t>— Revenue decreased $5 million and increased $24 million for the three and nine months ended September 30, 2014, respectively,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same prior year periods. The year-to-date revenue increase is driven by higher prices at our merchant waste-to-energy facilities due to the exceptionally cold winter conditions that drove a higher demand for electricity in the first three months of 2014 as compared with the prior year period.</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sold resulted in revenue declines of $5 million and $32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2014, respectively, compared with the same prior year periods.</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were flat and increased $7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and nine months ended September 30, 2014, respectively. These revenues fluctuate in response to changes in the national average prices for diesel fuel on which our surcharge is based. Although we experienced slightly lower year-over-year average fuel prices for the three- and nine-month periods as compared with the prior year periods, our overall year-to-date fuel surcharge revenues increased as a result of a revision of the surcharge calculation implemented to better capture price increases intended to be recovered by the surcharge. The mandated fees included in this line item are primarily related to pass-through fees and taxes assessed by various state, county and municipal government agencies at our landfills and transfer stations.</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decrease $49 million, or 1.3%, and $159 million, or 1.5%,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respectively, as compared to prior year periods, driven by declines in our collection business. Our volume fluctuations are generally attributable to economic conditions, pricing changes, competition and diversion of waste by customers. Specifically, our revenue growth due to volume has been negatively affected by our pricing strategy implemented in 2013. We are experiencing volume decline due to the loss of low margin customers that we are not willing to keep at current rates. Additionally, we are experiencing losses of certain municipal contracts that are up for bid. As a result of both the very competitive environment and our focus on reasonable returns, we are facing challenges to keep existing contracts and to win new contracts. Finally, we experienced revenue declines associated with the loss of certain strategic accounts.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drivers affecting volumes in the current three- and nine-month periods include:</w:t>
      </w:r>
    </w:p>
    <w:p>
      <w:pPr>
        <w:spacing w:after="0" w:line="90" w:lineRule="exact"/>
        <w:rPr>
          <w:sz w:val="20"/>
          <w:szCs w:val="20"/>
          <w:color w:val="auto"/>
        </w:rPr>
      </w:pPr>
    </w:p>
    <w:p>
      <w:pPr>
        <w:jc w:val="center"/>
        <w:ind w:left="5620" w:right="400" w:hanging="5045"/>
        <w:spacing w:after="0" w:line="440"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experienced revenue declines of approximately $23 million associated with the severe winter weather conditions in the first quarter of 2014. 48</w:t>
      </w:r>
    </w:p>
    <w:p>
      <w:pPr>
        <w:sectPr>
          <w:pgSz w:w="11900" w:h="16838" w:orient="portrait"/>
          <w:cols w:equalWidth="0" w:num="1">
            <w:col w:w="11420"/>
          </w:cols>
          <w:pgMar w:left="240" w:top="280" w:right="239" w:bottom="1440" w:gutter="0" w:footer="0" w:header="0"/>
        </w:sectPr>
      </w:pPr>
    </w:p>
    <w:bookmarkStart w:id="48" w:name="page49"/>
    <w:bookmarkEnd w:id="48"/>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experienced higher landfill volumes in 2014 driven, in part, by our municipal solid waste and construction and demolition businesses, and the event driven increases in our special waste and other landfill businesses.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experienced revenue increases due to higher volumes in our ancillary services, primarily driven by increases in our Energy and Environmental Services, our WM Renewable Energy Program and our portable self-storage services.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pricing strategy and our focus on controlling variable costs have consistently provided margin improvements in our collection line of business, although we have seen margin deterioration in our residential line of business throughout 2014. The severe weather conditions we experienced in the first quarter of 2014 dampened our year-over-year collection margin growth for the nine months ended September 30, 2014.</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Acquisitions and Divestitures </w:t>
      </w:r>
      <w:r>
        <w:rPr>
          <w:rFonts w:ascii="Arial" w:cs="Arial" w:eastAsia="Arial" w:hAnsi="Arial"/>
          <w:sz w:val="16"/>
          <w:szCs w:val="16"/>
          <w:color w:val="auto"/>
        </w:rPr>
        <w:t>— Revenues increased $8 million and $116 million for the three and nine months ended September 30, 2014, respectively,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the prior year period due to acquisitions. This year-to-date increase was principally associated with the RCI operations acquired in July 2013, which is reported primarily in our collection line of business. These revenues were offset partially by revenue decreases of $24 million and $42 million for the three- and nine-month periods ended September 30, 2014, respectively, primarily due to our divestiture of Puerto Rico operations and certain other collection and landfill assets in the second quarter of 2014 and the divestiture of certain landfill and collection operations in our Eastern Canada Area in the current quarter.</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operating expenses decreased by $26 million, or 1.1%, and $13 million, or 0.2%, for the three and nine months ended September 30, 2014, respectively, as compared with the three and nine months ended September 30, 2013. Our operating expenses as a percentage of revenues decreased to 63.8% in the third quarter of 2014 from 64.2% in the third quarter of 2013, and decreased to 64.7% for the nine months ended September 30, 2014 from 65.3% for the nine months ended September 30, 2013.</w:t>
      </w:r>
    </w:p>
    <w:p>
      <w:pPr>
        <w:spacing w:after="0" w:line="6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nine-month periods ended September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Period-to-</w:t>
            </w:r>
          </w:p>
        </w:tc>
        <w:tc>
          <w:tcPr>
            <w:tcW w:w="540" w:type="dxa"/>
            <w:vAlign w:val="bottom"/>
          </w:tcPr>
          <w:p>
            <w:pPr>
              <w:spacing w:after="0"/>
              <w:rPr>
                <w:sz w:val="12"/>
                <w:szCs w:val="12"/>
                <w:color w:val="auto"/>
              </w:rPr>
            </w:pPr>
          </w:p>
        </w:tc>
        <w:tc>
          <w:tcPr>
            <w:tcW w:w="940" w:type="dxa"/>
            <w:vAlign w:val="bottom"/>
            <w:gridSpan w:val="2"/>
          </w:tcPr>
          <w:p>
            <w:pPr>
              <w:jc w:val="center"/>
              <w:ind w:right="479"/>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52"/>
              <w:spacing w:after="0" w:line="142"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0"/>
              </w:rPr>
              <w:t>$(17)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$ 1,860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$ 1,874</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0"/>
              </w:rPr>
              <w:t>$(14)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252</w:t>
            </w:r>
          </w:p>
        </w:tc>
        <w:tc>
          <w:tcPr>
            <w:tcW w:w="1180" w:type="dxa"/>
            <w:vAlign w:val="bottom"/>
            <w:gridSpan w:val="3"/>
          </w:tcPr>
          <w:p>
            <w:pPr>
              <w:jc w:val="right"/>
              <w:ind w:right="312"/>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(4.8)</w:t>
            </w:r>
          </w:p>
        </w:tc>
        <w:tc>
          <w:tcPr>
            <w:tcW w:w="540" w:type="dxa"/>
            <w:vAlign w:val="bottom"/>
          </w:tcPr>
          <w:p>
            <w:pPr>
              <w:jc w:val="right"/>
              <w:spacing w:after="0"/>
              <w:rPr>
                <w:sz w:val="20"/>
                <w:szCs w:val="20"/>
                <w:color w:val="auto"/>
              </w:rPr>
            </w:pPr>
            <w:r>
              <w:rPr>
                <w:rFonts w:ascii="Arial" w:cs="Arial" w:eastAsia="Arial" w:hAnsi="Arial"/>
                <w:sz w:val="18"/>
                <w:szCs w:val="18"/>
                <w:color w:val="auto"/>
              </w:rPr>
              <w:t>702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1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Subcontractor costs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1180" w:type="dxa"/>
            <w:vAlign w:val="bottom"/>
            <w:gridSpan w:val="3"/>
          </w:tcPr>
          <w:p>
            <w:pPr>
              <w:jc w:val="right"/>
              <w:ind w:right="372"/>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926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1180" w:type="dxa"/>
            <w:vAlign w:val="bottom"/>
            <w:gridSpan w:val="3"/>
          </w:tcPr>
          <w:p>
            <w:pPr>
              <w:jc w:val="right"/>
              <w:ind w:right="392"/>
              <w:spacing w:after="0"/>
              <w:rPr>
                <w:sz w:val="20"/>
                <w:szCs w:val="20"/>
                <w:color w:val="auto"/>
              </w:rPr>
            </w:pPr>
            <w:r>
              <w:rPr>
                <w:rFonts w:ascii="Arial" w:cs="Arial" w:eastAsia="Arial" w:hAnsi="Arial"/>
                <w:sz w:val="18"/>
                <w:szCs w:val="18"/>
                <w:color w:val="auto"/>
              </w:rPr>
              <w:t>47</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Fuel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154</w:t>
            </w:r>
          </w:p>
        </w:tc>
        <w:tc>
          <w:tcPr>
            <w:tcW w:w="1180" w:type="dxa"/>
            <w:vAlign w:val="bottom"/>
            <w:gridSpan w:val="3"/>
          </w:tcPr>
          <w:p>
            <w:pPr>
              <w:jc w:val="right"/>
              <w:ind w:right="312"/>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(7.8)</w:t>
            </w:r>
          </w:p>
        </w:tc>
        <w:tc>
          <w:tcPr>
            <w:tcW w:w="540" w:type="dxa"/>
            <w:vAlign w:val="bottom"/>
          </w:tcPr>
          <w:p>
            <w:pPr>
              <w:jc w:val="right"/>
              <w:spacing w:after="0"/>
              <w:rPr>
                <w:sz w:val="20"/>
                <w:szCs w:val="20"/>
                <w:color w:val="auto"/>
              </w:rPr>
            </w:pPr>
            <w:r>
              <w:rPr>
                <w:rFonts w:ascii="Arial" w:cs="Arial" w:eastAsia="Arial" w:hAnsi="Arial"/>
                <w:sz w:val="18"/>
                <w:szCs w:val="18"/>
                <w:color w:val="auto"/>
              </w:rPr>
              <w:t>444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1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1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180" w:type="dxa"/>
            <w:vAlign w:val="bottom"/>
            <w:gridSpan w:val="3"/>
          </w:tcPr>
          <w:p>
            <w:pPr>
              <w:jc w:val="right"/>
              <w:ind w:right="372"/>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540" w:type="dxa"/>
            <w:vAlign w:val="bottom"/>
          </w:tcPr>
          <w:p>
            <w:pPr>
              <w:jc w:val="right"/>
              <w:spacing w:after="0"/>
              <w:rPr>
                <w:sz w:val="20"/>
                <w:szCs w:val="20"/>
                <w:color w:val="auto"/>
              </w:rPr>
            </w:pPr>
            <w:r>
              <w:rPr>
                <w:rFonts w:ascii="Arial" w:cs="Arial" w:eastAsia="Arial" w:hAnsi="Arial"/>
                <w:sz w:val="18"/>
                <w:szCs w:val="18"/>
                <w:color w:val="auto"/>
              </w:rPr>
              <w:t>195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180" w:type="dxa"/>
            <w:vAlign w:val="bottom"/>
            <w:gridSpan w:val="3"/>
          </w:tcPr>
          <w:p>
            <w:pPr>
              <w:jc w:val="right"/>
              <w:ind w:right="392"/>
              <w:spacing w:after="0"/>
              <w:rPr>
                <w:sz w:val="20"/>
                <w:szCs w:val="20"/>
                <w:color w:val="auto"/>
              </w:rPr>
            </w:pPr>
            <w:r>
              <w:rPr>
                <w:rFonts w:ascii="Arial" w:cs="Arial" w:eastAsia="Arial" w:hAnsi="Arial"/>
                <w:sz w:val="18"/>
                <w:szCs w:val="18"/>
                <w:color w:val="auto"/>
              </w:rPr>
              <w:t>21</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12.1</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5.5</w:t>
            </w:r>
          </w:p>
        </w:tc>
        <w:tc>
          <w:tcPr>
            <w:tcW w:w="540" w:type="dxa"/>
            <w:vAlign w:val="bottom"/>
          </w:tcPr>
          <w:p>
            <w:pPr>
              <w:jc w:val="right"/>
              <w:spacing w:after="0"/>
              <w:rPr>
                <w:sz w:val="20"/>
                <w:szCs w:val="20"/>
                <w:color w:val="auto"/>
              </w:rPr>
            </w:pPr>
            <w:r>
              <w:rPr>
                <w:rFonts w:ascii="Arial" w:cs="Arial" w:eastAsia="Arial" w:hAnsi="Arial"/>
                <w:sz w:val="18"/>
                <w:szCs w:val="18"/>
                <w:color w:val="auto"/>
              </w:rPr>
              <w:t>398</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Pr>
          <w:p>
            <w:pPr>
              <w:spacing w:after="0"/>
              <w:rPr>
                <w:sz w:val="18"/>
                <w:szCs w:val="18"/>
                <w:color w:val="auto"/>
              </w:rPr>
            </w:pPr>
          </w:p>
        </w:tc>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2,325</w:t>
            </w: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$ 6,832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$ 6,845</w:t>
            </w: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3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changes in our operating expenses are discussed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Headcount, exclusive of acquisitions, decreased in the current period compared to the prior year period;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quarters of 2013 and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Increased health and welfare costs;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incentive compensation;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contract labor principally attributed to the collection line of business.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Subcontractor costs — </w:t>
      </w:r>
      <w:r>
        <w:rPr>
          <w:rFonts w:ascii="Arial" w:cs="Arial" w:eastAsia="Arial" w:hAnsi="Arial"/>
          <w:sz w:val="16"/>
          <w:szCs w:val="16"/>
          <w:color w:val="auto"/>
        </w:rPr>
        <w:t>The current period increases in subcontractor costs were primarily driven by remediation services within Energy and Environmental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acquired RCI operations also contributed to the increased costs in the nine months ended September 30, 2014.</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efforts to reduce controllable recycling rebates paid to customers;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Better alignment of rebate structures to commodity prices for new recycling contracts;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Ongoing recycling business improvement efforts around inbound quality control;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Commodity price fluctuations;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business in portable self-storage services and remediation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decrease in fuel expense when compared to the prior year period was driven by (i) lower fuel purchases due to reduced collection volumes;</w:t>
      </w:r>
    </w:p>
    <w:p>
      <w:pPr>
        <w:spacing w:after="0" w:line="38" w:lineRule="exact"/>
        <w:rPr>
          <w:sz w:val="20"/>
          <w:szCs w:val="20"/>
          <w:color w:val="auto"/>
        </w:rPr>
      </w:pPr>
    </w:p>
    <w:p>
      <w:pPr>
        <w:ind w:firstLine="8"/>
        <w:spacing w:after="0" w:line="261" w:lineRule="auto"/>
        <w:tabs>
          <w:tab w:leader="none" w:pos="2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costs resulting from the conversion of our fleet to CNG vehicles and (iii) lower fuel prices. These decreases were offset, in part, by (i) a retroactive CNG fuel excise tax credit recognized in the first quarter of 2013 and (ii) the expiration of the excise credit in 2014.</w:t>
      </w:r>
    </w:p>
    <w:p>
      <w:pPr>
        <w:spacing w:after="0" w:line="5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increase in costs when compared to the prior periods was due to (i) higher disposal fees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volumes, including those from the RCI operations acquired in July 2013 and (ii) higher municipal franchise fees relating to the collection line of business. The unfavorable variances in the nine months ended September 30, 2014 were offset, in part, by a retroactive surcharge at one of our waste-to-energy facilities in the second quarter of 2013.</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increases in the current period were driven primarily by (i) an unfavorable discount rate adjustment in the current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(ii) higher site maintenance costs during 2014. A favorable discount rate adjustment in the second quarter of 2013 contributed to the increase in the current nine-month period.</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The decrease in risk management costs when compared to the prior periods was primarily due to lower auto and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to a lesser extent, decreased workers compensation claims and lower truck insurance expenses in the current year.</w:t>
      </w:r>
    </w:p>
    <w:p>
      <w:pPr>
        <w:spacing w:after="0" w:line="5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Other —</w:t>
      </w:r>
      <w:r>
        <w:rPr>
          <w:rFonts w:ascii="Arial" w:cs="Arial" w:eastAsia="Arial" w:hAnsi="Arial"/>
          <w:sz w:val="16"/>
          <w:szCs w:val="16"/>
          <w:color w:val="auto"/>
        </w:rPr>
        <w:t>The increase in the current period was driven in part by prior year contingent consideration adjustments, which lowered our costs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2013. The decrease in the comparable nine-month period is primarily due to the gain on the sale of a vacant facility in the second quarter of 2014.</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increased $28 million, or 8.0%, and $13 million, or 1.2%, when comparing the three and nine months ended September 30, 2014 to the comparable prior year periods. As a percentage of revenue, our selling, general and administrative expenses increased from 9.6% for the third quarter of 2013 to 10.5% for the third quarter of 2014, and increased from 10.4% for the nine months ended September 30, 2013 to 10.5% for the nine months ended September 30, 2014.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selling, general and administrative expenses for the three- and nine-month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right="16"/>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4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2"/>
                <w:szCs w:val="12"/>
                <w:color w:val="auto"/>
              </w:rPr>
            </w:pPr>
          </w:p>
        </w:tc>
        <w:tc>
          <w:tcPr>
            <w:tcW w:w="800" w:type="dxa"/>
            <w:vAlign w:val="bottom"/>
            <w:gridSpan w:val="3"/>
          </w:tcPr>
          <w:p>
            <w:pPr>
              <w:jc w:val="center"/>
              <w:ind w:left="221"/>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1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Period</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16"/>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150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0"/>
              </w:rPr>
              <w:t>$ (9)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248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80" w:type="dxa"/>
            <w:vAlign w:val="bottom"/>
            <w:gridSpan w:val="3"/>
          </w:tcPr>
          <w:p>
            <w:pPr>
              <w:jc w:val="right"/>
              <w:ind w:right="92"/>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13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r>
      <w:tr>
        <w:trPr>
          <w:trHeight w:val="27"/>
        </w:trPr>
        <w:tc>
          <w:tcPr>
            <w:tcW w:w="1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1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Factors affecting the change in our labor and related benefits costs in the current nine-month period include:</w:t>
      </w:r>
    </w:p>
    <w:p>
      <w:pPr>
        <w:spacing w:after="0" w:line="113" w:lineRule="exact"/>
        <w:rPr>
          <w:rFonts w:ascii="Arial" w:cs="Arial" w:eastAsia="Arial" w:hAnsi="Arial"/>
          <w:sz w:val="18"/>
          <w:szCs w:val="18"/>
          <w:color w:val="auto"/>
        </w:rPr>
      </w:pPr>
    </w:p>
    <w:p>
      <w:pPr>
        <w:ind w:left="700" w:hanging="246"/>
        <w:spacing w:after="0"/>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Higher salaries and wages due primarily to merit increases;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Higher incentive compensation costs;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Increased health and welfare costs;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Cost reductions resulting from our August 2014 reorganization.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During the current three-month period, we have experienced the same trends as noted above for the nine-month period, although the cost reductions resulting from the August 2014 reorganization have more than offset the other increased costs.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Our professional fees decreased primarily due to our concerted effort to reduce consulting fees in 2014.</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increased, principally in comparison to the prior year three-month period, as a result of the 2013</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of certain fully reserved receivables related to our Puerto Rico operations.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For the three-months ended September 30, 2014, other costs increased primarily due to higher litigation reserves. During the current nine-month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these costs were partially offset by the reversal of a reserve in the second quarter of 2014 due to a favorable litigation resolution and lower advertising costs.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nine-month periods ended September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Period-to-</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(0.5)%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740" w:type="dxa"/>
            <w:vAlign w:val="bottom"/>
            <w:gridSpan w:val="2"/>
          </w:tcPr>
          <w:p>
            <w:pPr>
              <w:spacing w:after="0"/>
              <w:rPr>
                <w:sz w:val="20"/>
                <w:szCs w:val="20"/>
                <w:color w:val="auto"/>
              </w:rPr>
            </w:pPr>
            <w:r>
              <w:rPr>
                <w:rFonts w:ascii="Arial" w:cs="Arial" w:eastAsia="Arial" w:hAnsi="Arial"/>
                <w:sz w:val="18"/>
                <w:szCs w:val="18"/>
                <w:color w:val="auto"/>
              </w:rPr>
              <w:t>(3.7)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Arial" w:cs="Arial" w:eastAsia="Arial" w:hAnsi="Arial"/>
                <w:sz w:val="18"/>
                <w:szCs w:val="18"/>
                <w:color w:val="auto"/>
              </w:rPr>
              <w:t>(4.4)%</w:t>
            </w: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6"/>
              </w:rPr>
              <w:t>(2.1)%</w:t>
            </w:r>
          </w:p>
        </w:tc>
        <w:tc>
          <w:tcPr>
            <w:tcW w:w="0" w:type="dxa"/>
            <w:vAlign w:val="bottom"/>
          </w:tcPr>
          <w:p>
            <w:pPr>
              <w:spacing w:after="0" w:line="20" w:lineRule="exact"/>
              <w:rPr>
                <w:sz w:val="1"/>
                <w:szCs w:val="1"/>
                <w:color w:val="auto"/>
              </w:rPr>
            </w:pPr>
          </w:p>
        </w:tc>
      </w:tr>
      <w:tr>
        <w:trPr>
          <w:trHeight w:val="222"/>
        </w:trPr>
        <w:tc>
          <w:tcPr>
            <w:tcW w:w="5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329</w:t>
            </w:r>
          </w:p>
        </w:tc>
        <w:tc>
          <w:tcPr>
            <w:tcW w:w="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w:t>
            </w:r>
          </w:p>
        </w:tc>
        <w:tc>
          <w:tcPr>
            <w:tcW w:w="740" w:type="dxa"/>
            <w:vAlign w:val="bottom"/>
            <w:gridSpan w:val="2"/>
            <w:vMerge w:val="continue"/>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1,006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w:t>
            </w: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Depreciation and amortization expense decreased in 2014, primarily as a result of the pending sale of our Wheelabrator business. In accordance with authoritative guidance, the Company suspends depreciation and amortization on the underlying assets of operations classified as held-for-sale. Accordingly, we suspended $10 million of depreciation and amortization for both the three and nine months ended September 30, 2014 on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our Wheelabrator business upon signing the Stock Purchase Agreement discussed in Note 9 of the Condensed Consolidated Financial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August 2014, we announced a consolidation and realignment of several Corporate functions to better support achievement of the Company’s strategic goals, including cost reduction. We are in the process of implementing this restructuring plan and we expect it to be completed by the end of 2014. Voluntary separation arrangements were offered to all salaried exempt employees within these organizations. To date, approximately 650 employees have separated from our Corporate and recycling organizations in connection with this restructuring, but we do not anticipate that all of these positions will be permanently eliminated.</w:t>
      </w:r>
    </w:p>
    <w:p>
      <w:pPr>
        <w:spacing w:after="0" w:line="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third quarter of 2014, we recognized pre-tax charges of $67 million primarily associated with this restructuring, of which $61 million related to employee severance and benefit costs. We do not expect to incur any material charges associated with this restructuring in future periods.</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2013, we recognized a total of $13 million of pre-tax restructuring charges, of which $6 million was related to employee severance and benefit costs, including costs associated with our acquisition of Greenstar and our July 2012 restructuring. The remaining charges were primarily related to operating lease obligations for property that will no longer be utilized.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third quarter of 2014, we recognized net gains of $16 million, primarily attributable to an $18 million gain on the sale of certain landfill and collection operations in our Eastern Canada Area. This gain was more than offset by $39 million of net charges during the nine months ended September 30, 2014, primarily related to a $26 million loss on the divestiture of our Puerto Rico operations and certain other collection and landfill assets as discussed further in Note 9 to the Condensed Consolidating Financial Statements and a $12 million impairment charge due to the decision to close a waste processing facility.</w:t>
      </w:r>
    </w:p>
    <w:p>
      <w:pPr>
        <w:spacing w:after="0" w:line="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During the third quarter of 2013, we recognized charges of $23 million, primarily related to (i) a $12 million impairment charge to write down goodwill and indefinite-lived intangibles related to an investment in a waste diversion technology company, partially offset by a $6 million benefit to noncontrolling interest and (ii) losses on divestitures primarily related to investments in oil and gas producing properties. During the nine months ended September 30, 2013, we also recognized additional charges of $15 million, primarily related to (i) a $14 million impairment charge in the second quarter of 2013 at a waste-to-energy facility as a result of projected operating losses, which caused us to write down the carrying value of the facility’s property, plant and equipment to its estimated fair value; (ii) losses on divestitures in the first quarter of 2013 primarily related to investments in oil and gas producing properties and (iii) other charges to impair goodwill and write down the carrying value of assets to their estimated fair values related to certain of our operations, all of which are individually immaterial. Partially offsetting these charges during 2013 were gains on divestitures including the sale of a transfer station in our Greater Mid-Atlantic Area during the first quarter of 2013.</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2" w:name="page53"/>
    <w:bookmarkEnd w:id="5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nine-month periods ended September 30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left="239"/>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3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Period-to-</w:t>
            </w:r>
          </w:p>
        </w:tc>
      </w:tr>
      <w:tr>
        <w:trPr>
          <w:trHeight w:val="142"/>
        </w:trPr>
        <w:tc>
          <w:tcPr>
            <w:tcW w:w="3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2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right="420"/>
              <w:spacing w:after="0" w:line="142"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Period Change</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2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Tier 1</w:t>
            </w:r>
          </w:p>
        </w:tc>
        <w:tc>
          <w:tcPr>
            <w:tcW w:w="2620" w:type="dxa"/>
            <w:vAlign w:val="bottom"/>
            <w:gridSpan w:val="3"/>
          </w:tcPr>
          <w:p>
            <w:pPr>
              <w:jc w:val="right"/>
              <w:ind w:right="160"/>
              <w:spacing w:after="0"/>
              <w:rPr>
                <w:sz w:val="20"/>
                <w:szCs w:val="20"/>
                <w:color w:val="auto"/>
              </w:rPr>
            </w:pPr>
            <w:r>
              <w:rPr>
                <w:rFonts w:ascii="Arial" w:cs="Arial" w:eastAsia="Arial" w:hAnsi="Arial"/>
                <w:sz w:val="18"/>
                <w:szCs w:val="18"/>
                <w:color w:val="auto"/>
              </w:rPr>
              <w:t>$ 230</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$ 224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Tier 3</w:t>
            </w:r>
          </w:p>
        </w:tc>
        <w:tc>
          <w:tcPr>
            <w:tcW w:w="2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r>
      <w:tr>
        <w:trPr>
          <w:trHeight w:val="27"/>
        </w:trPr>
        <w:tc>
          <w:tcPr>
            <w:tcW w:w="3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2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Wheelabrator</w:t>
            </w:r>
          </w:p>
        </w:tc>
        <w:tc>
          <w:tcPr>
            <w:tcW w:w="262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Corporate and Other</w:t>
            </w:r>
          </w:p>
        </w:tc>
        <w:tc>
          <w:tcPr>
            <w:tcW w:w="20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(90)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(105)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r>
      <w:tr>
        <w:trPr>
          <w:trHeight w:val="27"/>
        </w:trPr>
        <w:tc>
          <w:tcPr>
            <w:tcW w:w="3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$ 546</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(31)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0"/>
        </w:trPr>
        <w:tc>
          <w:tcPr>
            <w:tcW w:w="3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The most significant items affecting the results of operations of our Solid Waste business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as compared with the prior year periods are summarized below:</w:t>
      </w:r>
    </w:p>
    <w:p>
      <w:pPr>
        <w:spacing w:after="0" w:line="84" w:lineRule="exact"/>
        <w:rPr>
          <w:sz w:val="20"/>
          <w:szCs w:val="20"/>
          <w:color w:val="auto"/>
        </w:rPr>
      </w:pPr>
    </w:p>
    <w:p>
      <w:pPr>
        <w:ind w:left="700" w:hanging="2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base business, excluding recycling, benefited from internal revenue growth as well as from increased fuel recovery;</w:t>
      </w:r>
    </w:p>
    <w:p>
      <w:pPr>
        <w:spacing w:after="0" w:line="9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recycling business contributed favorably compared to the prior year periods principally due to (i) increased efforts to reduce controllable recycling rebates paid to customers; (ii) better alignment of rebate structures to commodity prices for new recycling contracts and (iii) ongoing business improvement efforts around inbound quality control. These favorable variances more than offset lower market prices for recyclable commodities and lower volumes in the nine-month period ended September 30, 2014;</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labor costs due to merit increases effective in the second quarter and higher incentive compensation costs;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fuel costs in the current period due to (i) reduction in purchases corresponding to a decline in collection volumes; (ii) lower costs resulting from the conversion of our fleet to CNG and (iii) lower fuel prices;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repair and maintenance costs primarily in the second quarter.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items affected specific segments:</w:t>
      </w:r>
    </w:p>
    <w:p>
      <w:pPr>
        <w:spacing w:after="0" w:line="90" w:lineRule="exact"/>
        <w:rPr>
          <w:sz w:val="20"/>
          <w:szCs w:val="20"/>
          <w:color w:val="auto"/>
        </w:rPr>
      </w:pPr>
    </w:p>
    <w:p>
      <w:pPr>
        <w:ind w:left="700" w:hanging="246"/>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loss on the sale of our Puerto Rico operations and certain other collection and landfill assets in the second quarter of 2014, which were included in Tier 3 and Tier 1, respectively;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weather in the first quarter of 2014 resulted in lower income from operations primarily in Tier 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gain on the sale of certain landfill and collection operations in our Eastern Canada Area in the third quarter of 2014, which were included in Tier 3;</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accretive benefits of the acquired RCI operations in the second quarter of 2013, which are included in Tier 3;</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gain on the sale of a vacant facility in the second quarter of 2014, which was included in Tier 3;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reversal of a reserve in the second quarter of 2014 due to a favorable litigation resolution, which was included in Tier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3" w:name="page54"/>
    <w:bookmarkEnd w:id="53"/>
    <w:p>
      <w:pPr>
        <w:jc w:val="both"/>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Significant items affecting the comparability of the remaining components of our results of operations for the three and nine months ended September 30, 2014 are summarized below.</w:t>
      </w:r>
    </w:p>
    <w:p>
      <w:pPr>
        <w:spacing w:after="0" w:line="51"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The increase in income from operations of our Wheelabrator business was driven in large part by higher electricity prices at our merchant</w:t>
      </w:r>
      <w:r>
        <w:rPr>
          <w:rFonts w:ascii="Arial" w:cs="Arial" w:eastAsia="Arial" w:hAnsi="Arial"/>
          <w:sz w:val="16"/>
          <w:szCs w:val="16"/>
          <w:i w:val="1"/>
          <w:iCs w:val="1"/>
          <w:color w:val="auto"/>
        </w:rPr>
        <w:t xml:space="preserve"> </w:t>
      </w:r>
      <w:r>
        <w:rPr>
          <w:rFonts w:ascii="Arial" w:cs="Arial" w:eastAsia="Arial" w:hAnsi="Arial"/>
          <w:sz w:val="16"/>
          <w:szCs w:val="16"/>
          <w:color w:val="auto"/>
        </w:rPr>
        <w:t>waste-to-energy facilities due to the exceptionally cold winter conditions in the first quarter in 2014 as compared with the prior year period. Other items contributing to the variability included (i) impairment charges at a waste-to-energy facility as a result of projected operating losses in the second quarter of 2013;</w:t>
      </w:r>
    </w:p>
    <w:p>
      <w:pPr>
        <w:spacing w:after="0" w:line="1" w:lineRule="exact"/>
        <w:rPr>
          <w:sz w:val="20"/>
          <w:szCs w:val="20"/>
          <w:color w:val="auto"/>
        </w:rPr>
      </w:pPr>
    </w:p>
    <w:p>
      <w:pPr>
        <w:jc w:val="both"/>
        <w:ind w:firstLine="8"/>
        <w:spacing w:after="0" w:line="255" w:lineRule="auto"/>
        <w:tabs>
          <w:tab w:leader="none" w:pos="2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repair and maintenance expenses in the current year due to differences in the timing and scope of planned maintenance activities; (iii) the suspension of depreciation and amortization expense in the third quarter of 2014 as a result of the business being classified as held-for-sale and (iv) higher incentive compensation in the current year.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Significant items affecting the comparability of results for the periods presented include:</w:t>
      </w:r>
    </w:p>
    <w:p>
      <w:pPr>
        <w:spacing w:after="0" w:line="90" w:lineRule="exact"/>
        <w:rPr>
          <w:sz w:val="20"/>
          <w:szCs w:val="20"/>
          <w:color w:val="auto"/>
        </w:rPr>
      </w:pPr>
    </w:p>
    <w:p>
      <w:pPr>
        <w:ind w:left="700" w:hanging="24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Improved results in our Strategic Business Solutions as a result of our system and process enhancements;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 charges incurred in the second quarter of 2014 primarily due to the decision to close a waste processing facility;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 charges incurred in the third quarter of 2013 related to a waste diversion technology investment;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favorable adjustment to accrued contingent consideration associated with a prior year acquisition;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Improved results in our Energy and Environmental Services business in the third quarter of 2014.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Significant items affecting the comparability of results for the periods presented include:</w:t>
      </w:r>
    </w:p>
    <w:p>
      <w:pPr>
        <w:spacing w:after="0" w:line="90" w:lineRule="exact"/>
        <w:rPr>
          <w:sz w:val="20"/>
          <w:szCs w:val="20"/>
          <w:color w:val="auto"/>
        </w:rPr>
      </w:pPr>
    </w:p>
    <w:p>
      <w:pPr>
        <w:ind w:left="700" w:hanging="246"/>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restructuring costs and related savings related to the consolidation and realignment of several Corporate functions in the current period;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health and welfare costs;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Establishment of reserves for certain legal matters in the current period;</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favorable discount rate adjustment to our environmental remediation obligations and recovery assets in the second quarter of 2013 due to increases in U.S. Treasury rates;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unfavorable discount rate adjustment to our environmental remediation obligations and recovery assets in the third quarter of 2014 due to decreases in U.S. Treasury rates;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risk management adjustments in 2014;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labor costs due to merit increases effective in the second quarter and higher incentive compensation costs.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We recognized “Equity in net losses of unconsolidated entities” of $14 million and $36 million during the three and nine months ended September 30, 2014, respectively, compared with $3 million and $19 million during the three and nine months ended September 30, 2013,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15 to the Condensed Consolidated Financial Statements for more information related to these investments. Additional losses in the third quarter of 2014 are related to $5 million of charges to write down an equity method investment in a waste diversion technology company to its fair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4" w:name="page55"/>
    <w:bookmarkEnd w:id="5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net</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recognized other, net expense of $2 million and $7 million for the three and nine months ended September 30, 2014, respectively, compared with $3 million and $12 million for the three and nine months ended September 30, 2013, respectively. The expense in 2013 was impacted by impairment charges of $11 million in the first quarter of 2013 relating to other-than-temporary declines in the value of investments in waste diversion technology companies accounted for under the cost method. We wrote down the carrying value of our investments to their fair value based on third-party investors’ recent transactions in these securities. Partially offsetting these charges was a $4 million gain on the sale of a similar investment recognized in the second quarter of 2013.</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recorded a provision for income taxes of $133 million during the third quarter of 2014, representing an effective income tax rate of 32.1%, compared with a provision for income taxes of $155 million during the third quarter of 2013, representing an effective income tax rate of 34.3%. Our effective income tax rate for the nine months ended September 30, 2014 was 35.7% compared with 33.6% for the nine months ended September 30, 2013.</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investments in low-income housing properties and the refined coal facility reduced our provision for income taxes for the three and nine months ended September 30, 2014 by $16 million and $41 million, respectively, and for the three and nine months ended September 30, 2013 by $16 million and $42 million, respectively. Refer to Note 5 to the Condensed Consolidated Financial Statements for more information.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Net income attributable to noncontrolling interests was $11 million and $32 million for the three and nine months ended September 30, 2014, respectively, and $6 million and $26 million for the three and nine months ended September 30, 2013, respectively. These amounts are principally related to third parties’ equity interests in two limited liability companies that own three waste-to-energy facilities operated by our Wheelabrator business. Refer to Note 15 to the Condensed Consolidated Financial Statements for information related to the consolidation of these variable interest entities.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September 30,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1,141</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10,164</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September 30, 2014, we had (i) $500 million of debt maturing within the next 12 months, including $350 million of 6.375% senior notes that mature in March 2015 and $80 million of tax-exempt bonds; (ii) $585 million of short-term borrowings outstanding under the U.S. revolving credit facility (“$2.25 billion revolving credit facility”); (iii) $56 million of tax-exempt debt related to our Wheelabrator business with long-term maturities, which we have called and repaid effective October 1, 2014 and (iv) $563 million of tax-exempt borrowings subject to repricing within the next 12 months. Based on our intent and ability to refinance portions of our current obligations on a long-term basis as of September 30, 2014, including through use of forecasted available capacity under our $2.25 billion revolving credit facility, we have classified $563 million of this debt as long-term and the remaining $1,141 million as current obligations.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92"/>
              <w:spacing w:after="0"/>
              <w:rPr>
                <w:sz w:val="20"/>
                <w:szCs w:val="20"/>
                <w:color w:val="auto"/>
              </w:rPr>
            </w:pPr>
            <w:r>
              <w:rPr>
                <w:rFonts w:ascii="Arial" w:cs="Arial" w:eastAsia="Arial" w:hAnsi="Arial"/>
                <w:sz w:val="18"/>
                <w:szCs w:val="18"/>
                <w:color w:val="auto"/>
              </w:rPr>
              <w:t>(576)</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(1,432)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7"/>
              </w:rPr>
              <w:t>(1,107)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for the nine-month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with the comparable prior year period are summarized below:</w:t>
      </w:r>
    </w:p>
    <w:p>
      <w:pPr>
        <w:spacing w:after="0" w:line="51" w:lineRule="exact"/>
        <w:rPr>
          <w:sz w:val="20"/>
          <w:szCs w:val="20"/>
          <w:color w:val="auto"/>
        </w:rPr>
      </w:pPr>
    </w:p>
    <w:p>
      <w:pPr>
        <w:ind w:left="700" w:hanging="246"/>
        <w:spacing w:after="0" w:line="26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increased by $37 million on a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 Included in the $37 million increase are the following items:</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higher charges in 2014 of $56 million related primarily to our August 2014 reorganization;</w:t>
      </w:r>
    </w:p>
    <w:p>
      <w:pPr>
        <w:spacing w:after="0" w:line="90" w:lineRule="exact"/>
        <w:rPr>
          <w:rFonts w:ascii="Arial" w:cs="Arial" w:eastAsia="Arial" w:hAnsi="Arial"/>
          <w:sz w:val="18"/>
          <w:szCs w:val="18"/>
          <w:color w:val="auto"/>
        </w:rPr>
      </w:pPr>
    </w:p>
    <w:p>
      <w:pPr>
        <w:ind w:left="1120" w:hanging="437"/>
        <w:spacing w:after="0" w:line="268" w:lineRule="auto"/>
        <w:tabs>
          <w:tab w:leader="none" w:pos="1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higher non-cash charges in 2014 of $14 million attributable to interest accretion and discount rate adjustments on environmental remediation liabilities;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ind w:left="1120" w:hanging="437"/>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lower charges in 2014 related to impairments and equity-based compensation expense of $17 million and $5 million, respectively.</w:t>
      </w:r>
    </w:p>
    <w:p>
      <w:pPr>
        <w:spacing w:after="0" w:line="90" w:lineRule="exact"/>
        <w:rPr>
          <w:rFonts w:ascii="Arial" w:cs="Arial" w:eastAsia="Arial" w:hAnsi="Arial"/>
          <w:sz w:val="18"/>
          <w:szCs w:val="18"/>
          <w:color w:val="auto"/>
        </w:rPr>
      </w:pPr>
    </w:p>
    <w:p>
      <w:pPr>
        <w:jc w:val="both"/>
        <w:ind w:left="700" w:hanging="246"/>
        <w:spacing w:after="0" w:line="306"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Increase in tax payments </w:t>
      </w:r>
      <w:r>
        <w:rPr>
          <w:rFonts w:ascii="Arial" w:cs="Arial" w:eastAsia="Arial" w:hAnsi="Arial"/>
          <w:sz w:val="16"/>
          <w:szCs w:val="16"/>
          <w:color w:val="auto"/>
        </w:rPr>
        <w:t>— Cash paid for income taxes, net of excess tax benefits associated with equity-based transactions, was approximately $133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higher on a year-over-year basis due to (i) higher pre-tax earnings; (ii) the expiration of the bonus depreciation provisions and (iii) the divestiture of our Puerto Rico operations and certain other collection and landfill assets in the second quarter of 2014.</w:t>
      </w:r>
    </w:p>
    <w:p>
      <w:pPr>
        <w:spacing w:after="0" w:line="25" w:lineRule="exact"/>
        <w:rPr>
          <w:rFonts w:ascii="Arial" w:cs="Arial" w:eastAsia="Arial" w:hAnsi="Arial"/>
          <w:sz w:val="16"/>
          <w:szCs w:val="16"/>
          <w:color w:val="auto"/>
        </w:rPr>
      </w:pPr>
    </w:p>
    <w:p>
      <w:pPr>
        <w:ind w:left="700" w:right="20" w:hanging="246"/>
        <w:spacing w:after="0" w:line="332"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Increase in bonus payments </w:t>
      </w:r>
      <w:r>
        <w:rPr>
          <w:rFonts w:ascii="Arial" w:cs="Arial" w:eastAsia="Arial" w:hAnsi="Arial"/>
          <w:sz w:val="16"/>
          <w:szCs w:val="16"/>
          <w:color w:val="auto"/>
        </w:rPr>
        <w:t>— Payments for our annual incentive plans are typically paid in the first quarter of the year based on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The annual incentive plan payments made in the first quarter of 2014 exceeded those made in the first quarter of 2013 by $73 million.</w:t>
      </w:r>
    </w:p>
    <w:p>
      <w:pPr>
        <w:spacing w:after="0" w:line="4" w:lineRule="exact"/>
        <w:rPr>
          <w:rFonts w:ascii="Arial" w:cs="Arial" w:eastAsia="Arial" w:hAnsi="Arial"/>
          <w:sz w:val="16"/>
          <w:szCs w:val="16"/>
          <w:color w:val="auto"/>
        </w:rPr>
      </w:pPr>
    </w:p>
    <w:p>
      <w:pPr>
        <w:jc w:val="both"/>
        <w:ind w:left="700" w:hanging="246"/>
        <w:spacing w:after="0" w:line="335" w:lineRule="auto"/>
        <w:tabs>
          <w:tab w:leader="none" w:pos="7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Forward-starting swaps </w:t>
      </w:r>
      <w:r>
        <w:rPr>
          <w:rFonts w:ascii="Arial" w:cs="Arial" w:eastAsia="Arial" w:hAnsi="Arial"/>
          <w:sz w:val="15"/>
          <w:szCs w:val="15"/>
          <w:color w:val="auto"/>
        </w:rPr>
        <w:t>— During the first quarter of 2014, the forward-starting interest rate swaps associated with the anticipated issuance of senior</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 2014 matured, and we paid cash of $36 million to settle the liabilities related to the swaps. This cash payment has been classified as a change in “Accounts payable and accrued liabilities” within “Net cash provided by operating activities” in the Condensed Consolidated Statement of Cash Flows.</w:t>
      </w:r>
    </w:p>
    <w:p>
      <w:pPr>
        <w:spacing w:after="0" w:line="7" w:lineRule="exact"/>
        <w:rPr>
          <w:rFonts w:ascii="Arial" w:cs="Arial" w:eastAsia="Arial" w:hAnsi="Arial"/>
          <w:sz w:val="15"/>
          <w:szCs w:val="15"/>
          <w:color w:val="auto"/>
        </w:rPr>
      </w:pPr>
    </w:p>
    <w:p>
      <w:pPr>
        <w:jc w:val="both"/>
        <w:ind w:left="700" w:hanging="246"/>
        <w:spacing w:after="0" w:line="256"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w:t>
      </w:r>
      <w:r>
        <w:rPr>
          <w:rFonts w:ascii="Arial" w:cs="Arial" w:eastAsia="Arial" w:hAnsi="Arial"/>
          <w:sz w:val="18"/>
          <w:szCs w:val="18"/>
          <w:color w:val="auto"/>
        </w:rPr>
        <w:t>— Our cash flow from operations was favorably impacted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$110 million on a year-over-year basis by changes in our working capital accounts. Although our working capital changes may vary from year-to-year, they are typically driven by changes in accounts receivable, which are affected by both revenue changes and timing of payments received, and accounts payable, which are affected by both cost changes and timing of payments.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nine-month periods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and 2013 are summarized below:</w:t>
      </w:r>
    </w:p>
    <w:p>
      <w:pPr>
        <w:spacing w:after="0" w:line="51" w:lineRule="exact"/>
        <w:rPr>
          <w:sz w:val="20"/>
          <w:szCs w:val="20"/>
          <w:color w:val="auto"/>
        </w:rPr>
      </w:pPr>
    </w:p>
    <w:p>
      <w:pPr>
        <w:jc w:val="both"/>
        <w:ind w:left="700" w:hanging="246"/>
        <w:spacing w:after="0" w:line="256"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spent $781 million during the first nine months of 2014 compared with $824 million in the first nine months of 2013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Approximately $167 million of our capital expenditures accrued in the fourth quarter of 2013 were paid in cash in the first quarter of 2014 compared with approximately $171 million of our capital expenditures accrued in the fourth quarter of 2012 that were paid in cash in the first quarter of 2013.</w:t>
      </w:r>
    </w:p>
    <w:p>
      <w:pPr>
        <w:spacing w:after="0" w:line="62" w:lineRule="exact"/>
        <w:rPr>
          <w:rFonts w:ascii="Arial" w:cs="Arial" w:eastAsia="Arial" w:hAnsi="Arial"/>
          <w:sz w:val="18"/>
          <w:szCs w:val="18"/>
          <w:color w:val="auto"/>
        </w:rPr>
      </w:pPr>
    </w:p>
    <w:p>
      <w:pPr>
        <w:jc w:val="both"/>
        <w:ind w:left="700" w:hanging="246"/>
        <w:spacing w:after="0" w:line="294"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Proceeds from divestitures of businesses and other assets (net of cash divested) were $319 million in the first nine months of 2014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$113 million in the first nine months of 2013. In the first quarter of 2014, we sold our investment in SEG and received cash proceeds of $155 million. In the second quarter of 2014, we sold our Puerto Rico operations and certain other collection and landfill assets and received proceeds from the sale of $80 million, consisting of $65 million of cash and $15 million of preferred stock. In the third quarter of 2014, we sold certain landfill and collection operations in our Eastern Canada Area and received cash proceeds of $39 million.</w:t>
      </w:r>
    </w:p>
    <w:p>
      <w:pPr>
        <w:spacing w:after="0" w:line="34"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Our spending on acquisitions was $32 million in the first nine months of 2014 compared with $698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2013. In 2013, our acquisitions consisted primarily of the recycling operations of Greenstar, for which we paid $170 million, and substantially all of the assets of RCI, for which we paid $481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7" w:name="page58"/>
    <w:bookmarkEnd w:id="57"/>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Net Cash Used in Financing Activities — </w:t>
      </w:r>
      <w:r>
        <w:rPr>
          <w:rFonts w:ascii="Arial" w:cs="Arial" w:eastAsia="Arial" w:hAnsi="Arial"/>
          <w:sz w:val="18"/>
          <w:szCs w:val="18"/>
          <w:color w:val="auto"/>
        </w:rPr>
        <w:t>During the first nine months of 2014, net cash used in financing activities was $1,107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$459 million during the comparable prior year period. The most significant items affecting the comparison of our financing cash flows for the nine-month periods ended September 30, 2014 and 2013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Debt borrowings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left="256"/>
              <w:spacing w:after="0"/>
              <w:rPr>
                <w:sz w:val="20"/>
                <w:szCs w:val="20"/>
                <w:color w:val="auto"/>
              </w:rPr>
            </w:pPr>
            <w:r>
              <w:rPr>
                <w:rFonts w:ascii="Arial" w:cs="Arial" w:eastAsia="Arial" w:hAnsi="Arial"/>
                <w:sz w:val="14"/>
                <w:szCs w:val="14"/>
                <w:b w:val="1"/>
                <w:bCs w:val="1"/>
                <w:color w:val="auto"/>
                <w:w w:val="88"/>
              </w:rPr>
              <w:t>Nine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1,810</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2,364</w:t>
            </w: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U.S. revolving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(1,645)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 and term loan</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Capital leases and other debt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(2,392)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(1,683)</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repayments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jc w:val="both"/>
        <w:ind w:left="700" w:hanging="246"/>
        <w:spacing w:after="0" w:line="259"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We paid $521 million in cash dividends in the first nine months of 2014 compared with $512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increase in dividend payments is primarily due to our quarterly per share dividend declared increasing from $0.365 in 2013 to $0.375 in 2014.</w:t>
      </w:r>
    </w:p>
    <w:p>
      <w:pPr>
        <w:spacing w:after="0" w:line="59" w:lineRule="exact"/>
        <w:rPr>
          <w:rFonts w:ascii="Arial" w:cs="Arial" w:eastAsia="Arial" w:hAnsi="Arial"/>
          <w:sz w:val="18"/>
          <w:szCs w:val="18"/>
          <w:color w:val="auto"/>
        </w:rPr>
      </w:pPr>
    </w:p>
    <w:p>
      <w:pPr>
        <w:jc w:val="both"/>
        <w:ind w:left="700" w:hanging="246"/>
        <w:spacing w:after="0" w:line="25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During the third quarter of 2014, we entered into accelerated share repurchase (“ASR”) agreements with two financial institutions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repurchase an aggregate of $600 million of our common stock, which we funded with borrowings under our $2.25 billion revolving credit facility. At the beginning of the ASR repurchase periods, we delivered $600 million in cash and received 9.6 million shares, representing 70 percent of the shares expected to be repurchased, based on then-current market prices. The final number of shares to be repurchased and the final average price per share under each ASR agreement will depend on the volume-weighted average price of our stock, less a discount, during the term of each agreement. Purchases under the ASR agreements are expected to be completed in late 2014 or early 2015. No share repurchases were made in the first nine months of 2013.</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Bonus Depreciation </w:t>
      </w:r>
      <w:r>
        <w:rPr>
          <w:rFonts w:ascii="Arial" w:cs="Arial" w:eastAsia="Arial" w:hAnsi="Arial"/>
          <w:sz w:val="18"/>
          <w:szCs w:val="18"/>
          <w:color w:val="auto"/>
        </w:rPr>
        <w:t>— The American Taxpayer Relief Act of 2012 was signed into law on January 2, 2013 and included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acceleration of depreciation deductions related to qualifying capital expenditures in 2013 decreased our 2013 cash taxes by approximately $70 million. However, taking accelerated deductions results in increased cash taxes in subsequent periods when the deductions related to the capital expenditures would have otherwise been taken. Overall, the effect of all applicable years’ bonus depreciation programs results in increased cash taxes of $40 million in 2013 and $95 million in 2014.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8" w:name="page59"/>
    <w:bookmarkEnd w:id="58"/>
    <w:p>
      <w:pPr>
        <w:jc w:val="both"/>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$9 million of liabilities for unrecognized tax benefits, including accrued interest, and $3 million of related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15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nine months ended September 30, 2014,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59" w:name="page60"/>
    <w:bookmarkEnd w:id="5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September 30, 2014, does not differ materially from that discussed under Item 7A in our Annual Report on Form 10-K for the year ended December 31, 2013.</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2014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2014. We determined that there were no changes in our internal control over financial reporting during the quarter ended September 30, 2014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2013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third quarter of 2014 (shares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4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Approximate 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4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of</w:t>
            </w:r>
          </w:p>
        </w:tc>
        <w:tc>
          <w:tcPr>
            <w:tcW w:w="166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3"/>
              </w:rPr>
              <w:t>Average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860" w:type="dxa"/>
            <w:vAlign w:val="bottom"/>
          </w:tcPr>
          <w:p>
            <w:pPr>
              <w:spacing w:after="0"/>
              <w:rPr>
                <w:sz w:val="12"/>
                <w:szCs w:val="12"/>
                <w:color w:val="auto"/>
              </w:rPr>
            </w:pPr>
          </w:p>
        </w:tc>
        <w:tc>
          <w:tcPr>
            <w:tcW w:w="1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Dollar Value of Shares that</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740" w:type="dxa"/>
            <w:vAlign w:val="bottom"/>
            <w:gridSpan w:val="2"/>
            <w:vMerge w:val="restart"/>
          </w:tcPr>
          <w:p>
            <w:pPr>
              <w:spacing w:after="0"/>
              <w:rPr>
                <w:sz w:val="12"/>
                <w:szCs w:val="12"/>
                <w:color w:val="auto"/>
              </w:rPr>
            </w:pPr>
          </w:p>
        </w:tc>
        <w:tc>
          <w:tcPr>
            <w:tcW w:w="16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1"/>
              </w:rPr>
              <w:t>Shares</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86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May Yet be Purchased Under</w:t>
            </w:r>
          </w:p>
        </w:tc>
        <w:tc>
          <w:tcPr>
            <w:tcW w:w="0" w:type="dxa"/>
            <w:vAlign w:val="bottom"/>
          </w:tcPr>
          <w:p>
            <w:pPr>
              <w:spacing w:after="0"/>
              <w:rPr>
                <w:sz w:val="1"/>
                <w:szCs w:val="1"/>
                <w:color w:val="auto"/>
              </w:rPr>
            </w:pPr>
          </w:p>
        </w:tc>
      </w:tr>
      <w:tr>
        <w:trPr>
          <w:trHeight w:val="153"/>
        </w:trPr>
        <w:tc>
          <w:tcPr>
            <w:tcW w:w="400" w:type="dxa"/>
            <w:vAlign w:val="bottom"/>
            <w:tcBorders>
              <w:bottom w:val="single" w:sz="8" w:color="auto"/>
            </w:tcBorders>
            <w:vMerge w:val="continue"/>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640" w:type="dxa"/>
            <w:vAlign w:val="bottom"/>
            <w:gridSpan w:val="3"/>
          </w:tcPr>
          <w:p>
            <w:pPr>
              <w:jc w:val="center"/>
              <w:ind w:right="1040"/>
              <w:spacing w:after="0" w:line="148" w:lineRule="exact"/>
              <w:rPr>
                <w:sz w:val="20"/>
                <w:szCs w:val="20"/>
                <w:color w:val="auto"/>
              </w:rPr>
            </w:pPr>
            <w:r>
              <w:rPr>
                <w:rFonts w:ascii="Arial" w:cs="Arial" w:eastAsia="Arial" w:hAnsi="Arial"/>
                <w:sz w:val="14"/>
                <w:szCs w:val="14"/>
                <w:b w:val="1"/>
                <w:bCs w:val="1"/>
                <w:color w:val="auto"/>
                <w:w w:val="83"/>
              </w:rPr>
              <w:t>Purchased</w:t>
            </w:r>
          </w:p>
        </w:tc>
        <w:tc>
          <w:tcPr>
            <w:tcW w:w="1660" w:type="dxa"/>
            <w:vAlign w:val="bottom"/>
            <w:gridSpan w:val="3"/>
          </w:tcPr>
          <w:p>
            <w:pPr>
              <w:jc w:val="center"/>
              <w:ind w:right="1020"/>
              <w:spacing w:after="0" w:line="148" w:lineRule="exact"/>
              <w:rPr>
                <w:sz w:val="20"/>
                <w:szCs w:val="20"/>
                <w:color w:val="auto"/>
              </w:rPr>
            </w:pPr>
            <w:r>
              <w:rPr>
                <w:rFonts w:ascii="Arial" w:cs="Arial" w:eastAsia="Arial" w:hAnsi="Arial"/>
                <w:sz w:val="14"/>
                <w:szCs w:val="14"/>
                <w:b w:val="1"/>
                <w:bCs w:val="1"/>
                <w:color w:val="auto"/>
                <w:w w:val="86"/>
              </w:rPr>
              <w:t>per Share</w:t>
            </w: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6"/>
              </w:rPr>
              <w:t>the Plans or Programs</w:t>
            </w:r>
          </w:p>
        </w:tc>
        <w:tc>
          <w:tcPr>
            <w:tcW w:w="0" w:type="dxa"/>
            <w:vAlign w:val="bottom"/>
          </w:tcPr>
          <w:p>
            <w:pPr>
              <w:spacing w:after="0"/>
              <w:rPr>
                <w:sz w:val="1"/>
                <w:szCs w:val="1"/>
                <w:color w:val="auto"/>
              </w:rPr>
            </w:pPr>
          </w:p>
        </w:tc>
      </w:tr>
      <w:tr>
        <w:trPr>
          <w:trHeight w:val="20"/>
        </w:trPr>
        <w:tc>
          <w:tcPr>
            <w:tcW w:w="41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July 1 — 31</w:t>
            </w:r>
          </w:p>
        </w:tc>
        <w:tc>
          <w:tcPr>
            <w:tcW w:w="600" w:type="dxa"/>
            <w:vAlign w:val="bottom"/>
            <w:shd w:val="clear" w:color="auto" w:fill="000000"/>
          </w:tcPr>
          <w:p>
            <w:pPr>
              <w:spacing w:after="0" w:line="20" w:lineRule="exact"/>
              <w:rPr>
                <w:sz w:val="1"/>
                <w:szCs w:val="1"/>
                <w:color w:val="auto"/>
              </w:rPr>
            </w:pPr>
          </w:p>
        </w:tc>
        <w:tc>
          <w:tcPr>
            <w:tcW w:w="1040" w:type="dxa"/>
            <w:vAlign w:val="bottom"/>
            <w:gridSpan w:val="2"/>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3"/>
            <w:vMerge w:val="continue"/>
            <w:shd w:val="clear" w:color="auto" w:fill="CCEEFF"/>
          </w:tcPr>
          <w:p>
            <w:pPr>
              <w:spacing w:after="0"/>
              <w:rPr>
                <w:sz w:val="17"/>
                <w:szCs w:val="17"/>
                <w:color w:val="auto"/>
              </w:rPr>
            </w:pPr>
          </w:p>
        </w:tc>
        <w:tc>
          <w:tcPr>
            <w:tcW w:w="60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w w:val="77"/>
              </w:rPr>
              <w:t>—</w:t>
            </w: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7"/>
              </w:rPr>
              <w:t>—</w:t>
            </w:r>
          </w:p>
        </w:tc>
        <w:tc>
          <w:tcPr>
            <w:tcW w:w="104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600 million(a)</w:t>
            </w: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August 1 — 31</w:t>
            </w: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9.6(b)</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w w:val="98"/>
              </w:rPr>
              <w:t>43.89(b)</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 million(c)</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 30</w:t>
            </w:r>
          </w:p>
        </w:tc>
        <w:tc>
          <w:tcPr>
            <w:tcW w:w="1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million</w:t>
            </w:r>
          </w:p>
        </w:tc>
        <w:tc>
          <w:tcPr>
            <w:tcW w:w="0" w:type="dxa"/>
            <w:vAlign w:val="bottom"/>
          </w:tcPr>
          <w:p>
            <w:pPr>
              <w:spacing w:after="0"/>
              <w:rPr>
                <w:sz w:val="1"/>
                <w:szCs w:val="1"/>
                <w:color w:val="auto"/>
              </w:rPr>
            </w:pPr>
          </w:p>
        </w:tc>
      </w:tr>
      <w:tr>
        <w:trPr>
          <w:trHeight w:val="222"/>
        </w:trPr>
        <w:tc>
          <w:tcPr>
            <w:tcW w:w="4140" w:type="dxa"/>
            <w:vAlign w:val="bottom"/>
            <w:gridSpan w:val="3"/>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9.6</w:t>
            </w:r>
          </w:p>
        </w:tc>
        <w:tc>
          <w:tcPr>
            <w:tcW w:w="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w w:val="97"/>
              </w:rPr>
              <w:t>43.89</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$600 million authorization provided by our Board of Directors was publicly announced on February 18, 2014.</w:t>
      </w:r>
    </w:p>
    <w:p>
      <w:pPr>
        <w:spacing w:after="0" w:line="15"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the third quarter of 2014, the Company entered into ASR agreements with two financial institutions to repurchase an aggregate of $600 million of our common stock. At the beginning of the ASR repurchase periods, we delivered the $600 million in cash and received 9.6 million shares, which represents 70 percent of the shares expected to be repurchased based on then-current market prices. This does not represent the final number of shares to be delivered under the ASR agreements or the final average price per share that will be paid for the shares purchased. The final number of shares to be repurchased under each ASR agreement will be based on the volume-weighted average price of our stock during the term of each agreement, less a discount. Purchases under the ASR agreements are expected to be completed in late 2014 or early 2015.</w:t>
      </w:r>
    </w:p>
    <w:p>
      <w:pPr>
        <w:spacing w:after="0" w:line="4" w:lineRule="exact"/>
        <w:rPr>
          <w:rFonts w:ascii="Arial" w:cs="Arial" w:eastAsia="Arial" w:hAnsi="Arial"/>
          <w:sz w:val="16"/>
          <w:szCs w:val="16"/>
          <w:color w:val="auto"/>
        </w:rPr>
      </w:pPr>
    </w:p>
    <w:p>
      <w:pPr>
        <w:jc w:val="both"/>
        <w:ind w:left="460" w:hanging="452"/>
        <w:spacing w:after="0" w:line="331"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Company delivered $600 million in cash to the counterparties of the ASR agreements at the beginning of the repurchase periods. Although the repurchase periods have not completed and the Company has not received all of the shares expected to be repurchased under the ASR agreements, the ASR agreements fully utilized the Board of Directors’ $600 million authorization; as a result, we are reflecting the amount that may yet be purchased as zero.</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4"/>
          </w:tcPr>
          <w:p>
            <w:pPr>
              <w:ind w:left="8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219"/>
        </w:trPr>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960" w:type="dxa"/>
            <w:vAlign w:val="bottom"/>
            <w:tcBorders>
              <w:bottom w:val="single" w:sz="8" w:color="auto"/>
            </w:tcBorders>
          </w:tcPr>
          <w:p>
            <w:pPr>
              <w:ind w:left="380"/>
              <w:spacing w:after="0" w:line="148" w:lineRule="exact"/>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5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w w:val="90"/>
              </w:rPr>
              <w:t>—  Stock Purchase Agreement dated July 25, 2014 by and among Granite Acquisition, Inc. and Waste Management Holdings, Inc., National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40" w:type="dxa"/>
            <w:vAlign w:val="bottom"/>
            <w:gridSpan w:val="3"/>
          </w:tcPr>
          <w:p>
            <w:pPr>
              <w:ind w:left="80"/>
              <w:spacing w:after="0"/>
              <w:rPr>
                <w:sz w:val="20"/>
                <w:szCs w:val="20"/>
                <w:color w:val="auto"/>
              </w:rPr>
            </w:pPr>
            <w:r>
              <w:rPr>
                <w:rFonts w:ascii="Arial" w:cs="Arial" w:eastAsia="Arial" w:hAnsi="Arial"/>
                <w:sz w:val="18"/>
                <w:szCs w:val="18"/>
                <w:color w:val="auto"/>
                <w:w w:val="88"/>
              </w:rPr>
              <w:t>Guaranty Insurance Company of Vermont, Mountain Indemnity Insurance Company, Chemical Waste Management, Inc. and Wheelabrator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40" w:type="dxa"/>
            <w:vAlign w:val="bottom"/>
            <w:gridSpan w:val="3"/>
          </w:tcPr>
          <w:p>
            <w:pPr>
              <w:ind w:left="80"/>
              <w:spacing w:after="0"/>
              <w:rPr>
                <w:sz w:val="20"/>
                <w:szCs w:val="20"/>
                <w:color w:val="auto"/>
              </w:rPr>
            </w:pPr>
            <w:r>
              <w:rPr>
                <w:rFonts w:ascii="Arial" w:cs="Arial" w:eastAsia="Arial" w:hAnsi="Arial"/>
                <w:sz w:val="18"/>
                <w:szCs w:val="18"/>
                <w:color w:val="auto"/>
              </w:rPr>
              <w:t>Technologies Inc. [incorporated by reference to Exhibit 2.1 to Current Report on Form 8-K filed July 29, 2014].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w w:val="99"/>
              </w:rPr>
              <w:t>—  Separation and Release Agreement between WM Recycle America, LLC and William K. Caesar dated September 15, 2014.</w:t>
            </w: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w w:val="92"/>
              </w:rPr>
              <w:t>—  Certification Pursuant to Rules 13a-14(a) and 15d-14(a) under the Securities Exchange Act of 1934, as amended, of David P. Steiner,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4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w w:val="90"/>
              </w:rPr>
              <w:t>—  Certification Pursuant to Rules 13a-14(a) and 15d-14(a) under the Securities Exchange Act of 1934, as amended, of James C. Fish, Jr.,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40" w:type="dxa"/>
            <w:vAlign w:val="bottom"/>
            <w:gridSpan w:val="3"/>
          </w:tcPr>
          <w:p>
            <w:pPr>
              <w:ind w:left="8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95</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80"/>
              <w:spacing w:after="0"/>
              <w:rPr>
                <w:sz w:val="20"/>
                <w:szCs w:val="20"/>
                <w:color w:val="auto"/>
              </w:rPr>
            </w:pPr>
            <w:r>
              <w:rPr>
                <w:rFonts w:ascii="Arial" w:cs="Arial" w:eastAsia="Arial" w:hAnsi="Arial"/>
                <w:sz w:val="18"/>
                <w:szCs w:val="18"/>
                <w:color w:val="auto"/>
              </w:rPr>
              <w:t>Mine Safety Disclosures.</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XBRL Taxonomy Extension Schema Document.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XBRL Taxonomy Extension Definition Linkbase Document.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XBRL Taxonomy Extension Labels Linkbase Document.</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gridSpan w:val="4"/>
          </w:tcPr>
          <w:p>
            <w:pPr>
              <w:ind w:left="340"/>
              <w:spacing w:after="0"/>
              <w:rPr>
                <w:sz w:val="20"/>
                <w:szCs w:val="20"/>
                <w:color w:val="auto"/>
              </w:rPr>
            </w:pPr>
            <w:r>
              <w:rPr>
                <w:rFonts w:ascii="Arial" w:cs="Arial" w:eastAsia="Arial" w:hAnsi="Arial"/>
                <w:sz w:val="18"/>
                <w:szCs w:val="18"/>
                <w:color w:val="auto"/>
              </w:rPr>
              <w:t>—  XBRL Taxonomy Extension Presentation Linkbase Document.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Pr>
          <w:p>
            <w:pPr>
              <w:ind w:left="408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RELEASE AGREEMENT</w:t>
      </w:r>
    </w:p>
    <w:p>
      <w:pPr>
        <w:spacing w:after="0" w:line="33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THIS SEPARATION AND RELEASE AGREEMENT (“Separation Agreement”) is entered into between WM Recycle America, LLC (the “Company”) and William K. Caesar (the “Executive”).</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This Separation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REAMBLE</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Waste Management, Inc. (together with any entity that is a direct or indirect majority-owned subsidiary of Waste Management, Inc.,</w:t>
      </w:r>
      <w:r>
        <w:rPr>
          <w:rFonts w:ascii="Arial" w:cs="Arial" w:eastAsia="Arial" w:hAnsi="Arial"/>
          <w:sz w:val="18"/>
          <w:szCs w:val="18"/>
          <w:i w:val="1"/>
          <w:iCs w:val="1"/>
          <w:color w:val="auto"/>
        </w:rPr>
        <w:t xml:space="preserve"> </w:t>
      </w:r>
      <w:r>
        <w:rPr>
          <w:rFonts w:ascii="Arial" w:cs="Arial" w:eastAsia="Arial" w:hAnsi="Arial"/>
          <w:sz w:val="18"/>
          <w:szCs w:val="18"/>
          <w:color w:val="auto"/>
        </w:rPr>
        <w:t>“Waste Management”) and Executive previously entered into that certain Employment Agreement dated August 23, 2011, as may have been amended from time to time (the “Employment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pursuant to such Employment Agreement, Executive has been continuously employed;</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Executive has elected to participate in the Company’s 2014 voluntary early retirement program (the “VERP”) and his resignation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September 12, 2014;</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agree that upon his separation and execution of a waiver and release of claims, Executive will receive certain benefits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6(e)(iii), (iv) and (v) of his Employment Agreement and in this Separation Agreement;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Separation Agreement to supplement the continuing provisions of said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as set forth below; and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hereby agree as follows:</w:t>
      </w:r>
    </w:p>
    <w:p>
      <w:pPr>
        <w:spacing w:after="0" w:line="166" w:lineRule="exact"/>
        <w:rPr>
          <w:sz w:val="20"/>
          <w:szCs w:val="20"/>
          <w:color w:val="auto"/>
        </w:rPr>
      </w:pPr>
    </w:p>
    <w:p>
      <w:pPr>
        <w:ind w:right="80" w:firstLine="464"/>
        <w:spacing w:after="0" w:line="281" w:lineRule="auto"/>
        <w:tabs>
          <w:tab w:leader="none" w:pos="951"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employment of Executive will terminate on September 12, 2014 (“Employment Termination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agree that Executive is entitled to the certain compensation and benefits set forth in Section 6(d) of the Employment Agreement without his execution of a release, as more specifically detailed in Exhibit A to this Separation Agreement. </w:t>
      </w:r>
      <w:r>
        <w:rPr>
          <w:rFonts w:ascii="Arial" w:cs="Arial" w:eastAsia="Arial" w:hAnsi="Arial"/>
          <w:sz w:val="17"/>
          <w:szCs w:val="17"/>
          <w:u w:val="single" w:color="auto"/>
          <w:color w:val="auto"/>
        </w:rPr>
        <w:t>It is expressly agreed to and acknowledged by the parties that Executive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 entitled to the compensation and benefits set forth in Exhibit A whether or not he executes this Separation Agreement.</w:t>
      </w:r>
    </w:p>
    <w:p>
      <w:pPr>
        <w:sectPr>
          <w:pgSz w:w="11900" w:h="16838" w:orient="portrait"/>
          <w:cols w:equalWidth="0" w:num="1">
            <w:col w:w="11420"/>
          </w:cols>
          <w:pgMar w:left="240" w:top="125" w:right="239" w:bottom="1440" w:gutter="0" w:footer="0" w:header="0"/>
        </w:sectPr>
      </w:pPr>
    </w:p>
    <w:bookmarkStart w:id="64" w:name="page65"/>
    <w:bookmarkEnd w:id="64"/>
    <w:p>
      <w:pPr>
        <w:ind w:right="80" w:firstLine="464"/>
        <w:spacing w:after="0" w:line="258" w:lineRule="auto"/>
        <w:tabs>
          <w:tab w:leader="none" w:pos="951"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Additional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promises herein contained, and subject to Executive executing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not revoking this Separation Agreement, it is agreed that the Company will provide Executive those certain benefits specifically detailed in Exhibit B to this Separation Agreement. </w:t>
      </w:r>
      <w:r>
        <w:rPr>
          <w:rFonts w:ascii="Arial" w:cs="Arial" w:eastAsia="Arial" w:hAnsi="Arial"/>
          <w:sz w:val="18"/>
          <w:szCs w:val="18"/>
          <w:u w:val="single" w:color="auto"/>
          <w:color w:val="auto"/>
        </w:rPr>
        <w:t>It is expressly agreed to and acknowledged by the parties that Executive is not entitled to the benefits set forth in Exhibit B until</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such time as he executes and does not revoke this Separation Agreement</w:t>
      </w:r>
      <w:r>
        <w:rPr>
          <w:rFonts w:ascii="Arial" w:cs="Arial" w:eastAsia="Arial" w:hAnsi="Arial"/>
          <w:sz w:val="18"/>
          <w:szCs w:val="18"/>
          <w:color w:val="auto"/>
        </w:rPr>
        <w:t>. The Company shall withhold, or cause to be withheld, from said payments all amounts required to be withheld pursuant to federal, state or local tax laws.</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consideration set forth in this Paragraph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Paragraphs 3 and 4. Executive further acknowledges that the items of consideration set forth in this Paragraph 2 are separate and distinct of and from each other, and that payment of each such item is independent valuable consideration for the release and waiver set forth in Paragraphs 3 and 4.</w:t>
      </w:r>
    </w:p>
    <w:p>
      <w:pPr>
        <w:spacing w:after="0" w:line="184" w:lineRule="exact"/>
        <w:rPr>
          <w:sz w:val="20"/>
          <w:szCs w:val="20"/>
          <w:color w:val="auto"/>
        </w:rPr>
      </w:pPr>
    </w:p>
    <w:p>
      <w:pPr>
        <w:ind w:firstLine="464"/>
        <w:spacing w:after="0" w:line="298" w:lineRule="auto"/>
        <w:tabs>
          <w:tab w:leader="none" w:pos="951"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first payment made to you pursuant to Paragraph 2, Executive releases and discharges the Company, its</w:t>
      </w:r>
      <w:r>
        <w:rPr>
          <w:rFonts w:ascii="Arial" w:cs="Arial" w:eastAsia="Arial" w:hAnsi="Arial"/>
          <w:sz w:val="16"/>
          <w:szCs w:val="16"/>
          <w:b w:val="1"/>
          <w:bCs w:val="1"/>
          <w:color w:val="auto"/>
        </w:rPr>
        <w:t xml:space="preserve"> </w:t>
      </w:r>
      <w:r>
        <w:rPr>
          <w:rFonts w:ascii="Arial" w:cs="Arial" w:eastAsia="Arial" w:hAnsi="Arial"/>
          <w:sz w:val="16"/>
          <w:szCs w:val="16"/>
          <w:color w:val="auto"/>
        </w:rPr>
        <w:t>past and present parent, subsidiary and affiliated companies, agents, directors, officers,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have, against the Released Parties to the date of this Separation Agreement. The claims Executive releases include, but are not limited to, claims that the Released Parties:</w:t>
      </w:r>
    </w:p>
    <w:p>
      <w:pPr>
        <w:spacing w:after="0" w:line="185" w:lineRule="exact"/>
        <w:rPr>
          <w:rFonts w:ascii="Arial" w:cs="Arial" w:eastAsia="Arial" w:hAnsi="Arial"/>
          <w:sz w:val="16"/>
          <w:szCs w:val="16"/>
          <w:b w:val="1"/>
          <w:bCs w:val="1"/>
          <w:color w:val="auto"/>
        </w:rPr>
      </w:pPr>
    </w:p>
    <w:p>
      <w:pPr>
        <w:ind w:left="900" w:right="60" w:hanging="325"/>
        <w:spacing w:after="0" w:line="297"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185" w:lineRule="exact"/>
        <w:rPr>
          <w:rFonts w:ascii="Arial" w:cs="Arial" w:eastAsia="Arial" w:hAnsi="Arial"/>
          <w:sz w:val="16"/>
          <w:szCs w:val="16"/>
          <w:color w:val="auto"/>
        </w:rPr>
      </w:pPr>
    </w:p>
    <w:p>
      <w:pPr>
        <w:ind w:left="900" w:right="480" w:hanging="325"/>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discriminated against Executive on the basis of Executive’s age or violated any right Executive may have under the Age Discrimination in Employment Act (“ADEA”);</w:t>
      </w:r>
      <w:r>
        <w:rPr>
          <w:rFonts w:ascii="Arial" w:cs="Arial" w:eastAsia="Arial" w:hAnsi="Arial"/>
          <w:sz w:val="18"/>
          <w:szCs w:val="18"/>
          <w:color w:val="auto"/>
        </w:rPr>
        <w:t xml:space="preserve"> or</w:t>
      </w:r>
    </w:p>
    <w:p>
      <w:pPr>
        <w:spacing w:after="0" w:line="197" w:lineRule="exact"/>
        <w:rPr>
          <w:rFonts w:ascii="Arial" w:cs="Arial" w:eastAsia="Arial" w:hAnsi="Arial"/>
          <w:sz w:val="18"/>
          <w:szCs w:val="18"/>
          <w:color w:val="auto"/>
        </w:rPr>
      </w:pPr>
    </w:p>
    <w:p>
      <w:pPr>
        <w:ind w:left="900" w:right="180" w:hanging="325"/>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65" w:name="page66"/>
    <w:bookmarkEnd w:id="65"/>
    <w:p>
      <w:pPr>
        <w:ind w:left="900" w:hanging="325"/>
        <w:spacing w:after="0" w:line="30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181"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Executive and any of the Released Parties; or</w:t>
      </w:r>
    </w:p>
    <w:p>
      <w:pPr>
        <w:spacing w:after="0" w:line="197" w:lineRule="exact"/>
        <w:rPr>
          <w:rFonts w:ascii="Arial" w:cs="Arial" w:eastAsia="Arial" w:hAnsi="Arial"/>
          <w:sz w:val="18"/>
          <w:szCs w:val="18"/>
          <w:color w:val="auto"/>
        </w:rPr>
      </w:pPr>
    </w:p>
    <w:p>
      <w:pPr>
        <w:jc w:val="both"/>
        <w:ind w:left="900" w:right="80" w:hanging="325"/>
        <w:spacing w:after="0" w:line="31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173"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in any way obligated for any reason to pay Executive’s damages, expenses, litigation costs (including attorneys’ fees), bonuses, commissions, disability benefits, compensatory damages, punitive damages, and/or interest, except as provided for in Paragraph 12 of Executive’s Employment Agreement.</w:t>
      </w:r>
    </w:p>
    <w:p>
      <w:pPr>
        <w:spacing w:after="0" w:line="18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Executive understands and agrees that this Separation Agreement includes all claims that Executive may have and that Executive does not now know or suspect to exist in Executive’s favor against the Released Parties, and that this Separation Agreement extinguishes those claims. Executive’s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prohibited from making or asserting (a) any claim or right under state workers’ compensation or unemployment laws; (b) any claim or right, which by law cannot be waived through private agreement; or (c) any claims or rights under the ADEA or any other law that may arise after Executive executes this Separation Agreement.</w:t>
      </w:r>
    </w:p>
    <w:p>
      <w:pPr>
        <w:spacing w:after="0" w:line="184" w:lineRule="exact"/>
        <w:rPr>
          <w:sz w:val="20"/>
          <w:szCs w:val="20"/>
          <w:color w:val="auto"/>
        </w:rPr>
      </w:pPr>
    </w:p>
    <w:p>
      <w:pPr>
        <w:ind w:right="160" w:firstLine="464"/>
        <w:spacing w:after="0" w:line="291" w:lineRule="auto"/>
        <w:tabs>
          <w:tab w:leader="none" w:pos="951"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Charges and Administrative Proceedings</w:t>
      </w:r>
      <w:r>
        <w:rPr>
          <w:rFonts w:ascii="Arial" w:cs="Arial" w:eastAsia="Arial" w:hAnsi="Arial"/>
          <w:sz w:val="16"/>
          <w:szCs w:val="16"/>
          <w:color w:val="auto"/>
        </w:rPr>
        <w:t>. Nothing in this Separation Agreement shall affect the U.S. Equal Employment Opportunity</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(“EEOC”) or a comparable state or local agency’s rights and responsibilities to enforce the Civil Rights Act of 1964, as amended, the Age Discrimination in Employment Act of 1967 (“ADEA”), as amended, or any other applicable law. Further, nothing in this Separation Agreement shall be construed as a basis for interfering with Executive’s protected right to challenge the waiver of an ADEA claim under the Older Workers Benefit Protection Act, or to file a charge with, or participate in an investigation or proceeding conducted by, the EEOC, the National Labor Relations Board (“NLRB”) or any other state, federal or local government entity; provided, however, if the EEOC, NLRB, or any other state, federal or local government entity commences an investigation on Executive’s behalf, Executive specifically waives and releases his right, if any, to recover any monetary or other benefits of any sort whatsoever arising from any such investigation, nor will Executive seek reinstatement to Executive’s former position with the Company.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6" w:name="page67"/>
    <w:bookmarkEnd w:id="66"/>
    <w:p>
      <w:pPr>
        <w:ind w:right="20" w:firstLine="464"/>
        <w:spacing w:after="0" w:line="256" w:lineRule="auto"/>
        <w:tabs>
          <w:tab w:leader="none" w:pos="951"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giving a full and complete release, Executive covenants and agrees that he has no pending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against the Released 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Paragraph 3 above.</w:t>
      </w:r>
    </w:p>
    <w:p>
      <w:pPr>
        <w:spacing w:after="0" w:line="1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Nothing in this Separation Agreement prevents Executive from bringing an action challenging the validity of this Separation Agreement or taking any action set forth in Paragraph 4 above. If a federal, state or local government agency commences an investigation on your behalf, Executive specifically waives and releases the right, if any, to recover any monetary or other benefits of any sort whatsoever arising from any such investigation, nor will Executive seek reinstatement to Executive’s former position with the Company.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Executive breaches this Separation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Separation Agreement.</w:t>
      </w:r>
    </w:p>
    <w:p>
      <w:pPr>
        <w:spacing w:after="0" w:line="183" w:lineRule="exact"/>
        <w:rPr>
          <w:sz w:val="20"/>
          <w:szCs w:val="20"/>
          <w:color w:val="auto"/>
        </w:rPr>
      </w:pPr>
    </w:p>
    <w:p>
      <w:pPr>
        <w:ind w:right="100" w:firstLine="464"/>
        <w:spacing w:after="0" w:line="274" w:lineRule="auto"/>
        <w:tabs>
          <w:tab w:leader="none" w:pos="996"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Protective Covenants and Loss of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and agrees that the protective and restrictive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of the Employment Agreement (the “Employment Agreement Protective Covenants”) remain in full force and effect and that the benefits payable under this Separation Agreement are subject to forfeiture due to prohibited conduct as set forth in Section 11 of the Employment Agreement. As explained in Paragraph 10(a) of the Employment Agreement, Executive shall be permitted to engage in activities that would otherwise be prohibited by Paragraph 10 of the Employment Agreement if such activities are determined in the sole discretion of the Chief Executive Officer of the Company in writing to be of no material threat to the legitimate business interest of Company or its parent corporations, subsidiaries or affiliates.</w:t>
      </w:r>
    </w:p>
    <w:p>
      <w:pPr>
        <w:spacing w:after="0" w:line="173" w:lineRule="exact"/>
        <w:rPr>
          <w:rFonts w:ascii="Arial" w:cs="Arial" w:eastAsia="Arial" w:hAnsi="Arial"/>
          <w:sz w:val="17"/>
          <w:szCs w:val="17"/>
          <w:b w:val="1"/>
          <w:bCs w:val="1"/>
          <w:color w:val="auto"/>
        </w:rPr>
      </w:pPr>
    </w:p>
    <w:p>
      <w:pPr>
        <w:ind w:right="180" w:firstLine="464"/>
        <w:spacing w:after="0" w:line="266" w:lineRule="auto"/>
        <w:tabs>
          <w:tab w:leader="none" w:pos="95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to all Forms of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applies to any relief no matter how called,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wages, back pay, front pay, reinstatement, compensatory damages, liquidated damages, punitive damages for pain or suffering, costs and attorney’s fees and expenses.</w:t>
      </w:r>
    </w:p>
    <w:p>
      <w:pPr>
        <w:spacing w:after="0" w:line="176" w:lineRule="exact"/>
        <w:rPr>
          <w:rFonts w:ascii="Arial" w:cs="Arial" w:eastAsia="Arial" w:hAnsi="Arial"/>
          <w:sz w:val="18"/>
          <w:szCs w:val="18"/>
          <w:b w:val="1"/>
          <w:bCs w:val="1"/>
          <w:color w:val="auto"/>
        </w:rPr>
      </w:pPr>
    </w:p>
    <w:p>
      <w:pPr>
        <w:jc w:val="both"/>
        <w:ind w:right="560" w:firstLine="464"/>
        <w:spacing w:after="0" w:line="261" w:lineRule="auto"/>
        <w:tabs>
          <w:tab w:leader="none" w:pos="95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Admissions, Complaints or Other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and agrees that this Separation Agreement is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any way as an 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7" w:name="page68"/>
    <w:bookmarkEnd w:id="67"/>
    <w:p>
      <w:pPr>
        <w:ind w:right="300" w:firstLine="464"/>
        <w:spacing w:after="0" w:line="266" w:lineRule="auto"/>
        <w:tabs>
          <w:tab w:leader="none" w:pos="95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fully reviewed the terms of this Separation Agreement, acknowledges that he understands its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that he is entering into this Separation Agreement knowingly, voluntarily, and in full settlement of all claims which existed in the past or which currently exist, that arise out of his employment with the Company or the termination of his employment.</w:t>
      </w:r>
    </w:p>
    <w:p>
      <w:pPr>
        <w:spacing w:after="0" w:line="18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Executive acknowledges that he has had at least forty-five (45) days to consider this General Release Agreement thoroughly, and Executive understands that he has the right to consult with an attorney, before he signs below and is advised to do so.</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Executive signs and returns this General Release Agreement before the end of the 45-day period, he certifies that his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Executive to sign.</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Executive understands that he may revoke this General Release Agreement within seven (7) days after he signs it. Executive’s revocation must be in writing and submitted within the seven (7) day period to Kimberly Gee Stith, via hand delivery or via electronic delivery at: KStith@wm.com. If Executive does not revoke this General Release Agreement within the seven (7) day period, it becomes irrevocable. Executive further understands that if he revokes this General Release Agreement, he will not be eligible to receive the benefits described in Exhibit B. All benefits described in Exhibit B will be paid on the dates specified herein, but only if this General Release Agreement has been duly executed and not revoked within its revocation period.</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Executive also acknowledges that before signing this Separation Agreement, Executive received certain information about the eligibility for the benefits available under this Separation Agreement and the persons affected by this employment termination program, including the job titles and ages of both the persons selected and not selected to receive the benefits available under this Separation Agreement. This information is attached to this Separation Agreement as Exhibit C.</w:t>
      </w:r>
    </w:p>
    <w:p>
      <w:pPr>
        <w:spacing w:after="0" w:line="183" w:lineRule="exact"/>
        <w:rPr>
          <w:sz w:val="20"/>
          <w:szCs w:val="20"/>
          <w:color w:val="auto"/>
        </w:rPr>
      </w:pPr>
    </w:p>
    <w:p>
      <w:pPr>
        <w:ind w:right="20" w:firstLine="464"/>
        <w:spacing w:after="0" w:line="271" w:lineRule="auto"/>
        <w:tabs>
          <w:tab w:leader="none" w:pos="1041"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Settlement and Acquisition of Goodwill</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waives and releases any and all claims that restrictive covenants contained in Paragraph</w:t>
      </w:r>
      <w:r>
        <w:rPr>
          <w:rFonts w:ascii="Arial" w:cs="Arial" w:eastAsia="Arial" w:hAnsi="Arial"/>
          <w:sz w:val="17"/>
          <w:szCs w:val="17"/>
          <w:b w:val="1"/>
          <w:bCs w:val="1"/>
          <w:color w:val="auto"/>
        </w:rPr>
        <w:t xml:space="preserve"> </w:t>
      </w:r>
      <w:r>
        <w:rPr>
          <w:rFonts w:ascii="Arial" w:cs="Arial" w:eastAsia="Arial" w:hAnsi="Arial"/>
          <w:sz w:val="17"/>
          <w:szCs w:val="17"/>
          <w:color w:val="auto"/>
        </w:rPr>
        <w:t>10 of the Employment Agreement (the “Employment Agreement Protective Covenants”) are not enforceable or are against public policy. Executive covenants not to file a lawsuit or arbitration proceeding, pursue declaratory relief, or otherwise take any legal action to challenge the enforceability of the Employment Agreement Protective Covenants. The parties agree that the payments and benefits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Protective Covenants (incorporated herein by reference) for the periods of time set forth therein. It is specifically agreed that the two-year Restricted Term set forth in Paragraph 10 of the Employment Agreement and the restriction provided for therein shall commence upon Executive’s termination of employment with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8" w:name="page69"/>
    <w:bookmarkEnd w:id="68"/>
    <w:p>
      <w:pPr>
        <w:ind w:firstLine="464"/>
        <w:spacing w:after="0" w:line="272" w:lineRule="auto"/>
        <w:tabs>
          <w:tab w:leader="none" w:pos="1032"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Assistance and 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agrees that he will cooperate fully with the Company and its counsel, upon their request,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proceeding (including any litigation, arbitration, regulatory proceeding, investigation or governmental action) that relates to matters with which Executive was involved while he was an employee of the Company or with which he has knowledge. Executive agrees to render such cooperation in a timely fashion and to provide Company personnel and the Company’s counsel with the full benefit of his knowledge with respect to any such matter. The Company shall reimburse Executive for actual and reasonable costs and expenses, including reasonable attorney’s fees, related to his assistance in such matters. Executive will remain an elected officer of the Company until the Employment Termination Date. Accordingly, Executive will be entitled to benefit of the indemnity and expense reimbursement provisions in Article Eighth of the Company’s Third Amended and Restated Certification of Incorporation and Article X of the Company’s Bylaws, all subject to the provisions thereof and to applicable Delaware law.</w:t>
      </w:r>
    </w:p>
    <w:p>
      <w:pPr>
        <w:spacing w:after="0" w:line="172" w:lineRule="exact"/>
        <w:rPr>
          <w:rFonts w:ascii="Arial" w:cs="Arial" w:eastAsia="Arial" w:hAnsi="Arial"/>
          <w:sz w:val="17"/>
          <w:szCs w:val="17"/>
          <w:b w:val="1"/>
          <w:bCs w:val="1"/>
          <w:color w:val="auto"/>
        </w:rPr>
      </w:pPr>
    </w:p>
    <w:p>
      <w:pPr>
        <w:ind w:right="100" w:firstLine="464"/>
        <w:spacing w:after="0" w:line="266" w:lineRule="auto"/>
        <w:tabs>
          <w:tab w:leader="none" w:pos="1041"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is made and entered into in the State of Texas, and shall in all respects be interpreted,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and governed under the laws of the State of Texas. The language of all parts of this Separation Agreement shall in all cases be construed as a whole, according to its fair meaning, and not strictly for or against any of the parties.</w:t>
      </w:r>
    </w:p>
    <w:p>
      <w:pPr>
        <w:spacing w:after="0" w:line="176" w:lineRule="exact"/>
        <w:rPr>
          <w:rFonts w:ascii="Arial" w:cs="Arial" w:eastAsia="Arial" w:hAnsi="Arial"/>
          <w:sz w:val="18"/>
          <w:szCs w:val="18"/>
          <w:b w:val="1"/>
          <w:bCs w:val="1"/>
          <w:color w:val="auto"/>
        </w:rPr>
      </w:pPr>
    </w:p>
    <w:p>
      <w:pPr>
        <w:ind w:right="40" w:firstLine="464"/>
        <w:spacing w:after="0" w:line="266" w:lineRule="auto"/>
        <w:tabs>
          <w:tab w:leader="none" w:pos="1041"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of this Separation Agreement be declared or be determined by any court to be illegal or invalid,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remaining parts, terms or provisions shall not be affected thereby and said illegal or invalid part, term, or provision shall be deemed not to be a part of this Separation Agreement.</w:t>
      </w:r>
    </w:p>
    <w:p>
      <w:pPr>
        <w:spacing w:after="0" w:line="176"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Matters Relating to Section 409A of the Code</w:t>
      </w:r>
      <w:r>
        <w:rPr>
          <w:rFonts w:ascii="Arial" w:cs="Arial" w:eastAsia="Arial" w:hAnsi="Arial"/>
          <w:sz w:val="18"/>
          <w:szCs w:val="18"/>
          <w:color w:val="auto"/>
        </w:rPr>
        <w:t>. Notwithstanding any provision in this Separation Agreement to the contrary, if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benefit provided hereunder is subject to Section 409A of the Internal Revenue Code of 1986, as amended (“Section 409A”), as determined by the Company, then the following provisions shall apply:</w:t>
      </w:r>
    </w:p>
    <w:p>
      <w:pPr>
        <w:spacing w:after="0" w:line="207" w:lineRule="exact"/>
        <w:rPr>
          <w:sz w:val="20"/>
          <w:szCs w:val="20"/>
          <w:color w:val="auto"/>
        </w:rPr>
      </w:pPr>
    </w:p>
    <w:p>
      <w:pPr>
        <w:ind w:left="90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Separation Agreement, with respect to any amounts payable to Executive under this Separation Agreement in connection with a termination of Executive’s employment that are subject to, and not exempt under, Section 409A, a termination of employment shall not be considered to have occurred under this Separation Agreement unless and until such termination constitutes Executive’s “separation from service” as defined in Section 409A.</w:t>
      </w:r>
    </w:p>
    <w:p>
      <w:pPr>
        <w:spacing w:after="0" w:line="213"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Separation Agreement is intended to be written, administered, interpreted and construed in a manner such that no payment or benefit under this Separation Agreement becomes subject to (1) the gross income inclusion under Section 409A or (2) the interest and additional tax under Section 409A (collectively, “Section 409A Penalties”), including, where appropriate, the construction of defined terms to have meanings that would not cause the imposition of the Section 409A Penalties. If any provision of this Separation Agreement would cause Executive to incur the Section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69" w:name="page70"/>
    <w:bookmarkEnd w:id="69"/>
    <w:p>
      <w:pPr>
        <w:ind w:left="920"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409A Penalties, the Company may, after consulting with Executive, reform such provision to comply with Section 409A or to preclude imposition of the Section 409A Penalties, to the full extent permitted under Section 409A.</w:t>
      </w:r>
    </w:p>
    <w:p>
      <w:pPr>
        <w:spacing w:after="0" w:line="197" w:lineRule="exact"/>
        <w:rPr>
          <w:sz w:val="20"/>
          <w:szCs w:val="20"/>
          <w:color w:val="auto"/>
        </w:rPr>
      </w:pPr>
    </w:p>
    <w:p>
      <w:pPr>
        <w:ind w:left="900" w:hanging="446"/>
        <w:spacing w:after="0" w:line="273"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payment of severance benefits set forth in Exhibit B are designated as separate payments for the purpose of the short-term deferral exception under Treasury Regulation Section 1.409A-1(b)(4)(i)(F), and, with respect to such separation payments, the exemption for involuntary separation from service or participation in a window program under Treasury Regulation Section 1.409A-1(b)(9)(iii). As a result, (1) separation payments that are by their terms scheduled to be made before March 15, 2015, and (2) any additional separation payments that are made on or before December 31, 2016, and do not exceed the lesser of two times Base Salary or two times the annual limit under Code Section 401(a)(17) as then in effect, are exempt from the requirements of Code Section 409A.</w:t>
      </w:r>
    </w:p>
    <w:p>
      <w:pPr>
        <w:spacing w:after="0" w:line="174" w:lineRule="exact"/>
        <w:rPr>
          <w:rFonts w:ascii="Arial" w:cs="Arial" w:eastAsia="Arial" w:hAnsi="Arial"/>
          <w:sz w:val="17"/>
          <w:szCs w:val="17"/>
          <w:color w:val="auto"/>
        </w:rPr>
      </w:pPr>
    </w:p>
    <w:p>
      <w:pPr>
        <w:ind w:right="40" w:firstLine="464"/>
        <w:spacing w:after="0" w:line="289" w:lineRule="auto"/>
        <w:tabs>
          <w:tab w:leader="none" w:pos="1041" w:val="left"/>
        </w:tabs>
        <w:numPr>
          <w:ilvl w:val="1"/>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Complete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agree that the August 23, 2011, Employment Agreement (including any other amendments thereto)</w:t>
      </w:r>
      <w:r>
        <w:rPr>
          <w:rFonts w:ascii="Arial" w:cs="Arial" w:eastAsia="Arial" w:hAnsi="Arial"/>
          <w:sz w:val="17"/>
          <w:szCs w:val="17"/>
          <w:b w:val="1"/>
          <w:bCs w:val="1"/>
          <w:color w:val="auto"/>
        </w:rPr>
        <w:t xml:space="preserve"> </w:t>
      </w:r>
      <w:r>
        <w:rPr>
          <w:rFonts w:ascii="Arial" w:cs="Arial" w:eastAsia="Arial" w:hAnsi="Arial"/>
          <w:sz w:val="17"/>
          <w:szCs w:val="17"/>
          <w:color w:val="auto"/>
        </w:rPr>
        <w:t>as modified by this 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6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u w:val="single" w:color="auto"/>
          <w:color w:val="auto"/>
        </w:rPr>
        <w:t>The parties agree that neither the offer of, nor the execution of, this Separation Agreement will be construed as an admission of wrongdoing by anyone. Instead, this Separation Agreement is to be construed solely as a reflection of the parties’ desire to facilitate a peaceful separation of employment and to make sure there are no unresolved issued between them.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Please review this document carefully as it contains a release of claims.</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WITNESS WHEREOF, the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“Effective Date”).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WILLIAM K. CAESAR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William K. Caesar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95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9/15/2014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95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WM RECYCLE AMERICA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-213360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w:t>
      </w:r>
    </w:p>
    <w:p>
      <w:pPr>
        <w:spacing w:after="0" w:line="346" w:lineRule="exact"/>
        <w:rPr>
          <w:sz w:val="20"/>
          <w:szCs w:val="20"/>
          <w:color w:val="auto"/>
        </w:rPr>
      </w:pPr>
    </w:p>
    <w:p>
      <w:pPr>
        <w:ind w:left="40"/>
        <w:spacing w:after="0"/>
        <w:tabs>
          <w:tab w:leader="none" w:pos="500" w:val="left"/>
        </w:tabs>
        <w:rPr>
          <w:sz w:val="20"/>
          <w:szCs w:val="20"/>
          <w:color w:val="auto"/>
        </w:rPr>
      </w:pPr>
      <w:r>
        <w:rPr>
          <w:rFonts w:ascii="Arial" w:cs="Arial" w:eastAsia="Arial" w:hAnsi="Arial"/>
          <w:sz w:val="18"/>
          <w:szCs w:val="18"/>
          <w:color w:val="auto"/>
        </w:rPr>
        <w:t>By:</w:t>
        <w:tab/>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23495</wp:posOffset>
            </wp:positionV>
            <wp:extent cx="3327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Linda J. Smith</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Printed Name: Vice President &amp; Secretary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9/15/2014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-10160</wp:posOffset>
            </wp:positionV>
            <wp:extent cx="22066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066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940" w:space="720"/>
            <w:col w:w="4559"/>
          </w:cols>
          <w:pgMar w:left="240" w:top="270" w:right="1440" w:bottom="1440" w:gutter="0" w:footer="0" w:header="0"/>
        </w:sectPr>
      </w:pPr>
    </w:p>
    <w:bookmarkStart w:id="71" w:name="page72"/>
    <w:bookmarkEnd w:id="71"/>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employment of Executive is terminated, effective September 12, 2014 (the “Employment Termination Date”). Executive is therefore, entitled to the payments and benefits listed below and detailed in under Section 6(d) of the Employment Agreement whether or not he signs this Separation Agreement. These include:</w:t>
      </w:r>
    </w:p>
    <w:p>
      <w:pPr>
        <w:spacing w:after="0" w:line="208" w:lineRule="exact"/>
        <w:rPr>
          <w:sz w:val="20"/>
          <w:szCs w:val="20"/>
          <w:color w:val="auto"/>
        </w:rPr>
      </w:pPr>
    </w:p>
    <w:p>
      <w:pPr>
        <w:ind w:left="1140" w:hanging="565"/>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Accrued but unpaid base salary for services rendered to the Employment Termination Date.</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Accrued but unpaid expenses required to be reimbursed under the Employment Agreement.</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Accrued but unused vacation for the year 2014 through the Employment Termination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he executes this Separation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270" w:right="6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employment of Executive is terminated, effective September 12, 2014 (the “Employment Termination Date”) under the terms of this Separation Agreement. In consideration of the premises and promises herein contained, it is agreed that, Executive is entitled to the compensation and benefits set forth in Section 6(e) (iii), (iv), and (v) of the Employment Agreement and as provided herein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after he executes and does not revoke this Separation Agreement. Executive hereby consents to the amendment of his equity awards under the 2009 Waste Management, Inc. Stock Incentive Plan to conform to the changes below in paragraphs (e), (f), and (g) and this Separation Agreement shall be deemed to affect such amendment.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payments and benefits to be provided are as follows:</w:t>
      </w:r>
    </w:p>
    <w:p>
      <w:pPr>
        <w:spacing w:after="0" w:line="252" w:lineRule="exact"/>
        <w:rPr>
          <w:sz w:val="20"/>
          <w:szCs w:val="20"/>
          <w:color w:val="auto"/>
        </w:rPr>
      </w:pPr>
    </w:p>
    <w:p>
      <w:pPr>
        <w:ind w:left="1140" w:right="120" w:hanging="565"/>
        <w:spacing w:after="0" w:line="264"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payment under the Company’s 2014 Annual Incentive Plan (AIP), at the same time, on the same basis and to the same extent payments are made to similar senior executives of the Company, provided to reflect Executive’s Termination Date. Executive will receive 254/365 of any such calculated payment on or before March 15, 2015.</w:t>
      </w:r>
    </w:p>
    <w:p>
      <w:pPr>
        <w:spacing w:after="0" w:line="208" w:lineRule="exact"/>
        <w:rPr>
          <w:rFonts w:ascii="Arial" w:cs="Arial" w:eastAsia="Arial" w:hAnsi="Arial"/>
          <w:sz w:val="18"/>
          <w:szCs w:val="18"/>
          <w:color w:val="auto"/>
        </w:rPr>
      </w:pPr>
    </w:p>
    <w:p>
      <w:pPr>
        <w:ind w:left="1140" w:right="160" w:hanging="565"/>
        <w:spacing w:after="0" w:line="342"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severance payment in the gross amount of One Million Four Hundred Thirty-Five Thousand Dollars ($1,435,000), approximately equal to two times the sum of Executive’s base salary ($410,000) and Target Bonus ($307,500). This severance amount will be paid as follows:</w:t>
      </w:r>
    </w:p>
    <w:p>
      <w:pPr>
        <w:spacing w:after="0" w:line="123" w:lineRule="exact"/>
        <w:rPr>
          <w:rFonts w:ascii="Arial" w:cs="Arial" w:eastAsia="Arial" w:hAnsi="Arial"/>
          <w:sz w:val="16"/>
          <w:szCs w:val="16"/>
          <w:color w:val="auto"/>
        </w:rPr>
      </w:pPr>
    </w:p>
    <w:p>
      <w:pPr>
        <w:ind w:left="1140" w:right="40" w:firstLine="420"/>
        <w:spacing w:after="0" w:line="277" w:lineRule="auto"/>
        <w:tabs>
          <w:tab w:leader="none" w:pos="2081"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Seven Hundred and Seventeen Thousand Five Hundred Dollars ($717,500) shall be paid within the calendar quarter 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the Employment Termination Date falls.</w:t>
      </w:r>
    </w:p>
    <w:p>
      <w:pPr>
        <w:spacing w:after="0" w:line="170" w:lineRule="exact"/>
        <w:rPr>
          <w:rFonts w:ascii="Arial" w:cs="Arial" w:eastAsia="Arial" w:hAnsi="Arial"/>
          <w:sz w:val="18"/>
          <w:szCs w:val="18"/>
          <w:color w:val="auto"/>
        </w:rPr>
      </w:pPr>
    </w:p>
    <w:p>
      <w:pPr>
        <w:ind w:left="1140" w:firstLine="420"/>
        <w:spacing w:after="0" w:line="259" w:lineRule="auto"/>
        <w:tabs>
          <w:tab w:leader="none" w:pos="2131"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Seven Hundred and Seventeen Thousand Five Hundred Dollars shall be paid ($717,500) during the two (2) year period beginning in the calendar quarter within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the Employment Termination Date falls and continuing at the same time and in the same manner Executive’s base salary would have been paid if Executive had remained in active employment until the end of such period.</w:t>
      </w:r>
    </w:p>
    <w:p>
      <w:pPr>
        <w:spacing w:after="0" w:line="213" w:lineRule="exact"/>
        <w:rPr>
          <w:rFonts w:ascii="Arial" w:cs="Arial" w:eastAsia="Arial" w:hAnsi="Arial"/>
          <w:sz w:val="18"/>
          <w:szCs w:val="18"/>
          <w:color w:val="auto"/>
        </w:rPr>
      </w:pPr>
    </w:p>
    <w:p>
      <w:pPr>
        <w:ind w:left="1140" w:right="120" w:hanging="565"/>
        <w:spacing w:after="0" w:line="25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Twenty-four months of continued group health and/or dental insurance coverage that Executive participated in as of his Employment Termination Date. Executive must timely elect COBRA coverage and the Company will provide COBRA coverage at its own expense for 18 months or, if earlier, until Executive’s death or eligibility for coverage by a subsequent employer. Thereafter, Executive will have no additional COBRA coverage, but if Executive has not obtained coverage from a subsequent employer, the Company will provide up to six months additional medical and dental coverage.</w:t>
      </w:r>
    </w:p>
    <w:p>
      <w:pPr>
        <w:spacing w:after="0" w:line="215" w:lineRule="exact"/>
        <w:rPr>
          <w:rFonts w:ascii="Arial" w:cs="Arial" w:eastAsia="Arial" w:hAnsi="Arial"/>
          <w:sz w:val="18"/>
          <w:szCs w:val="18"/>
          <w:color w:val="auto"/>
        </w:rPr>
      </w:pPr>
    </w:p>
    <w:p>
      <w:pPr>
        <w:ind w:left="1140" w:right="40" w:hanging="565"/>
        <w:spacing w:after="0" w:line="264"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Twenty-four months of continued disability and life insurance coverage that Executive participated in as of his Employment Termination Date at the Company’s expense; provided however, that such coverage shall terminate upon the earlier of Executive’s death or eligibility for coverage by a subsequent employer.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73" w:name="page74"/>
    <w:bookmarkEnd w:id="73"/>
    <w:p>
      <w:pPr>
        <w:ind w:left="1140" w:hanging="565"/>
        <w:spacing w:after="0" w:line="255"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unvested stock options with a grant date of March 9, 2012, such options shall continue to vest through March 9, 2015, and to the extent then vested, shall be exercisable through the period ending June 9, 2015, in accordance with the established exercise procedures under such stock option award. With respect to any unvested stock options with a grant date of March 8, 2013, such options shall continue to vest through March 8, 2015, and to the extent then vested, shall be exercisable through the period ending June 8, 2015, in accordance with the established exercise procedures under such stock option award. With respect to any unvested stock options with a grant date of March 7, 2014, such options shall continue to vest through March 7, 2015, in accordance with the established exercise procedures under such stock option award.</w:t>
      </w:r>
    </w:p>
    <w:p>
      <w:pPr>
        <w:spacing w:after="0" w:line="216" w:lineRule="exact"/>
        <w:rPr>
          <w:rFonts w:ascii="Arial" w:cs="Arial" w:eastAsia="Arial" w:hAnsi="Arial"/>
          <w:sz w:val="18"/>
          <w:szCs w:val="18"/>
          <w:color w:val="auto"/>
        </w:rPr>
      </w:pPr>
    </w:p>
    <w:p>
      <w:pPr>
        <w:ind w:left="1140" w:right="200" w:hanging="565"/>
        <w:spacing w:after="0" w:line="277"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options that are vested upon Executive’s Employment Termination Date shall remain vested until the third-month anniversary of such Employment Termination Date, or the original term of each such option, if earlier.</w:t>
      </w:r>
    </w:p>
    <w:p>
      <w:pPr>
        <w:spacing w:after="0" w:line="197" w:lineRule="exact"/>
        <w:rPr>
          <w:rFonts w:ascii="Arial" w:cs="Arial" w:eastAsia="Arial" w:hAnsi="Arial"/>
          <w:sz w:val="18"/>
          <w:szCs w:val="18"/>
          <w:color w:val="auto"/>
        </w:rPr>
      </w:pPr>
    </w:p>
    <w:p>
      <w:pPr>
        <w:ind w:left="1140" w:right="200" w:hanging="565"/>
        <w:spacing w:after="0" w:line="259"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Executive’s outstanding awards of Performance Share Units and/or Restricted Stock Units awarded under the Waste Management, Inc. 2009 Stock Incentive Plan on March 9, 2012, March 8, 2013, or March 7, 2014 and solely for purposes of those awards, Executive’s termination hereunder shall be treated as though such termination were an involuntary termination under the terms of each such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 as described herein, Executive is not entitled to any additional payments or benefits.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MANDATORY DISCLOSURES</w:t>
      </w:r>
    </w:p>
    <w:p>
      <w:pPr>
        <w:spacing w:after="0" w:line="22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Waste Management is constantly working to better align its Corporate and Field teams, to help achieve its strategic goals. In order to better achieve these goals, it is necessary to consolidate and realign several corporate functions, and, unfortunately, eliminate certain positions in both the Corporate and Waste Management Recycle America (“WMRA”) groups.</w:t>
      </w:r>
    </w:p>
    <w:p>
      <w:pPr>
        <w:spacing w:after="0" w:line="18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 Company offered members of its Senior Leadership Team the opportunity to voluntarily resign in exchange for an enhanced separation package available through the Company’s 2014 Voluntary Early Retirement Program (“VERP”). Executive accepted the Company’s offer and the benefits available are described in Exhibit B of this Separation Agreement. Please review the information below before signing.</w:t>
      </w:r>
    </w:p>
    <w:p>
      <w:pPr>
        <w:spacing w:after="0" w:line="162" w:lineRule="exact"/>
        <w:rPr>
          <w:sz w:val="20"/>
          <w:szCs w:val="20"/>
          <w:color w:val="auto"/>
        </w:rPr>
      </w:pPr>
    </w:p>
    <w:p>
      <w:pPr>
        <w:ind w:firstLine="464"/>
        <w:spacing w:after="0" w:line="258" w:lineRule="auto"/>
        <w:tabs>
          <w:tab w:leader="none" w:pos="996"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VERP and Severance</w:t>
      </w:r>
      <w:r>
        <w:rPr>
          <w:rFonts w:ascii="Arial" w:cs="Arial" w:eastAsia="Arial" w:hAnsi="Arial"/>
          <w:sz w:val="18"/>
          <w:szCs w:val="18"/>
          <w:color w:val="auto"/>
        </w:rPr>
        <w:t>: The Company is providing you with specific information showing the employees who are eligible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ineligible for severance benefits under the VERP, by age and job title. Employees indicated as “Selected” are having their employment terminated, and they are eligible for Severance if they sign the Release within the number of days after termination of employment prescribed in the Release, and return the signed Release to which this disclosure is attached. Employees listed as “Not Selected” are ineligible for Severance because they have not been selected for this reorganization.</w:t>
      </w:r>
    </w:p>
    <w:p>
      <w:pPr>
        <w:spacing w:after="0" w:line="183" w:lineRule="exact"/>
        <w:rPr>
          <w:rFonts w:ascii="Arial" w:cs="Arial" w:eastAsia="Arial" w:hAnsi="Arial"/>
          <w:sz w:val="18"/>
          <w:szCs w:val="18"/>
          <w:b w:val="1"/>
          <w:bCs w:val="1"/>
          <w:color w:val="auto"/>
        </w:rPr>
      </w:pPr>
    </w:p>
    <w:p>
      <w:pPr>
        <w:ind w:right="200" w:firstLine="464"/>
        <w:spacing w:after="0" w:line="266" w:lineRule="auto"/>
        <w:tabs>
          <w:tab w:leader="none" w:pos="951"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Decisional Unit and Factors Considered in Selection Decisions: </w:t>
      </w:r>
      <w:r>
        <w:rPr>
          <w:rFonts w:ascii="Arial" w:cs="Arial" w:eastAsia="Arial" w:hAnsi="Arial"/>
          <w:sz w:val="18"/>
          <w:szCs w:val="18"/>
          <w:color w:val="auto"/>
        </w:rPr>
        <w:t>The employees considered for participation in this group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consisted of members of the Company’s Senior Leadership Team. The Company considered the alignment of the field and corporate team and the skills and duties of the impacted employees when selecting individuals.</w:t>
      </w:r>
    </w:p>
    <w:p>
      <w:pPr>
        <w:spacing w:after="0" w:line="18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information given on the below chart is current as of September 12, 2014. This information is subject to change and may be affected by future employment decisions. Any questions about this information should be directed to Laura Nauman at LNaumann@wm.com.</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34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Age</w:t>
            </w: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3"/>
              </w:rPr>
              <w:t>Selected</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Not Selected</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President Recycling Svcs &amp; OGG</w:t>
            </w:r>
          </w:p>
        </w:tc>
        <w:tc>
          <w:tcPr>
            <w:tcW w:w="2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Chief Sales &amp; Mrktg Officer</w:t>
            </w:r>
          </w:p>
        </w:tc>
        <w:tc>
          <w:tcPr>
            <w:tcW w:w="3760" w:type="dxa"/>
            <w:vAlign w:val="bottom"/>
            <w:gridSpan w:val="3"/>
          </w:tcPr>
          <w:p>
            <w:pPr>
              <w:jc w:val="right"/>
              <w:ind w:right="74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EVP &amp; Chief Operating Officer</w:t>
            </w:r>
          </w:p>
        </w:tc>
        <w:tc>
          <w:tcPr>
            <w:tcW w:w="37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SVP Human Resources</w:t>
            </w:r>
          </w:p>
        </w:tc>
        <w:tc>
          <w:tcPr>
            <w:tcW w:w="3760" w:type="dxa"/>
            <w:vAlign w:val="bottom"/>
            <w:gridSpan w:val="3"/>
          </w:tcPr>
          <w:p>
            <w:pPr>
              <w:jc w:val="right"/>
              <w:ind w:right="74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Gen Counsel, CCO &amp; Asst Sec</w:t>
            </w:r>
          </w:p>
        </w:tc>
        <w:tc>
          <w:tcPr>
            <w:tcW w:w="37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66</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SVP Govt Affairs &amp; Communication</w:t>
            </w:r>
          </w:p>
        </w:tc>
        <w:tc>
          <w:tcPr>
            <w:tcW w:w="3760" w:type="dxa"/>
            <w:vAlign w:val="bottom"/>
            <w:gridSpan w:val="3"/>
          </w:tcPr>
          <w:p>
            <w:pPr>
              <w:jc w:val="right"/>
              <w:ind w:right="74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CIO &amp; SVP Tech, Lgstcs &amp; CS</w:t>
            </w:r>
          </w:p>
        </w:tc>
        <w:tc>
          <w:tcPr>
            <w:tcW w:w="37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EVP &amp; Chief Financial Officer</w:t>
            </w:r>
          </w:p>
        </w:tc>
        <w:tc>
          <w:tcPr>
            <w:tcW w:w="3760" w:type="dxa"/>
            <w:vAlign w:val="bottom"/>
            <w:gridSpan w:val="3"/>
          </w:tcPr>
          <w:p>
            <w:pPr>
              <w:jc w:val="right"/>
              <w:ind w:right="74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Field Operations</w:t>
            </w:r>
          </w:p>
        </w:tc>
        <w:tc>
          <w:tcPr>
            <w:tcW w:w="37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45, 60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365"/>
        </w:trPr>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00" w:type="dxa"/>
            <w:vAlign w:val="bottom"/>
          </w:tcPr>
          <w:p>
            <w:pPr>
              <w:jc w:val="right"/>
              <w:ind w:right="123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2014</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2014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2014</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2014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2014</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the quarter ended September 30, 2014,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during the quarter ended September 30, 2014,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2"/>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1."/>
      <w:numFmt w:val="decimal"/>
      <w:start w:val="3"/>
    </w:lvl>
  </w:abstractNum>
  <w:abstractNum w:abstractNumId="6">
    <w:nsid w:val="1D4ED43B"/>
    <w:multiLevelType w:val="hybridMultilevel"/>
    <w:lvl w:ilvl="0">
      <w:lvlJc w:val="left"/>
      <w:lvlText w:val="%1."/>
      <w:numFmt w:val="decimal"/>
      <w:start w:val="4"/>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decimal"/>
      <w:start w:val="5"/>
    </w:lvl>
  </w:abstractNum>
  <w:abstractNum w:abstractNumId="9">
    <w:nsid w:val="57E4CCAF"/>
    <w:multiLevelType w:val="hybridMultilevel"/>
    <w:lvl w:ilvl="0">
      <w:lvlJc w:val="left"/>
      <w:lvlText w:val="%1."/>
      <w:numFmt w:val="decimal"/>
      <w:start w:val="6"/>
    </w:lvl>
  </w:abstractNum>
  <w:abstractNum w:abstractNumId="10">
    <w:nsid w:val="7A6D8D3C"/>
    <w:multiLevelType w:val="hybridMultilevel"/>
    <w:lvl w:ilvl="0">
      <w:lvlJc w:val="left"/>
      <w:lvlText w:val="%1."/>
      <w:numFmt w:val="decimal"/>
      <w:start w:val="7"/>
    </w:lvl>
  </w:abstractNum>
  <w:abstractNum w:abstractNumId="11">
    <w:nsid w:val="4B588F54"/>
    <w:multiLevelType w:val="hybridMultilevel"/>
    <w:lvl w:ilvl="0">
      <w:lvlJc w:val="left"/>
      <w:lvlText w:val="%1."/>
      <w:numFmt w:val="decimal"/>
      <w:start w:val="8"/>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decimal"/>
      <w:start w:val="9"/>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decimal"/>
      <w:start w:val="10"/>
    </w:lvl>
  </w:abstractNum>
  <w:abstractNum w:abstractNumId="19">
    <w:nsid w:val="749ABB43"/>
    <w:multiLevelType w:val="hybridMultilevel"/>
    <w:lvl w:ilvl="0">
      <w:lvlJc w:val="left"/>
      <w:lvlText w:val="%1."/>
      <w:numFmt w:val="decimal"/>
      <w:start w:val="11"/>
    </w:lvl>
  </w:abstractNum>
  <w:abstractNum w:abstractNumId="20">
    <w:nsid w:val="3DC240FB"/>
    <w:multiLevelType w:val="hybridMultilevel"/>
    <w:lvl w:ilvl="0">
      <w:lvlJc w:val="left"/>
      <w:lvlText w:val="%1."/>
      <w:numFmt w:val="decimal"/>
      <w:start w:val="12"/>
    </w:lvl>
  </w:abstractNum>
  <w:abstractNum w:abstractNumId="21">
    <w:nsid w:val="1BA026FA"/>
    <w:multiLevelType w:val="hybridMultilevel"/>
    <w:lvl w:ilvl="0">
      <w:lvlJc w:val="left"/>
      <w:lvlText w:val="%1."/>
      <w:numFmt w:val="decimal"/>
      <w:start w:val="13"/>
    </w:lvl>
  </w:abstractNum>
  <w:abstractNum w:abstractNumId="22">
    <w:nsid w:val="79A1DEAA"/>
    <w:multiLevelType w:val="hybridMultilevel"/>
    <w:lvl w:ilvl="0">
      <w:lvlJc w:val="left"/>
      <w:lvlText w:val="%1."/>
      <w:numFmt w:val="decimal"/>
      <w:start w:val="14"/>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2"/>
    </w:lvl>
  </w:abstractNum>
  <w:abstractNum w:abstractNumId="25">
    <w:nsid w:val="70C6A529"/>
    <w:multiLevelType w:val="hybridMultilevel"/>
    <w:lvl w:ilvl="0">
      <w:lvlJc w:val="left"/>
      <w:lvlText w:val="%1."/>
      <w:numFmt w:val="decimal"/>
      <w:start w:val="15"/>
    </w:lvl>
  </w:abstractNum>
  <w:abstractNum w:abstractNumId="26">
    <w:nsid w:val="520EEDD1"/>
    <w:multiLevelType w:val="hybridMultilevel"/>
    <w:lvl w:ilvl="0">
      <w:lvlJc w:val="left"/>
      <w:lvlText w:val="%1."/>
      <w:numFmt w:val="decimal"/>
      <w:start w:val="16"/>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lowerLetter"/>
      <w:start w:val="2"/>
    </w:lvl>
  </w:abstractNum>
  <w:abstractNum w:abstractNumId="29">
    <w:nsid w:val="23F9C13C"/>
    <w:multiLevelType w:val="hybridMultilevel"/>
    <w:lvl w:ilvl="0">
      <w:lvlJc w:val="left"/>
      <w:lvlText w:val="%1."/>
      <w:numFmt w:val="decimal"/>
      <w:start w:val="17"/>
    </w:lvl>
  </w:abstractNum>
  <w:abstractNum w:abstractNumId="30">
    <w:nsid w:val="649BB77C"/>
    <w:multiLevelType w:val="hybridMultilevel"/>
    <w:lvl w:ilvl="0">
      <w:lvlJc w:val="left"/>
      <w:lvlText w:val="Ÿ"/>
      <w:numFmt w:val="bullet"/>
      <w:start w:val="1"/>
    </w:lvl>
  </w:abstractNum>
  <w:abstractNum w:abstractNumId="31">
    <w:nsid w:val="275AC794"/>
    <w:multiLevelType w:val="hybridMultilevel"/>
    <w:lvl w:ilvl="0">
      <w:lvlJc w:val="left"/>
      <w:lvlText w:val="Ÿ"/>
      <w:numFmt w:val="bullet"/>
      <w:start w:val="1"/>
    </w:lvl>
  </w:abstractNum>
  <w:abstractNum w:abstractNumId="32">
    <w:nsid w:val="39386575"/>
    <w:multiLevelType w:val="hybridMultilevel"/>
    <w:lvl w:ilvl="0">
      <w:lvlJc w:val="left"/>
      <w:lvlText w:val="Ÿ"/>
      <w:numFmt w:val="bullet"/>
      <w:start w:val="1"/>
    </w:lvl>
  </w:abstractNum>
  <w:abstractNum w:abstractNumId="33">
    <w:nsid w:val="1CF10FD8"/>
    <w:multiLevelType w:val="hybridMultilevel"/>
    <w:lvl w:ilvl="0">
      <w:lvlJc w:val="left"/>
      <w:lvlText w:val="Ÿ"/>
      <w:numFmt w:val="bullet"/>
      <w:start w:val="1"/>
    </w:lvl>
  </w:abstractNum>
  <w:abstractNum w:abstractNumId="34">
    <w:nsid w:val="180115BE"/>
    <w:multiLevelType w:val="hybridMultilevel"/>
    <w:lvl w:ilvl="0">
      <w:lvlJc w:val="left"/>
      <w:lvlText w:val="Ÿ"/>
      <w:numFmt w:val="bullet"/>
      <w:start w:val="1"/>
    </w:lvl>
  </w:abstractNum>
  <w:abstractNum w:abstractNumId="35">
    <w:nsid w:val="235BA861"/>
    <w:multiLevelType w:val="hybridMultilevel"/>
    <w:lvl w:ilvl="0">
      <w:lvlJc w:val="left"/>
      <w:lvlText w:val="Ÿ"/>
      <w:numFmt w:val="bullet"/>
      <w:start w:val="1"/>
    </w:lvl>
  </w:abstractNum>
  <w:abstractNum w:abstractNumId="36">
    <w:nsid w:val="47398C89"/>
    <w:multiLevelType w:val="hybridMultilevel"/>
    <w:lvl w:ilvl="0">
      <w:lvlJc w:val="left"/>
      <w:lvlText w:val="Ÿ"/>
      <w:numFmt w:val="bullet"/>
      <w:start w:val="1"/>
    </w:lvl>
  </w:abstractNum>
  <w:abstractNum w:abstractNumId="37">
    <w:nsid w:val="354FE9F9"/>
    <w:multiLevelType w:val="hybridMultilevel"/>
    <w:lvl w:ilvl="0">
      <w:lvlJc w:val="left"/>
      <w:lvlText w:val="Ÿ"/>
      <w:numFmt w:val="bullet"/>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Roman"/>
      <w:start w:val="1"/>
    </w:lvl>
  </w:abstractNum>
  <w:abstractNum w:abstractNumId="40">
    <w:nsid w:val="D34B6A8"/>
    <w:multiLevelType w:val="hybridMultilevel"/>
    <w:lvl w:ilvl="0">
      <w:lvlJc w:val="left"/>
      <w:lvlText w:val="(%1)"/>
      <w:numFmt w:val="lowerRoman"/>
      <w:start w:val="2"/>
    </w:lvl>
  </w:abstractNum>
  <w:abstractNum w:abstractNumId="41">
    <w:nsid w:val="10233C99"/>
    <w:multiLevelType w:val="hybridMultilevel"/>
    <w:lvl w:ilvl="0">
      <w:lvlJc w:val="left"/>
      <w:lvlText w:val="(%1)"/>
      <w:numFmt w:val="lowerRoman"/>
      <w:start w:val="1"/>
    </w:lvl>
  </w:abstractNum>
  <w:abstractNum w:abstractNumId="42">
    <w:nsid w:val="3F6AB60F"/>
    <w:multiLevelType w:val="hybridMultilevel"/>
    <w:lvl w:ilvl="0">
      <w:lvlJc w:val="left"/>
      <w:lvlText w:val="Ÿ"/>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Ÿ"/>
      <w:numFmt w:val="bullet"/>
      <w:start w:val="1"/>
    </w:lvl>
  </w:abstractNum>
  <w:abstractNum w:abstractNumId="46">
    <w:nsid w:val="579BE4F1"/>
    <w:multiLevelType w:val="hybridMultilevel"/>
    <w:lvl w:ilvl="0">
      <w:lvlJc w:val="left"/>
      <w:lvlText w:val="Ÿ"/>
      <w:numFmt w:val="bullet"/>
      <w:start w:val="1"/>
    </w:lvl>
  </w:abstractNum>
  <w:abstractNum w:abstractNumId="47">
    <w:nsid w:val="310C50B3"/>
    <w:multiLevelType w:val="hybridMultilevel"/>
    <w:lvl w:ilvl="0">
      <w:lvlJc w:val="left"/>
      <w:lvlText w:val="Ÿ"/>
      <w:numFmt w:val="bullet"/>
      <w:start w:val="1"/>
    </w:lvl>
  </w:abstractNum>
  <w:abstractNum w:abstractNumId="48">
    <w:nsid w:val="5FF87E05"/>
    <w:multiLevelType w:val="hybridMultilevel"/>
    <w:lvl w:ilvl="0">
      <w:lvlJc w:val="left"/>
      <w:lvlText w:val="(%1)"/>
      <w:numFmt w:val="lowerRoman"/>
      <w:start w:val="2"/>
    </w:lvl>
  </w:abstractNum>
  <w:abstractNum w:abstractNumId="49">
    <w:nsid w:val="2F305DEF"/>
    <w:multiLevelType w:val="hybridMultilevel"/>
    <w:lvl w:ilvl="0">
      <w:lvlJc w:val="left"/>
      <w:lvlText w:val="*"/>
      <w:numFmt w:val="bullet"/>
      <w:start w:val="1"/>
    </w:lvl>
    <w:lvl w:ilvl="1">
      <w:lvlJc w:val="left"/>
      <w:lvlText w:val="Ÿ"/>
      <w:numFmt w:val="bullet"/>
      <w:start w:val="1"/>
    </w:lvl>
  </w:abstractNum>
  <w:abstractNum w:abstractNumId="50">
    <w:nsid w:val="25A70BF7"/>
    <w:multiLevelType w:val="hybridMultilevel"/>
    <w:lvl w:ilvl="0">
      <w:lvlJc w:val="left"/>
      <w:lvlText w:val="Ÿ"/>
      <w:numFmt w:val="bullet"/>
      <w:start w:val="1"/>
    </w:lvl>
  </w:abstractNum>
  <w:abstractNum w:abstractNumId="51">
    <w:nsid w:val="1DBABF00"/>
    <w:multiLevelType w:val="hybridMultilevel"/>
    <w:lvl w:ilvl="0">
      <w:lvlJc w:val="left"/>
      <w:lvlText w:val="Ÿ"/>
      <w:numFmt w:val="bullet"/>
      <w:start w:val="1"/>
    </w:lvl>
  </w:abstractNum>
  <w:abstractNum w:abstractNumId="52">
    <w:nsid w:val="4AD084E9"/>
    <w:multiLevelType w:val="hybridMultilevel"/>
    <w:lvl w:ilvl="0">
      <w:lvlJc w:val="left"/>
      <w:lvlText w:val="(%1)"/>
      <w:numFmt w:val="lowerRoman"/>
      <w:start w:val="2"/>
    </w:lvl>
  </w:abstractNum>
  <w:abstractNum w:abstractNumId="53">
    <w:nsid w:val="1F48EAA1"/>
    <w:multiLevelType w:val="hybridMultilevel"/>
    <w:lvl w:ilvl="0">
      <w:lvlJc w:val="left"/>
      <w:lvlText w:val="Ÿ"/>
      <w:numFmt w:val="bullet"/>
      <w:start w:val="1"/>
    </w:lvl>
  </w:abstractNum>
  <w:abstractNum w:abstractNumId="54">
    <w:nsid w:val="1381823A"/>
    <w:multiLevelType w:val="hybridMultilevel"/>
    <w:lvl w:ilvl="0">
      <w:lvlJc w:val="left"/>
      <w:lvlText w:val="Ÿ"/>
      <w:numFmt w:val="bullet"/>
      <w:start w:val="1"/>
    </w:lvl>
  </w:abstractNum>
  <w:abstractNum w:abstractNumId="55">
    <w:nsid w:val="5DB70AE5"/>
    <w:multiLevelType w:val="hybridMultilevel"/>
    <w:lvl w:ilvl="0">
      <w:lvlJc w:val="left"/>
      <w:lvlText w:val="Ÿ"/>
      <w:numFmt w:val="bullet"/>
      <w:start w:val="1"/>
    </w:lvl>
    <w:lvl w:ilvl="1">
      <w:lvlJc w:val="left"/>
      <w:lvlText w:val="•"/>
      <w:numFmt w:val="bullet"/>
      <w:start w:val="1"/>
    </w:lvl>
  </w:abstractNum>
  <w:abstractNum w:abstractNumId="56">
    <w:nsid w:val="100F8FCA"/>
    <w:multiLevelType w:val="hybridMultilevel"/>
    <w:lvl w:ilvl="0">
      <w:lvlJc w:val="left"/>
      <w:lvlText w:val="Ÿ"/>
      <w:numFmt w:val="bullet"/>
      <w:start w:val="1"/>
    </w:lvl>
    <w:lvl w:ilvl="1">
      <w:lvlJc w:val="left"/>
      <w:lvlText w:val="•"/>
      <w:numFmt w:val="bullet"/>
      <w:start w:val="1"/>
    </w:lvl>
  </w:abstractNum>
  <w:abstractNum w:abstractNumId="57">
    <w:nsid w:val="6590700B"/>
    <w:multiLevelType w:val="hybridMultilevel"/>
    <w:lvl w:ilvl="0">
      <w:lvlJc w:val="left"/>
      <w:lvlText w:val="Ÿ"/>
      <w:numFmt w:val="bullet"/>
      <w:start w:val="1"/>
    </w:lvl>
  </w:abstractNum>
  <w:abstractNum w:abstractNumId="58">
    <w:nsid w:val="15014ACB"/>
    <w:multiLevelType w:val="hybridMultilevel"/>
    <w:lvl w:ilvl="0">
      <w:lvlJc w:val="left"/>
      <w:lvlText w:val="Ÿ"/>
      <w:numFmt w:val="bullet"/>
      <w:start w:val="1"/>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decimal"/>
      <w:start w:val="2"/>
    </w:lvl>
  </w:abstractNum>
  <w:abstractNum w:abstractNumId="62">
    <w:nsid w:val="6B94764"/>
    <w:multiLevelType w:val="hybridMultilevel"/>
    <w:lvl w:ilvl="0">
      <w:lvlJc w:val="left"/>
      <w:lvlText w:val="%1."/>
      <w:numFmt w:val="decimal"/>
      <w:start w:val="3"/>
    </w:lvl>
    <w:lvl w:ilvl="1">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1."/>
      <w:numFmt w:val="decimal"/>
      <w:start w:val="4"/>
    </w:lvl>
  </w:abstractNum>
  <w:abstractNum w:abstractNumId="65">
    <w:nsid w:val="1EBA5D23"/>
    <w:multiLevelType w:val="hybridMultilevel"/>
    <w:lvl w:ilvl="0">
      <w:lvlJc w:val="left"/>
      <w:lvlText w:val="%1."/>
      <w:numFmt w:val="decimal"/>
      <w:start w:val="5"/>
    </w:lvl>
  </w:abstractNum>
  <w:abstractNum w:abstractNumId="66">
    <w:nsid w:val="661E3F1E"/>
    <w:multiLevelType w:val="hybridMultilevel"/>
    <w:lvl w:ilvl="0">
      <w:lvlJc w:val="left"/>
      <w:lvlText w:val="%1."/>
      <w:numFmt w:val="decimal"/>
      <w:start w:val="6"/>
    </w:lvl>
  </w:abstractNum>
  <w:abstractNum w:abstractNumId="67">
    <w:nsid w:val="5DC79EA8"/>
    <w:multiLevelType w:val="hybridMultilevel"/>
    <w:lvl w:ilvl="0">
      <w:lvlJc w:val="left"/>
      <w:lvlText w:val="%1."/>
      <w:numFmt w:val="decimal"/>
      <w:start w:val="9"/>
    </w:lvl>
  </w:abstractNum>
  <w:abstractNum w:abstractNumId="68">
    <w:nsid w:val="540A471C"/>
    <w:multiLevelType w:val="hybridMultilevel"/>
    <w:lvl w:ilvl="0">
      <w:lvlJc w:val="left"/>
      <w:lvlText w:val="%1."/>
      <w:numFmt w:val="decimal"/>
      <w:start w:val="10"/>
    </w:lvl>
  </w:abstractNum>
  <w:abstractNum w:abstractNumId="69">
    <w:nsid w:val="7BD3EE7B"/>
    <w:multiLevelType w:val="hybridMultilevel"/>
    <w:lvl w:ilvl="0">
      <w:lvlJc w:val="left"/>
      <w:lvlText w:val="%1."/>
      <w:numFmt w:val="decimal"/>
      <w:start w:val="11"/>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lowerLetter"/>
      <w:start w:val="3"/>
    </w:lvl>
    <w:lvl w:ilvl="1">
      <w:lvlJc w:val="left"/>
      <w:lvlText w:val="%2."/>
      <w:numFmt w:val="decimal"/>
      <w:start w:val="15"/>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1"/>
    </w:lvl>
    <w:lvl w:ilvl="1">
      <w:lvlJc w:val="left"/>
      <w:lvlText w:val="(%2)"/>
      <w:numFmt w:val="lowerRoman"/>
      <w:start w:val="1"/>
    </w:lvl>
  </w:abstractNum>
  <w:abstractNum w:abstractNumId="74">
    <w:nsid w:val="42963E5A"/>
    <w:multiLevelType w:val="hybridMultilevel"/>
    <w:lvl w:ilvl="0">
      <w:lvlJc w:val="left"/>
      <w:lvlText w:val="(%1)"/>
      <w:numFmt w:val="lowerLetter"/>
      <w:start w:val="5"/>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lowerRoman"/>
      <w:start w:val="2"/>
    </w:lvl>
    <w:lvl w:ilvl="1">
      <w:lvlJc w:val="left"/>
      <w:lvlText w:val="%2."/>
      <w:numFmt w:val="upperLetter"/>
      <w:start w:val="1"/>
    </w:lvl>
  </w:abstractNum>
  <w:abstractNum w:abstractNumId="77">
    <w:nsid w:val="1A32234B"/>
    <w:multiLevelType w:val="hybridMultilevel"/>
    <w:lvl w:ilvl="0">
      <w:lvlJc w:val="left"/>
      <w:lvlText w:val="%1."/>
      <w:numFmt w:val="lowerRoman"/>
      <w:start w:val="2"/>
    </w:lvl>
    <w:lvl w:ilvl="1">
      <w:lvlJc w:val="left"/>
      <w:lvlText w:val="%2."/>
      <w:numFmt w:val="upp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2019-12-06T01:04:00Z</dcterms:created>
  <dcterms:modified xsi:type="dcterms:W3CDTF">2019-12-06T01:04:00Z</dcterms:modified>
</cp:coreProperties>
</file>