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Harris Jeff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06"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11/20/2009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0.2064</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2100" w:type="dxa"/>
            <w:vAlign w:val="bottom"/>
            <w:tcBorders>
              <w:bottom w:val="single" w:sz="8" w:color="2C2C2C"/>
            </w:tcBorders>
            <w:gridSpan w:val="5"/>
          </w:tcPr>
          <w:p>
            <w:pPr>
              <w:ind w:left="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32.2735  15,693.1213</w:t>
            </w:r>
            <w:r>
              <w:rPr>
                <w:rFonts w:ascii="Arial" w:cs="Arial" w:eastAsia="Arial" w:hAnsi="Arial"/>
                <w:sz w:val="22"/>
                <w:szCs w:val="22"/>
                <w:color w:val="008000"/>
                <w:w w:val="98"/>
                <w:vertAlign w:val="superscript"/>
              </w:rPr>
              <w:t>(1)</w:t>
            </w:r>
          </w:p>
        </w:tc>
        <w:tc>
          <w:tcPr>
            <w:tcW w:w="9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ind w:left="660"/>
              <w:spacing w:after="0"/>
              <w:rPr>
                <w:sz w:val="20"/>
                <w:szCs w:val="20"/>
                <w:color w:val="auto"/>
              </w:rPr>
            </w:pPr>
            <w:r>
              <w:rPr>
                <w:rFonts w:ascii="Arial" w:cs="Arial" w:eastAsia="Arial" w:hAnsi="Arial"/>
                <w:sz w:val="18"/>
                <w:szCs w:val="18"/>
                <w:color w:val="0000FF"/>
              </w:rPr>
              <w:t>11/23/2009</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G</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258</w:t>
            </w:r>
          </w:p>
        </w:tc>
        <w:tc>
          <w:tcPr>
            <w:tcW w:w="480" w:type="dxa"/>
            <w:vAlign w:val="bottom"/>
          </w:tcPr>
          <w:p>
            <w:pPr>
              <w:ind w:left="180"/>
              <w:spacing w:after="0"/>
              <w:rPr>
                <w:sz w:val="20"/>
                <w:szCs w:val="20"/>
                <w:color w:val="auto"/>
              </w:rPr>
            </w:pPr>
            <w:r>
              <w:rPr>
                <w:rFonts w:ascii="Arial" w:cs="Arial" w:eastAsia="Arial" w:hAnsi="Arial"/>
                <w:sz w:val="18"/>
                <w:szCs w:val="18"/>
                <w:color w:val="0000FF"/>
              </w:rPr>
              <w:t>D</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420" w:type="dxa"/>
            <w:vAlign w:val="bottom"/>
            <w:gridSpan w:val="3"/>
          </w:tcPr>
          <w:p>
            <w:pPr>
              <w:jc w:val="right"/>
              <w:ind w:right="159"/>
              <w:spacing w:after="0"/>
              <w:rPr>
                <w:sz w:val="20"/>
                <w:szCs w:val="20"/>
                <w:color w:val="auto"/>
              </w:rPr>
            </w:pPr>
            <w:r>
              <w:rPr>
                <w:rFonts w:ascii="Arial" w:cs="Arial" w:eastAsia="Arial" w:hAnsi="Arial"/>
                <w:sz w:val="18"/>
                <w:szCs w:val="18"/>
                <w:color w:val="0000FF"/>
              </w:rPr>
              <w:t>15,435.1213</w:t>
            </w:r>
          </w:p>
        </w:tc>
        <w:tc>
          <w:tcPr>
            <w:tcW w:w="940" w:type="dxa"/>
            <w:vAlign w:val="bottom"/>
          </w:tcPr>
          <w:p>
            <w:pPr>
              <w:jc w:val="center"/>
              <w:ind w:right="32"/>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Jeff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11/23/2009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258</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18"/>
                <w:szCs w:val="18"/>
                <w:color w:val="auto"/>
              </w:rPr>
            </w:pPr>
          </w:p>
        </w:tc>
        <w:tc>
          <w:tcPr>
            <w:tcW w:w="1420" w:type="dxa"/>
            <w:vAlign w:val="bottom"/>
            <w:gridSpan w:val="3"/>
            <w:vMerge w:val="restart"/>
          </w:tcPr>
          <w:p>
            <w:pPr>
              <w:jc w:val="center"/>
              <w:ind w:right="279"/>
              <w:spacing w:after="0"/>
              <w:rPr>
                <w:sz w:val="20"/>
                <w:szCs w:val="20"/>
                <w:color w:val="auto"/>
              </w:rPr>
            </w:pPr>
            <w:r>
              <w:rPr>
                <w:rFonts w:ascii="Arial" w:cs="Arial" w:eastAsia="Arial" w:hAnsi="Arial"/>
                <w:sz w:val="18"/>
                <w:szCs w:val="18"/>
                <w:color w:val="0000FF"/>
              </w:rPr>
              <w:t>25,161</w:t>
            </w:r>
            <w:r>
              <w:rPr>
                <w:rFonts w:ascii="Arial" w:cs="Arial" w:eastAsia="Arial" w:hAnsi="Arial"/>
                <w:sz w:val="22"/>
                <w:szCs w:val="22"/>
                <w:color w:val="008000"/>
                <w:vertAlign w:val="superscript"/>
              </w:rPr>
              <w:t>(1)</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Harris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30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end of period holdings for Mr. Harris' indirect ownership has been decreased by 26.2966 shares and his direct ownership has been increased by 19.6631 to adjust for an error in reporting shares acquired through dividend reinvestments.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Linda J. Smith, Attorney-in-</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11/24/2009</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826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2019-12-18T07:33:27Z</dcterms:created>
  <dcterms:modified xsi:type="dcterms:W3CDTF">2019-12-18T07:33:27Z</dcterms:modified>
</cp:coreProperties>
</file>