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Fish James C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CAPITOL STREET, SUITE 3000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WASTE MANAGEMENT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Pres, 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231.195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50,580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02/25/2035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50,580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50,580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option granted pursuant to Waste Management, Inc. 2023 Stock Incentive Plan. The stock option vests 34% on the first anniversary of the date of grant with 33% vesting on the 2nd and 3rd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Courtney Tippy,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3568" TargetMode="External"/><Relationship Id="rId5" Type="http://schemas.openxmlformats.org/officeDocument/2006/relationships/hyperlink" Target="http://www.sec.gov/cgi-bin/browse-edgar?action=getcompany&amp;CIK=00008237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3305</Characters>
  <CharactersWithSpaces>3854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