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 SECURITIES AND EXCHANGE COMMISSION</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1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71" w:lineRule="exact"/>
        <w:rPr>
          <w:sz w:val="24"/>
          <w:szCs w:val="24"/>
          <w:color w:val="auto"/>
        </w:rPr>
      </w:pPr>
    </w:p>
    <w:p>
      <w:pPr>
        <w:ind w:left="1160" w:hanging="1014"/>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w:t>
      </w:r>
    </w:p>
    <w:p>
      <w:pPr>
        <w:spacing w:after="0" w:line="13" w:lineRule="exact"/>
        <w:rPr>
          <w:sz w:val="24"/>
          <w:szCs w:val="24"/>
          <w:color w:val="auto"/>
        </w:rPr>
      </w:pPr>
    </w:p>
    <w:p>
      <w:pPr>
        <w:ind w:left="1160"/>
        <w:spacing w:after="0"/>
        <w:rPr>
          <w:sz w:val="20"/>
          <w:szCs w:val="20"/>
          <w:color w:val="auto"/>
        </w:rPr>
      </w:pPr>
      <w:r>
        <w:rPr>
          <w:rFonts w:ascii="Arial" w:cs="Arial" w:eastAsia="Arial" w:hAnsi="Arial"/>
          <w:sz w:val="22"/>
          <w:szCs w:val="22"/>
          <w:b w:val="1"/>
          <w:bCs w:val="1"/>
          <w:color w:val="auto"/>
        </w:rPr>
        <w:t>OF THE SECURITIES EXCHANGE ACT OF 1934</w:t>
      </w:r>
    </w:p>
    <w:p>
      <w:pPr>
        <w:ind w:left="1160"/>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1" w:lineRule="exact"/>
        <w:rPr>
          <w:sz w:val="24"/>
          <w:szCs w:val="24"/>
          <w:color w:val="auto"/>
        </w:rPr>
      </w:pPr>
    </w:p>
    <w:p>
      <w:pPr>
        <w:ind w:left="6200"/>
        <w:spacing w:after="0"/>
        <w:rPr>
          <w:sz w:val="20"/>
          <w:szCs w:val="20"/>
          <w:color w:val="auto"/>
        </w:rPr>
      </w:pPr>
      <w:r>
        <w:rPr>
          <w:rFonts w:ascii="Arial" w:cs="Arial" w:eastAsia="Arial" w:hAnsi="Arial"/>
          <w:sz w:val="18"/>
          <w:szCs w:val="18"/>
          <w:b w:val="1"/>
          <w:bCs w:val="1"/>
          <w:color w:val="auto"/>
        </w:rPr>
        <w:t>or</w:t>
      </w:r>
    </w:p>
    <w:p>
      <w:pPr>
        <w:ind w:left="1160" w:hanging="1014"/>
        <w:spacing w:after="0" w:line="237" w:lineRule="auto"/>
        <w:tabs>
          <w:tab w:leader="none" w:pos="116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w:t>
      </w:r>
    </w:p>
    <w:p>
      <w:pPr>
        <w:spacing w:after="0" w:line="1" w:lineRule="exact"/>
        <w:rPr>
          <w:sz w:val="24"/>
          <w:szCs w:val="24"/>
          <w:color w:val="auto"/>
        </w:rPr>
      </w:pPr>
    </w:p>
    <w:p>
      <w:pPr>
        <w:ind w:left="1160"/>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420"/>
          </w:cols>
          <w:pgMar w:left="240" w:top="381" w:right="239" w:bottom="1440" w:gutter="0" w:footer="0" w:header="0"/>
        </w:sectPr>
      </w:pPr>
    </w:p>
    <w:p>
      <w:pPr>
        <w:spacing w:after="0" w:line="4" w:lineRule="exact"/>
        <w:rPr>
          <w:sz w:val="24"/>
          <w:szCs w:val="24"/>
          <w:color w:val="auto"/>
        </w:rPr>
      </w:pPr>
    </w:p>
    <w:p>
      <w:pPr>
        <w:ind w:left="11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to</w:t>
      </w:r>
    </w:p>
    <w:p>
      <w:pPr>
        <w:spacing w:after="0" w:line="111" w:lineRule="exact"/>
        <w:rPr>
          <w:sz w:val="24"/>
          <w:szCs w:val="24"/>
          <w:color w:val="auto"/>
        </w:rPr>
      </w:pPr>
    </w:p>
    <w:p>
      <w:pPr>
        <w:sectPr>
          <w:pgSz w:w="11900" w:h="16838" w:orient="portrait"/>
          <w:cols w:equalWidth="0" w:num="2">
            <w:col w:w="3420" w:space="580"/>
            <w:col w:w="7420"/>
          </w:cols>
          <w:pgMar w:left="240" w:top="381"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Commission file number 1-12154</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Waste Management, Inc.</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381" w:right="239" w:bottom="1440" w:gutter="0" w:footer="0" w:header="0"/>
          <w:type w:val="continuous"/>
        </w:sectPr>
      </w:pPr>
    </w:p>
    <w:p>
      <w:pPr>
        <w:spacing w:after="0" w:line="152"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73-1309529</w:t>
      </w:r>
    </w:p>
    <w:p>
      <w:pPr>
        <w:spacing w:after="0" w:line="56" w:lineRule="exact"/>
        <w:rPr>
          <w:sz w:val="24"/>
          <w:szCs w:val="24"/>
          <w:color w:val="auto"/>
        </w:rPr>
      </w:pPr>
    </w:p>
    <w:p>
      <w:pPr>
        <w:sectPr>
          <w:pgSz w:w="11900" w:h="16838" w:orient="portrait"/>
          <w:cols w:equalWidth="0" w:num="2">
            <w:col w:w="7540" w:space="720"/>
            <w:col w:w="3160"/>
          </w:cols>
          <w:pgMar w:left="240" w:top="381" w:right="239" w:bottom="1440" w:gutter="0" w:footer="0" w:header="0"/>
          <w:type w:val="continuous"/>
        </w:sectPr>
      </w:pPr>
    </w:p>
    <w:p>
      <w:pPr>
        <w:ind w:left="2080"/>
        <w:spacing w:after="0"/>
        <w:rPr>
          <w:sz w:val="20"/>
          <w:szCs w:val="20"/>
          <w:color w:val="auto"/>
        </w:rPr>
      </w:pPr>
      <w:r>
        <w:rPr>
          <w:rFonts w:ascii="Arial" w:cs="Arial" w:eastAsia="Arial" w:hAnsi="Arial"/>
          <w:sz w:val="12"/>
          <w:szCs w:val="12"/>
          <w:i w:val="1"/>
          <w:iCs w:val="1"/>
          <w:color w:val="auto"/>
        </w:rPr>
        <w:t>(State or other jurisdiction of</w:t>
      </w:r>
    </w:p>
    <w:p>
      <w:pPr>
        <w:spacing w:after="0" w:line="14" w:lineRule="exact"/>
        <w:rPr>
          <w:sz w:val="24"/>
          <w:szCs w:val="24"/>
          <w:color w:val="auto"/>
        </w:rPr>
      </w:pPr>
    </w:p>
    <w:p>
      <w:pPr>
        <w:ind w:left="2040"/>
        <w:spacing w:after="0"/>
        <w:rPr>
          <w:sz w:val="20"/>
          <w:szCs w:val="20"/>
          <w:color w:val="auto"/>
        </w:rPr>
      </w:pPr>
      <w:r>
        <w:rPr>
          <w:rFonts w:ascii="Arial" w:cs="Arial" w:eastAsia="Arial" w:hAnsi="Arial"/>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40"/>
        <w:spacing w:after="0"/>
        <w:rPr>
          <w:sz w:val="20"/>
          <w:szCs w:val="20"/>
          <w:color w:val="auto"/>
        </w:rPr>
      </w:pPr>
      <w:r>
        <w:rPr>
          <w:rFonts w:ascii="Arial" w:cs="Arial" w:eastAsia="Arial" w:hAnsi="Arial"/>
          <w:sz w:val="12"/>
          <w:szCs w:val="12"/>
          <w:i w:val="1"/>
          <w:iCs w:val="1"/>
          <w:color w:val="auto"/>
        </w:rPr>
        <w:t>(I.R.S. Employer</w:t>
      </w:r>
    </w:p>
    <w:p>
      <w:pPr>
        <w:spacing w:after="0" w:line="14" w:lineRule="exact"/>
        <w:rPr>
          <w:sz w:val="24"/>
          <w:szCs w:val="24"/>
          <w:color w:val="auto"/>
        </w:rPr>
      </w:pPr>
    </w:p>
    <w:p>
      <w:pPr>
        <w:jc w:val="center"/>
        <w:ind w:right="2240"/>
        <w:spacing w:after="0"/>
        <w:rPr>
          <w:sz w:val="20"/>
          <w:szCs w:val="20"/>
          <w:color w:val="auto"/>
        </w:rPr>
      </w:pPr>
      <w:r>
        <w:rPr>
          <w:rFonts w:ascii="Arial" w:cs="Arial" w:eastAsia="Arial" w:hAnsi="Arial"/>
          <w:sz w:val="12"/>
          <w:szCs w:val="12"/>
          <w:i w:val="1"/>
          <w:iCs w:val="1"/>
          <w:color w:val="auto"/>
        </w:rPr>
        <w:t>Identification No.)</w:t>
      </w:r>
    </w:p>
    <w:p>
      <w:pPr>
        <w:spacing w:after="0" w:line="130" w:lineRule="exact"/>
        <w:rPr>
          <w:sz w:val="24"/>
          <w:szCs w:val="24"/>
          <w:color w:val="auto"/>
        </w:rPr>
      </w:pPr>
    </w:p>
    <w:p>
      <w:pPr>
        <w:sectPr>
          <w:pgSz w:w="11900" w:h="16838" w:orient="portrait"/>
          <w:cols w:equalWidth="0" w:num="2">
            <w:col w:w="7460" w:space="720"/>
            <w:col w:w="3240"/>
          </w:cols>
          <w:pgMar w:left="240" w:top="381"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1001 Fannin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1"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1" w:lineRule="exact"/>
        <w:rPr>
          <w:sz w:val="24"/>
          <w:szCs w:val="24"/>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81" w:right="239" w:bottom="1440" w:gutter="0" w:footer="0" w:header="0"/>
          <w:type w:val="continuous"/>
        </w:sectPr>
      </w:pPr>
    </w:p>
    <w:p>
      <w:pPr>
        <w:spacing w:after="0" w:line="58"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line="207" w:lineRule="exact"/>
        <w:tabs>
          <w:tab w:leader="none" w:pos="4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56" w:lineRule="exact"/>
        <w:rPr>
          <w:sz w:val="24"/>
          <w:szCs w:val="24"/>
          <w:color w:val="auto"/>
        </w:rPr>
      </w:pPr>
    </w:p>
    <w:p>
      <w:pPr>
        <w:ind w:left="220"/>
        <w:spacing w:after="0"/>
        <w:rPr>
          <w:sz w:val="20"/>
          <w:szCs w:val="20"/>
          <w:color w:val="auto"/>
        </w:rPr>
      </w:pPr>
      <w:r>
        <w:rPr>
          <w:rFonts w:ascii="Arial" w:cs="Arial" w:eastAsia="Arial" w:hAnsi="Arial"/>
          <w:sz w:val="16"/>
          <w:szCs w:val="16"/>
          <w:color w:val="auto"/>
        </w:rPr>
        <w:t>(Do not check if a smaller reporting company)</w:t>
      </w:r>
    </w:p>
    <w:p>
      <w:pPr>
        <w:spacing w:after="0" w:line="67" w:lineRule="exact"/>
        <w:rPr>
          <w:sz w:val="24"/>
          <w:szCs w:val="24"/>
          <w:color w:val="auto"/>
        </w:rPr>
      </w:pPr>
    </w:p>
    <w:p>
      <w:pPr>
        <w:sectPr>
          <w:pgSz w:w="11900" w:h="16838" w:orient="portrait"/>
          <w:cols w:equalWidth="0" w:num="6">
            <w:col w:w="1580" w:space="100"/>
            <w:col w:w="140" w:space="260"/>
            <w:col w:w="1180" w:space="80"/>
            <w:col w:w="160" w:space="280"/>
            <w:col w:w="1480" w:space="80"/>
            <w:col w:w="6080"/>
          </w:cols>
          <w:pgMar w:left="240" w:top="381"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9" w:lineRule="exact"/>
        <w:rPr>
          <w:sz w:val="24"/>
          <w:szCs w:val="24"/>
          <w:color w:val="auto"/>
        </w:rPr>
      </w:pPr>
    </w:p>
    <w:p>
      <w:pPr>
        <w:sectPr>
          <w:pgSz w:w="11900" w:h="16838" w:orient="portrait"/>
          <w:cols w:equalWidth="0" w:num="5">
            <w:col w:w="7700" w:space="160"/>
            <w:col w:w="260" w:space="80"/>
            <w:col w:w="160" w:space="180"/>
            <w:col w:w="220" w:space="80"/>
            <w:col w:w="2580"/>
          </w:cols>
          <w:pgMar w:left="240" w:top="381" w:right="239" w:bottom="1440" w:gutter="0" w:footer="0" w:header="0"/>
          <w:type w:val="continuous"/>
        </w:sectPr>
      </w:pPr>
    </w:p>
    <w:p>
      <w:pPr>
        <w:ind w:firstLine="456"/>
        <w:spacing w:after="0" w:line="268" w:lineRule="auto"/>
        <w:rPr>
          <w:sz w:val="20"/>
          <w:szCs w:val="20"/>
          <w:color w:val="auto"/>
        </w:rPr>
      </w:pPr>
      <w:r>
        <w:rPr>
          <w:rFonts w:ascii="Arial" w:cs="Arial" w:eastAsia="Arial" w:hAnsi="Arial"/>
          <w:sz w:val="18"/>
          <w:szCs w:val="18"/>
          <w:color w:val="auto"/>
        </w:rPr>
        <w:t>The number of shares of Common Stock, $0.01 par value, of the registrant outstanding at July 16, 2015 was 452,250,411 (excluding treasury shares of 178,032,050).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81"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7900" w:type="dxa"/>
            <w:vAlign w:val="bottom"/>
          </w:tcPr>
          <w:p>
            <w:pPr>
              <w:jc w:val="center"/>
              <w:ind w:left="2232"/>
              <w:spacing w:after="0"/>
              <w:rPr>
                <w:sz w:val="20"/>
                <w:szCs w:val="20"/>
                <w:color w:val="auto"/>
              </w:rPr>
            </w:pPr>
            <w:r>
              <w:rPr>
                <w:rFonts w:ascii="Arial" w:cs="Arial" w:eastAsia="Arial" w:hAnsi="Arial"/>
                <w:sz w:val="18"/>
                <w:szCs w:val="18"/>
                <w:b w:val="1"/>
                <w:bCs w:val="1"/>
                <w:color w:val="auto"/>
                <w:w w:val="96"/>
              </w:rPr>
              <w:t>PART I.</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90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Financial Statements.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0" w:type="dxa"/>
            <w:vAlign w:val="bottom"/>
          </w:tcPr>
          <w:p>
            <w:pPr>
              <w:spacing w:after="0"/>
              <w:rPr>
                <w:sz w:val="24"/>
                <w:szCs w:val="24"/>
                <w:color w:val="auto"/>
              </w:rPr>
            </w:pPr>
          </w:p>
        </w:tc>
        <w:tc>
          <w:tcPr>
            <w:tcW w:w="7900" w:type="dxa"/>
            <w:vAlign w:val="bottom"/>
          </w:tcPr>
          <w:p>
            <w:pPr>
              <w:jc w:val="center"/>
              <w:ind w:left="2232"/>
              <w:spacing w:after="0"/>
              <w:rPr>
                <w:sz w:val="20"/>
                <w:szCs w:val="20"/>
                <w:color w:val="auto"/>
              </w:rPr>
            </w:pPr>
            <w:r>
              <w:rPr>
                <w:rFonts w:ascii="Arial" w:cs="Arial" w:eastAsia="Arial" w:hAnsi="Arial"/>
                <w:sz w:val="18"/>
                <w:szCs w:val="18"/>
                <w:b w:val="1"/>
                <w:bCs w:val="1"/>
                <w:color w:val="auto"/>
                <w:w w:val="97"/>
              </w:rPr>
              <w:t>WASTE MANAGEMENT, INC.</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0" w:type="dxa"/>
            <w:vAlign w:val="bottom"/>
          </w:tcPr>
          <w:p>
            <w:pPr>
              <w:spacing w:after="0"/>
              <w:rPr>
                <w:sz w:val="24"/>
                <w:szCs w:val="24"/>
                <w:color w:val="auto"/>
              </w:rPr>
            </w:pPr>
          </w:p>
        </w:tc>
        <w:tc>
          <w:tcPr>
            <w:tcW w:w="7900" w:type="dxa"/>
            <w:vAlign w:val="bottom"/>
          </w:tcPr>
          <w:p>
            <w:pPr>
              <w:jc w:val="center"/>
              <w:ind w:left="223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00" w:type="dxa"/>
            <w:vAlign w:val="bottom"/>
          </w:tcPr>
          <w:p>
            <w:pPr>
              <w:spacing w:after="0"/>
              <w:rPr>
                <w:sz w:val="19"/>
                <w:szCs w:val="19"/>
                <w:color w:val="auto"/>
              </w:rPr>
            </w:pPr>
          </w:p>
        </w:tc>
        <w:tc>
          <w:tcPr>
            <w:tcW w:w="7900" w:type="dxa"/>
            <w:vAlign w:val="bottom"/>
          </w:tcPr>
          <w:p>
            <w:pPr>
              <w:jc w:val="center"/>
              <w:ind w:left="2232"/>
              <w:spacing w:after="0"/>
              <w:rPr>
                <w:sz w:val="20"/>
                <w:szCs w:val="20"/>
                <w:color w:val="auto"/>
              </w:rPr>
            </w:pPr>
            <w:r>
              <w:rPr>
                <w:rFonts w:ascii="Arial" w:cs="Arial" w:eastAsia="Arial" w:hAnsi="Arial"/>
                <w:sz w:val="18"/>
                <w:szCs w:val="18"/>
                <w:b w:val="1"/>
                <w:bCs w:val="1"/>
                <w:color w:val="auto"/>
                <w:w w:val="89"/>
              </w:rPr>
              <w:t>(In Millions, Except Share and Par Value Amounts)</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60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60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2015</w:t>
            </w:r>
          </w:p>
        </w:tc>
        <w:tc>
          <w:tcPr>
            <w:tcW w:w="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(Unaudited)</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7900" w:type="dxa"/>
            <w:vAlign w:val="bottom"/>
            <w:shd w:val="clear" w:color="auto" w:fill="CCEEFF"/>
          </w:tcPr>
          <w:p>
            <w:pPr>
              <w:ind w:left="4740"/>
              <w:spacing w:after="0"/>
              <w:rPr>
                <w:sz w:val="20"/>
                <w:szCs w:val="20"/>
                <w:color w:val="auto"/>
              </w:rPr>
            </w:pPr>
            <w:r>
              <w:rPr>
                <w:rFonts w:ascii="Arial" w:cs="Arial" w:eastAsia="Arial" w:hAnsi="Arial"/>
                <w:sz w:val="18"/>
                <w:szCs w:val="18"/>
                <w:b w:val="1"/>
                <w:bCs w:val="1"/>
                <w:color w:val="auto"/>
              </w:rPr>
              <w:t>ASSETS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66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273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16"/>
        </w:trPr>
        <w:tc>
          <w:tcPr>
            <w:tcW w:w="8500" w:type="dxa"/>
            <w:vAlign w:val="bottom"/>
            <w:gridSpan w:val="2"/>
          </w:tcPr>
          <w:p>
            <w:pPr>
              <w:ind w:left="220"/>
              <w:spacing w:after="0"/>
              <w:rPr>
                <w:sz w:val="20"/>
                <w:szCs w:val="20"/>
                <w:color w:val="auto"/>
              </w:rPr>
            </w:pPr>
            <w:r>
              <w:rPr>
                <w:rFonts w:ascii="Arial" w:cs="Arial" w:eastAsia="Arial" w:hAnsi="Arial"/>
                <w:sz w:val="18"/>
                <w:szCs w:val="18"/>
                <w:color w:val="auto"/>
              </w:rPr>
              <w:t>Accounts receivable, net of allowance for doubtful accounts of $27 and $30, respectively</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1,578</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16"/>
        </w:trPr>
        <w:tc>
          <w:tcPr>
            <w:tcW w:w="8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receivables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375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8500" w:type="dxa"/>
            <w:vAlign w:val="bottom"/>
            <w:gridSpan w:val="2"/>
          </w:tcPr>
          <w:p>
            <w:pPr>
              <w:ind w:left="220"/>
              <w:spacing w:after="0"/>
              <w:rPr>
                <w:sz w:val="20"/>
                <w:szCs w:val="20"/>
                <w:color w:val="auto"/>
              </w:rPr>
            </w:pPr>
            <w:r>
              <w:rPr>
                <w:rFonts w:ascii="Arial" w:cs="Arial" w:eastAsia="Arial" w:hAnsi="Arial"/>
                <w:sz w:val="18"/>
                <w:szCs w:val="18"/>
                <w:color w:val="auto"/>
              </w:rPr>
              <w:t>Parts and supplies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8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3"/>
        </w:trPr>
        <w:tc>
          <w:tcPr>
            <w:tcW w:w="8500" w:type="dxa"/>
            <w:vAlign w:val="bottom"/>
            <w:gridSpan w:val="2"/>
          </w:tcPr>
          <w:p>
            <w:pPr>
              <w:ind w:left="220"/>
              <w:spacing w:after="0"/>
              <w:rPr>
                <w:sz w:val="20"/>
                <w:szCs w:val="20"/>
                <w:color w:val="auto"/>
              </w:rPr>
            </w:pPr>
            <w:r>
              <w:rPr>
                <w:rFonts w:ascii="Arial" w:cs="Arial" w:eastAsia="Arial" w:hAnsi="Arial"/>
                <w:sz w:val="18"/>
                <w:szCs w:val="18"/>
                <w:color w:val="auto"/>
              </w:rPr>
              <w:t>Other assets</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current assets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2,553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3,641</w:t>
            </w:r>
          </w:p>
        </w:tc>
        <w:tc>
          <w:tcPr>
            <w:tcW w:w="0" w:type="dxa"/>
            <w:vAlign w:val="bottom"/>
          </w:tcPr>
          <w:p>
            <w:pPr>
              <w:spacing w:after="0"/>
              <w:rPr>
                <w:sz w:val="1"/>
                <w:szCs w:val="1"/>
                <w:color w:val="auto"/>
              </w:rPr>
            </w:pPr>
          </w:p>
        </w:tc>
      </w:tr>
      <w:tr>
        <w:trPr>
          <w:trHeight w:val="216"/>
        </w:trPr>
        <w:tc>
          <w:tcPr>
            <w:tcW w:w="8500" w:type="dxa"/>
            <w:vAlign w:val="bottom"/>
            <w:gridSpan w:val="2"/>
          </w:tcPr>
          <w:p>
            <w:pPr>
              <w:spacing w:after="0"/>
              <w:rPr>
                <w:sz w:val="20"/>
                <w:szCs w:val="20"/>
                <w:color w:val="auto"/>
              </w:rPr>
            </w:pPr>
            <w:r>
              <w:rPr>
                <w:rFonts w:ascii="Arial" w:cs="Arial" w:eastAsia="Arial" w:hAnsi="Arial"/>
                <w:sz w:val="18"/>
                <w:szCs w:val="18"/>
                <w:color w:val="auto"/>
                <w:w w:val="94"/>
              </w:rPr>
              <w:t>Property and equipment, net of accumulated depreciation and amortization of $16,203 and $15,968, respectively</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10,665</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10,657</w:t>
            </w:r>
          </w:p>
        </w:tc>
        <w:tc>
          <w:tcPr>
            <w:tcW w:w="0" w:type="dxa"/>
            <w:vAlign w:val="bottom"/>
          </w:tcPr>
          <w:p>
            <w:pPr>
              <w:spacing w:after="0"/>
              <w:rPr>
                <w:sz w:val="1"/>
                <w:szCs w:val="1"/>
                <w:color w:val="auto"/>
              </w:rPr>
            </w:pPr>
          </w:p>
        </w:tc>
      </w:tr>
      <w:tr>
        <w:trPr>
          <w:trHeight w:val="216"/>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5,880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5,740</w:t>
            </w:r>
          </w:p>
        </w:tc>
        <w:tc>
          <w:tcPr>
            <w:tcW w:w="0" w:type="dxa"/>
            <w:vAlign w:val="bottom"/>
          </w:tcPr>
          <w:p>
            <w:pPr>
              <w:spacing w:after="0"/>
              <w:rPr>
                <w:sz w:val="1"/>
                <w:szCs w:val="1"/>
                <w:color w:val="auto"/>
              </w:rPr>
            </w:pPr>
          </w:p>
        </w:tc>
      </w:tr>
      <w:tr>
        <w:trPr>
          <w:trHeight w:val="216"/>
        </w:trPr>
        <w:tc>
          <w:tcPr>
            <w:tcW w:w="8500" w:type="dxa"/>
            <w:vAlign w:val="bottom"/>
            <w:gridSpan w:val="2"/>
          </w:tcPr>
          <w:p>
            <w:pPr>
              <w:spacing w:after="0"/>
              <w:rPr>
                <w:sz w:val="20"/>
                <w:szCs w:val="20"/>
                <w:color w:val="auto"/>
              </w:rPr>
            </w:pPr>
            <w:r>
              <w:rPr>
                <w:rFonts w:ascii="Arial" w:cs="Arial" w:eastAsia="Arial" w:hAnsi="Arial"/>
                <w:sz w:val="18"/>
                <w:szCs w:val="18"/>
                <w:color w:val="auto"/>
              </w:rPr>
              <w:t>Other intangible assets, net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512</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390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23"/>
        </w:trPr>
        <w:tc>
          <w:tcPr>
            <w:tcW w:w="85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assets</w:t>
            </w:r>
          </w:p>
        </w:tc>
        <w:tc>
          <w:tcPr>
            <w:tcW w:w="66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20,578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21,412</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7900" w:type="dxa"/>
            <w:vAlign w:val="bottom"/>
            <w:vMerge w:val="restart"/>
          </w:tcPr>
          <w:p>
            <w:pPr>
              <w:ind w:left="3940"/>
              <w:spacing w:after="0"/>
              <w:rPr>
                <w:sz w:val="20"/>
                <w:szCs w:val="20"/>
                <w:color w:val="auto"/>
              </w:rPr>
            </w:pPr>
            <w:r>
              <w:rPr>
                <w:rFonts w:ascii="Arial" w:cs="Arial" w:eastAsia="Arial" w:hAnsi="Arial"/>
                <w:sz w:val="18"/>
                <w:szCs w:val="18"/>
                <w:b w:val="1"/>
                <w:bCs w:val="1"/>
                <w:color w:val="auto"/>
              </w:rPr>
              <w:t>LIABILITIES AND EQUITY</w:t>
            </w: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600" w:type="dxa"/>
            <w:vAlign w:val="bottom"/>
          </w:tcPr>
          <w:p>
            <w:pPr>
              <w:spacing w:after="0"/>
              <w:rPr>
                <w:sz w:val="24"/>
                <w:szCs w:val="24"/>
                <w:color w:val="auto"/>
              </w:rPr>
            </w:pPr>
          </w:p>
        </w:tc>
        <w:tc>
          <w:tcPr>
            <w:tcW w:w="79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gridSpan w:val="2"/>
          </w:tcPr>
          <w:p>
            <w:pPr>
              <w:ind w:left="220"/>
              <w:spacing w:after="0"/>
              <w:rPr>
                <w:sz w:val="20"/>
                <w:szCs w:val="20"/>
                <w:color w:val="auto"/>
              </w:rPr>
            </w:pPr>
            <w:r>
              <w:rPr>
                <w:rFonts w:ascii="Arial" w:cs="Arial" w:eastAsia="Arial" w:hAnsi="Arial"/>
                <w:sz w:val="18"/>
                <w:szCs w:val="18"/>
                <w:color w:val="auto"/>
              </w:rPr>
              <w:t>Accounts payable</w:t>
            </w:r>
          </w:p>
        </w:tc>
        <w:tc>
          <w:tcPr>
            <w:tcW w:w="660" w:type="dxa"/>
            <w:vAlign w:val="bottom"/>
            <w:gridSpan w:val="2"/>
          </w:tcPr>
          <w:p>
            <w:pPr>
              <w:ind w:left="580"/>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707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8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1,095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16"/>
        </w:trPr>
        <w:tc>
          <w:tcPr>
            <w:tcW w:w="8500" w:type="dxa"/>
            <w:vAlign w:val="bottom"/>
            <w:gridSpan w:val="2"/>
          </w:tcPr>
          <w:p>
            <w:pPr>
              <w:ind w:left="220"/>
              <w:spacing w:after="0"/>
              <w:rPr>
                <w:sz w:val="20"/>
                <w:szCs w:val="20"/>
                <w:color w:val="auto"/>
              </w:rPr>
            </w:pPr>
            <w:r>
              <w:rPr>
                <w:rFonts w:ascii="Arial" w:cs="Arial" w:eastAsia="Arial" w:hAnsi="Arial"/>
                <w:sz w:val="18"/>
                <w:szCs w:val="18"/>
                <w:color w:val="auto"/>
              </w:rPr>
              <w:t>Deferred revenues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479</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8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portion of long-term debt</w:t>
            </w: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500" w:type="dxa"/>
            <w:vAlign w:val="bottom"/>
            <w:gridSpan w:val="2"/>
          </w:tcPr>
          <w:p>
            <w:pPr>
              <w:ind w:left="440"/>
              <w:spacing w:after="0"/>
              <w:rPr>
                <w:sz w:val="20"/>
                <w:szCs w:val="20"/>
                <w:color w:val="auto"/>
              </w:rPr>
            </w:pPr>
            <w:r>
              <w:rPr>
                <w:rFonts w:ascii="Arial" w:cs="Arial" w:eastAsia="Arial" w:hAnsi="Arial"/>
                <w:sz w:val="18"/>
                <w:szCs w:val="18"/>
                <w:color w:val="auto"/>
              </w:rPr>
              <w:t>Total current liabilities</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2,477</w:t>
            </w: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3,485</w:t>
            </w:r>
          </w:p>
        </w:tc>
        <w:tc>
          <w:tcPr>
            <w:tcW w:w="0" w:type="dxa"/>
            <w:vAlign w:val="bottom"/>
          </w:tcPr>
          <w:p>
            <w:pPr>
              <w:spacing w:after="0"/>
              <w:rPr>
                <w:sz w:val="1"/>
                <w:szCs w:val="1"/>
                <w:color w:val="auto"/>
              </w:rPr>
            </w:pPr>
          </w:p>
        </w:tc>
      </w:tr>
      <w:tr>
        <w:trPr>
          <w:trHeight w:val="218"/>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8,910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8,345</w:t>
            </w:r>
          </w:p>
        </w:tc>
        <w:tc>
          <w:tcPr>
            <w:tcW w:w="0" w:type="dxa"/>
            <w:vAlign w:val="bottom"/>
          </w:tcPr>
          <w:p>
            <w:pPr>
              <w:spacing w:after="0"/>
              <w:rPr>
                <w:sz w:val="1"/>
                <w:szCs w:val="1"/>
                <w:color w:val="auto"/>
              </w:rPr>
            </w:pPr>
          </w:p>
        </w:tc>
      </w:tr>
      <w:tr>
        <w:trPr>
          <w:trHeight w:val="216"/>
        </w:trPr>
        <w:tc>
          <w:tcPr>
            <w:tcW w:w="850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1,409</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16"/>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Landfill and environmental remediation liabilities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1,592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23"/>
        </w:trPr>
        <w:tc>
          <w:tcPr>
            <w:tcW w:w="85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15,171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15,523</w:t>
            </w:r>
          </w:p>
        </w:tc>
        <w:tc>
          <w:tcPr>
            <w:tcW w:w="0" w:type="dxa"/>
            <w:vAlign w:val="bottom"/>
          </w:tcPr>
          <w:p>
            <w:pPr>
              <w:spacing w:after="0"/>
              <w:rPr>
                <w:sz w:val="1"/>
                <w:szCs w:val="1"/>
                <w:color w:val="auto"/>
              </w:rPr>
            </w:pPr>
          </w:p>
        </w:tc>
      </w:tr>
      <w:tr>
        <w:trPr>
          <w:trHeight w:val="221"/>
        </w:trPr>
        <w:tc>
          <w:tcPr>
            <w:tcW w:w="85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7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gridSpan w:val="2"/>
          </w:tcPr>
          <w:p>
            <w:pPr>
              <w:ind w:left="220"/>
              <w:spacing w:after="0"/>
              <w:rPr>
                <w:sz w:val="20"/>
                <w:szCs w:val="20"/>
                <w:color w:val="auto"/>
              </w:rPr>
            </w:pPr>
            <w:r>
              <w:rPr>
                <w:rFonts w:ascii="Arial" w:cs="Arial" w:eastAsia="Arial" w:hAnsi="Arial"/>
                <w:sz w:val="18"/>
                <w:szCs w:val="18"/>
                <w:color w:val="auto"/>
              </w:rPr>
              <w:t>Waste Management, Inc. stockholders’ equity:</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Common stock, $0.01 par value; 1,500,000,000 shares authorized; 630,282,461 shares issued</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500" w:type="dxa"/>
            <w:vAlign w:val="bottom"/>
            <w:gridSpan w:val="2"/>
          </w:tcPr>
          <w:p>
            <w:pPr>
              <w:ind w:left="440"/>
              <w:spacing w:after="0"/>
              <w:rPr>
                <w:sz w:val="20"/>
                <w:szCs w:val="20"/>
                <w:color w:val="auto"/>
              </w:rPr>
            </w:pPr>
            <w:r>
              <w:rPr>
                <w:rFonts w:ascii="Arial" w:cs="Arial" w:eastAsia="Arial" w:hAnsi="Arial"/>
                <w:sz w:val="18"/>
                <w:szCs w:val="18"/>
                <w:color w:val="auto"/>
              </w:rPr>
              <w:t>Additional paid-in capital</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4,778</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4,585</w:t>
            </w:r>
          </w:p>
        </w:tc>
        <w:tc>
          <w:tcPr>
            <w:tcW w:w="0" w:type="dxa"/>
            <w:vAlign w:val="bottom"/>
          </w:tcPr>
          <w:p>
            <w:pPr>
              <w:spacing w:after="0"/>
              <w:rPr>
                <w:sz w:val="1"/>
                <w:szCs w:val="1"/>
                <w:color w:val="auto"/>
              </w:rPr>
            </w:pPr>
          </w:p>
        </w:tc>
      </w:tr>
      <w:tr>
        <w:trPr>
          <w:trHeight w:val="216"/>
        </w:trPr>
        <w:tc>
          <w:tcPr>
            <w:tcW w:w="8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Retained earnings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6,680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6,888</w:t>
            </w:r>
          </w:p>
        </w:tc>
        <w:tc>
          <w:tcPr>
            <w:tcW w:w="0" w:type="dxa"/>
            <w:vAlign w:val="bottom"/>
          </w:tcPr>
          <w:p>
            <w:pPr>
              <w:spacing w:after="0"/>
              <w:rPr>
                <w:sz w:val="1"/>
                <w:szCs w:val="1"/>
                <w:color w:val="auto"/>
              </w:rPr>
            </w:pPr>
          </w:p>
        </w:tc>
      </w:tr>
      <w:tr>
        <w:trPr>
          <w:trHeight w:val="216"/>
        </w:trPr>
        <w:tc>
          <w:tcPr>
            <w:tcW w:w="8500" w:type="dxa"/>
            <w:vAlign w:val="bottom"/>
            <w:gridSpan w:val="2"/>
          </w:tcPr>
          <w:p>
            <w:pPr>
              <w:ind w:left="440"/>
              <w:spacing w:after="0"/>
              <w:rPr>
                <w:sz w:val="20"/>
                <w:szCs w:val="20"/>
                <w:color w:val="auto"/>
              </w:rPr>
            </w:pPr>
            <w:r>
              <w:rPr>
                <w:rFonts w:ascii="Arial" w:cs="Arial" w:eastAsia="Arial" w:hAnsi="Arial"/>
                <w:sz w:val="18"/>
                <w:szCs w:val="18"/>
                <w:color w:val="auto"/>
              </w:rPr>
              <w:t>Accumulated other comprehensive income (loss)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8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Treasury stock at cost, 178,439,138 and 171,745,077 shares, respectively</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(6,044)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(5,636)</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rPr>
              <w:t>Total Waste Management, Inc. stockholders’ equity</w:t>
            </w: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5,386</w:t>
            </w:r>
          </w:p>
        </w:tc>
        <w:tc>
          <w:tcPr>
            <w:tcW w:w="7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rPr>
              <w:t>Total equity</w:t>
            </w:r>
          </w:p>
        </w:tc>
        <w:tc>
          <w:tcPr>
            <w:tcW w:w="5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5,407</w:t>
            </w:r>
          </w:p>
        </w:tc>
        <w:tc>
          <w:tcPr>
            <w:tcW w:w="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liabilities and equity</w:t>
            </w:r>
          </w:p>
        </w:tc>
        <w:tc>
          <w:tcPr>
            <w:tcW w:w="66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20,578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21,412</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8"/>
          </w:tcPr>
          <w:p>
            <w:pPr>
              <w:jc w:val="center"/>
              <w:ind w:right="560"/>
              <w:spacing w:after="0"/>
              <w:rPr>
                <w:sz w:val="20"/>
                <w:szCs w:val="20"/>
                <w:color w:val="auto"/>
              </w:rPr>
            </w:pPr>
            <w:r>
              <w:rPr>
                <w:rFonts w:ascii="Arial" w:cs="Arial" w:eastAsia="Arial" w:hAnsi="Arial"/>
                <w:sz w:val="14"/>
                <w:szCs w:val="14"/>
                <w:b w:val="1"/>
                <w:bCs w:val="1"/>
                <w:color w:val="auto"/>
                <w:w w:val="88"/>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center"/>
              <w:ind w:right="12"/>
              <w:spacing w:after="0"/>
              <w:rPr>
                <w:sz w:val="20"/>
                <w:szCs w:val="20"/>
                <w:color w:val="auto"/>
              </w:rPr>
            </w:pPr>
            <w:r>
              <w:rPr>
                <w:rFonts w:ascii="Arial" w:cs="Arial" w:eastAsia="Arial" w:hAnsi="Arial"/>
                <w:sz w:val="14"/>
                <w:szCs w:val="14"/>
                <w:b w:val="1"/>
                <w:bCs w:val="1"/>
                <w:color w:val="auto"/>
                <w:w w:val="92"/>
              </w:rPr>
              <w:t>June 30,</w:t>
            </w: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2015</w:t>
            </w:r>
          </w:p>
        </w:tc>
        <w:tc>
          <w:tcPr>
            <w:tcW w:w="3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2015</w:t>
            </w: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$ 3,315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$ 3,561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$ 6,355</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6,957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6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w w:val="93"/>
              </w:rPr>
              <w:t>2,163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2,301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4,109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92"/>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353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670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rPr>
              <w:t>322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92"/>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2,813</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3,029</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5,413</w:t>
            </w: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5,956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rPr>
              <w:t>502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1,001</w:t>
            </w:r>
          </w:p>
        </w:tc>
        <w:tc>
          <w:tcPr>
            <w:tcW w:w="0" w:type="dxa"/>
            <w:vAlign w:val="bottom"/>
          </w:tcPr>
          <w:p>
            <w:pPr>
              <w:spacing w:after="0"/>
              <w:rPr>
                <w:sz w:val="1"/>
                <w:szCs w:val="1"/>
                <w:color w:val="auto"/>
              </w:rPr>
            </w:pPr>
          </w:p>
        </w:tc>
      </w:tr>
      <w:tr>
        <w:trPr>
          <w:trHeight w:val="222"/>
        </w:trPr>
        <w:tc>
          <w:tcPr>
            <w:tcW w:w="67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Loss on early extinguishment of debt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52"/>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412"/>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losses of unconsolidated entities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52"/>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4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1"/>
        </w:trPr>
        <w:tc>
          <w:tcPr>
            <w:tcW w:w="67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389</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402</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167</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6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292"/>
              <w:spacing w:after="0"/>
              <w:rPr>
                <w:sz w:val="20"/>
                <w:szCs w:val="20"/>
                <w:color w:val="auto"/>
              </w:rPr>
            </w:pPr>
            <w:r>
              <w:rPr>
                <w:rFonts w:ascii="Arial" w:cs="Arial" w:eastAsia="Arial" w:hAnsi="Arial"/>
                <w:sz w:val="18"/>
                <w:szCs w:val="18"/>
                <w:color w:val="auto"/>
              </w:rPr>
              <w:t>273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Net income (loss) attributable to noncontrolling interests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Waste Management, Inc.</w:t>
            </w: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292"/>
              <w:spacing w:after="0"/>
              <w:rPr>
                <w:sz w:val="20"/>
                <w:szCs w:val="20"/>
                <w:color w:val="auto"/>
              </w:rPr>
            </w:pPr>
            <w:r>
              <w:rPr>
                <w:rFonts w:ascii="Arial" w:cs="Arial" w:eastAsia="Arial" w:hAnsi="Arial"/>
                <w:sz w:val="18"/>
                <w:szCs w:val="18"/>
                <w:color w:val="auto"/>
              </w:rPr>
              <w:t>274</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4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rPr>
              <w:t>0.60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4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6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292"/>
              <w:spacing w:after="0"/>
              <w:rPr>
                <w:sz w:val="20"/>
                <w:szCs w:val="20"/>
                <w:color w:val="auto"/>
              </w:rPr>
            </w:pPr>
            <w:r>
              <w:rPr>
                <w:rFonts w:ascii="Arial" w:cs="Arial" w:eastAsia="Arial" w:hAnsi="Arial"/>
                <w:sz w:val="18"/>
                <w:szCs w:val="18"/>
                <w:color w:val="auto"/>
              </w:rPr>
              <w:t>0.60</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0.45</w:t>
            </w:r>
          </w:p>
        </w:tc>
        <w:tc>
          <w:tcPr>
            <w:tcW w:w="4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0.32</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292"/>
              <w:spacing w:after="0"/>
              <w:rPr>
                <w:sz w:val="20"/>
                <w:szCs w:val="20"/>
                <w:color w:val="auto"/>
              </w:rPr>
            </w:pPr>
            <w:r>
              <w:rPr>
                <w:rFonts w:ascii="Arial" w:cs="Arial" w:eastAsia="Arial" w:hAnsi="Arial"/>
                <w:sz w:val="18"/>
                <w:szCs w:val="18"/>
                <w:color w:val="auto"/>
              </w:rPr>
              <w:t>$ 0.385</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$ 0.375</w:t>
            </w:r>
          </w:p>
        </w:tc>
        <w:tc>
          <w:tcPr>
            <w:tcW w:w="4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9600" w:type="dxa"/>
            <w:vAlign w:val="bottom"/>
            <w:gridSpan w:val="13"/>
          </w:tcPr>
          <w:p>
            <w:pPr>
              <w:jc w:val="center"/>
              <w:ind w:left="1692"/>
              <w:spacing w:after="0"/>
              <w:rPr>
                <w:sz w:val="20"/>
                <w:szCs w:val="20"/>
                <w:color w:val="auto"/>
              </w:rPr>
            </w:pPr>
            <w:r>
              <w:rPr>
                <w:rFonts w:ascii="Arial" w:cs="Arial" w:eastAsia="Arial" w:hAnsi="Arial"/>
                <w:sz w:val="18"/>
                <w:szCs w:val="18"/>
                <w:b w:val="1"/>
                <w:bCs w:val="1"/>
                <w:color w:val="auto"/>
                <w:w w:val="97"/>
              </w:rPr>
              <w:t>CONDENSED CONSOLIDATED STATEMENTS OF COMPREHENSIVE INCOME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jc w:val="center"/>
              <w:ind w:left="4552"/>
              <w:spacing w:after="0"/>
              <w:rPr>
                <w:sz w:val="20"/>
                <w:szCs w:val="20"/>
                <w:color w:val="auto"/>
              </w:rPr>
            </w:pPr>
            <w:r>
              <w:rPr>
                <w:rFonts w:ascii="Arial" w:cs="Arial" w:eastAsia="Arial" w:hAnsi="Arial"/>
                <w:sz w:val="18"/>
                <w:szCs w:val="18"/>
                <w:b w:val="1"/>
                <w:bCs w:val="1"/>
                <w:color w:val="auto"/>
                <w:w w:val="93"/>
              </w:rPr>
              <w:t>(In Millions)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40" w:type="dxa"/>
            <w:vAlign w:val="bottom"/>
          </w:tcPr>
          <w:p>
            <w:pPr>
              <w:jc w:val="center"/>
              <w:ind w:left="4552"/>
              <w:spacing w:after="0"/>
              <w:rPr>
                <w:sz w:val="20"/>
                <w:szCs w:val="20"/>
                <w:color w:val="auto"/>
              </w:rPr>
            </w:pPr>
            <w:r>
              <w:rPr>
                <w:rFonts w:ascii="Arial" w:cs="Arial" w:eastAsia="Arial" w:hAnsi="Arial"/>
                <w:sz w:val="18"/>
                <w:szCs w:val="18"/>
                <w:b w:val="1"/>
                <w:bCs w:val="1"/>
                <w:color w:val="auto"/>
                <w:w w:val="89"/>
              </w:rPr>
              <w:t>(Unaudited)</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9"/>
          </w:tcPr>
          <w:p>
            <w:pPr>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June 30,</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3"/>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2015</w:t>
            </w:r>
          </w:p>
        </w:tc>
        <w:tc>
          <w:tcPr>
            <w:tcW w:w="2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gridSpan w:val="3"/>
          </w:tcPr>
          <w:p>
            <w:pPr>
              <w:ind w:left="140"/>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gridSpan w:val="3"/>
          </w:tcPr>
          <w:p>
            <w:pPr>
              <w:jc w:val="right"/>
              <w:ind w:right="54"/>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Consolidated net income</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222</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6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taxes: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Derivative instruments, net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Available-for-sale securities, net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12"/>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(loss), net of taxes</w:t>
            </w: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16</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268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92"/>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256</w:t>
            </w:r>
          </w:p>
        </w:tc>
        <w:tc>
          <w:tcPr>
            <w:tcW w:w="4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6"/>
              </w:rPr>
              <w:t>2015</w:t>
            </w:r>
          </w:p>
        </w:tc>
        <w:tc>
          <w:tcPr>
            <w:tcW w:w="8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142</w:t>
            </w:r>
          </w:p>
        </w:tc>
        <w:tc>
          <w:tcPr>
            <w:tcW w:w="86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614</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 benefit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200"/>
              <w:spacing w:after="0"/>
              <w:rPr>
                <w:sz w:val="20"/>
                <w:szCs w:val="20"/>
                <w:color w:val="auto"/>
              </w:rPr>
            </w:pPr>
            <w:r>
              <w:rPr>
                <w:rFonts w:ascii="Arial" w:cs="Arial" w:eastAsia="Arial" w:hAnsi="Arial"/>
                <w:sz w:val="18"/>
                <w:szCs w:val="18"/>
                <w:color w:val="auto"/>
              </w:rPr>
              <w:t>Interest accretion on landfill liabilities</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Interest accretion on and discount rate adjustments to environmental remediation liabilities and recovery assets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200"/>
              <w:spacing w:after="0"/>
              <w:rPr>
                <w:sz w:val="20"/>
                <w:szCs w:val="20"/>
                <w:color w:val="auto"/>
              </w:rPr>
            </w:pPr>
            <w:r>
              <w:rPr>
                <w:rFonts w:ascii="Arial" w:cs="Arial" w:eastAsia="Arial" w:hAnsi="Arial"/>
                <w:sz w:val="18"/>
                <w:szCs w:val="18"/>
                <w:color w:val="auto"/>
              </w:rPr>
              <w:t>Provision for bad debts</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Equity-based compensation expense</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200"/>
              <w:spacing w:after="0"/>
              <w:rPr>
                <w:sz w:val="20"/>
                <w:szCs w:val="20"/>
                <w:color w:val="auto"/>
              </w:rPr>
            </w:pPr>
            <w:r>
              <w:rPr>
                <w:rFonts w:ascii="Arial" w:cs="Arial" w:eastAsia="Arial" w:hAnsi="Arial"/>
                <w:sz w:val="18"/>
                <w:szCs w:val="18"/>
                <w:color w:val="auto"/>
              </w:rPr>
              <w:t>Excess tax benefits associated with equity-based transactions</w:t>
            </w:r>
          </w:p>
        </w:tc>
        <w:tc>
          <w:tcPr>
            <w:tcW w:w="160" w:type="dxa"/>
            <w:vAlign w:val="bottom"/>
          </w:tcPr>
          <w:p>
            <w:pPr>
              <w:spacing w:after="0"/>
              <w:rPr>
                <w:sz w:val="18"/>
                <w:szCs w:val="18"/>
                <w:color w:val="auto"/>
              </w:rPr>
            </w:pP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gain from disposal of assets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200"/>
              <w:spacing w:after="0"/>
              <w:rPr>
                <w:sz w:val="20"/>
                <w:szCs w:val="20"/>
                <w:color w:val="auto"/>
              </w:rPr>
            </w:pPr>
            <w:r>
              <w:rPr>
                <w:rFonts w:ascii="Arial" w:cs="Arial" w:eastAsia="Arial" w:hAnsi="Arial"/>
                <w:sz w:val="18"/>
                <w:szCs w:val="18"/>
                <w:color w:val="auto"/>
              </w:rPr>
              <w:t>Effect of (income) expense from divestitures, asset impairments and unusual items and other</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losses of unconsolidated entities, net of dividends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200"/>
              <w:spacing w:after="0"/>
              <w:rPr>
                <w:sz w:val="20"/>
                <w:szCs w:val="20"/>
                <w:color w:val="auto"/>
              </w:rPr>
            </w:pPr>
            <w:r>
              <w:rPr>
                <w:rFonts w:ascii="Arial" w:cs="Arial" w:eastAsia="Arial" w:hAnsi="Arial"/>
                <w:sz w:val="18"/>
                <w:szCs w:val="18"/>
                <w:color w:val="auto"/>
              </w:rPr>
              <w:t>Loss on early extinguishment of debt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552</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Receivables</w:t>
            </w:r>
          </w:p>
        </w:tc>
        <w:tc>
          <w:tcPr>
            <w:tcW w:w="160" w:type="dxa"/>
            <w:vAlign w:val="bottom"/>
          </w:tcPr>
          <w:p>
            <w:pPr>
              <w:spacing w:after="0"/>
              <w:rPr>
                <w:sz w:val="18"/>
                <w:szCs w:val="18"/>
                <w:color w:val="auto"/>
              </w:rPr>
            </w:pP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Deferred revenues and other liabilities</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8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(454)</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18"/>
                <w:szCs w:val="18"/>
                <w:color w:val="auto"/>
              </w:rPr>
            </w:pP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(529)</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200"/>
              <w:spacing w:after="0"/>
              <w:rPr>
                <w:sz w:val="20"/>
                <w:szCs w:val="20"/>
                <w:color w:val="auto"/>
              </w:rPr>
            </w:pPr>
            <w:r>
              <w:rPr>
                <w:rFonts w:ascii="Arial" w:cs="Arial" w:eastAsia="Arial" w:hAnsi="Arial"/>
                <w:sz w:val="18"/>
                <w:szCs w:val="18"/>
                <w:color w:val="auto"/>
              </w:rPr>
              <w:t>Net receipts from restricted trust and escrow accounts</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 in unconsolidated entities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20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(879)</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22"/>
        </w:trPr>
        <w:tc>
          <w:tcPr>
            <w:tcW w:w="90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borrowings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200"/>
              <w:spacing w:after="0"/>
              <w:rPr>
                <w:sz w:val="20"/>
                <w:szCs w:val="20"/>
                <w:color w:val="auto"/>
              </w:rPr>
            </w:pPr>
            <w:r>
              <w:rPr>
                <w:rFonts w:ascii="Arial" w:cs="Arial" w:eastAsia="Arial" w:hAnsi="Arial"/>
                <w:sz w:val="18"/>
                <w:szCs w:val="18"/>
                <w:color w:val="auto"/>
              </w:rPr>
              <w:t>Debt repayments</w:t>
            </w:r>
          </w:p>
        </w:tc>
        <w:tc>
          <w:tcPr>
            <w:tcW w:w="160" w:type="dxa"/>
            <w:vAlign w:val="bottom"/>
          </w:tcPr>
          <w:p>
            <w:pPr>
              <w:spacing w:after="0"/>
              <w:rPr>
                <w:sz w:val="18"/>
                <w:szCs w:val="18"/>
                <w:color w:val="auto"/>
              </w:rPr>
            </w:pP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(2,181)</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Premiums paid on early extinguishment of debt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(555)</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200"/>
              <w:spacing w:after="0"/>
              <w:rPr>
                <w:sz w:val="20"/>
                <w:szCs w:val="20"/>
                <w:color w:val="auto"/>
              </w:rPr>
            </w:pPr>
            <w:r>
              <w:rPr>
                <w:rFonts w:ascii="Arial" w:cs="Arial" w:eastAsia="Arial" w:hAnsi="Arial"/>
                <w:sz w:val="18"/>
                <w:szCs w:val="18"/>
                <w:color w:val="auto"/>
              </w:rPr>
              <w:t>Common stock repurchases</w:t>
            </w:r>
          </w:p>
        </w:tc>
        <w:tc>
          <w:tcPr>
            <w:tcW w:w="160" w:type="dxa"/>
            <w:vAlign w:val="bottom"/>
          </w:tcPr>
          <w:p>
            <w:pPr>
              <w:spacing w:after="0"/>
              <w:rPr>
                <w:sz w:val="18"/>
                <w:szCs w:val="18"/>
                <w:color w:val="auto"/>
              </w:rPr>
            </w:pP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(351)</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200"/>
              <w:spacing w:after="0"/>
              <w:rPr>
                <w:sz w:val="20"/>
                <w:szCs w:val="20"/>
                <w:color w:val="auto"/>
              </w:rPr>
            </w:pPr>
            <w:r>
              <w:rPr>
                <w:rFonts w:ascii="Arial" w:cs="Arial" w:eastAsia="Arial" w:hAnsi="Arial"/>
                <w:sz w:val="18"/>
                <w:szCs w:val="18"/>
                <w:color w:val="auto"/>
              </w:rPr>
              <w:t>Exercise of common stock options</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benefits associated with equity-based transactions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200"/>
              <w:spacing w:after="0"/>
              <w:rPr>
                <w:sz w:val="20"/>
                <w:szCs w:val="20"/>
                <w:color w:val="auto"/>
              </w:rPr>
            </w:pPr>
            <w:r>
              <w:rPr>
                <w:rFonts w:ascii="Arial" w:cs="Arial" w:eastAsia="Arial" w:hAnsi="Arial"/>
                <w:sz w:val="18"/>
                <w:szCs w:val="18"/>
                <w:color w:val="auto"/>
              </w:rPr>
              <w:t>Distributions paid to noncontrolling interests</w:t>
            </w:r>
          </w:p>
        </w:tc>
        <w:tc>
          <w:tcPr>
            <w:tcW w:w="160" w:type="dxa"/>
            <w:vAlign w:val="bottom"/>
          </w:tcPr>
          <w:p>
            <w:pPr>
              <w:spacing w:after="0"/>
              <w:rPr>
                <w:sz w:val="18"/>
                <w:szCs w:val="18"/>
                <w:color w:val="auto"/>
              </w:rPr>
            </w:pPr>
          </w:p>
        </w:tc>
        <w:tc>
          <w:tcPr>
            <w:tcW w:w="14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904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0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(1,469)</w:t>
            </w:r>
          </w:p>
        </w:tc>
        <w:tc>
          <w:tcPr>
            <w:tcW w:w="16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040" w:type="dxa"/>
            <w:vAlign w:val="bottom"/>
            <w:gridSpan w:val="2"/>
            <w:vMerge w:val="restart"/>
          </w:tcPr>
          <w:p>
            <w:pPr>
              <w:spacing w:after="0"/>
              <w:rPr>
                <w:sz w:val="20"/>
                <w:szCs w:val="20"/>
                <w:color w:val="auto"/>
              </w:rPr>
            </w:pPr>
            <w:r>
              <w:rPr>
                <w:rFonts w:ascii="Arial" w:cs="Arial" w:eastAsia="Arial" w:hAnsi="Arial"/>
                <w:sz w:val="18"/>
                <w:szCs w:val="18"/>
                <w:color w:val="auto"/>
              </w:rPr>
              <w:t>Increase (decrease) in cash and cash equivalents</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0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(1,034)</w:t>
            </w:r>
          </w:p>
        </w:tc>
        <w:tc>
          <w:tcPr>
            <w:tcW w:w="16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8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273</w:t>
            </w:r>
          </w:p>
        </w:tc>
        <w:tc>
          <w:tcPr>
            <w:tcW w:w="86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11"/>
          </w:tcPr>
          <w:p>
            <w:pPr>
              <w:jc w:val="right"/>
              <w:ind w:right="140"/>
              <w:spacing w:after="0"/>
              <w:rPr>
                <w:sz w:val="20"/>
                <w:szCs w:val="20"/>
                <w:color w:val="auto"/>
              </w:rPr>
            </w:pPr>
            <w:r>
              <w:rPr>
                <w:rFonts w:ascii="Arial" w:cs="Arial" w:eastAsia="Arial" w:hAnsi="Arial"/>
                <w:sz w:val="14"/>
                <w:szCs w:val="14"/>
                <w:b w:val="1"/>
                <w:bCs w:val="1"/>
                <w:color w:val="auto"/>
                <w:w w:val="94"/>
              </w:rPr>
              <w:t>Waste Management, Inc. Stockholders’ Equity</w:t>
            </w: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w w:val="87"/>
              </w:rPr>
              <w:t>Common Stock</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Additional</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480" w:type="dxa"/>
            <w:vAlign w:val="bottom"/>
            <w:gridSpan w:val="6"/>
            <w:vMerge w:val="restart"/>
          </w:tcPr>
          <w:p>
            <w:pPr>
              <w:jc w:val="right"/>
              <w:ind w:right="38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39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gridSpan w:val="2"/>
            <w:vMerge w:val="restart"/>
          </w:tcPr>
          <w:p>
            <w:pPr>
              <w:jc w:val="center"/>
              <w:ind w:right="320"/>
              <w:spacing w:after="0" w:line="148" w:lineRule="exact"/>
              <w:rPr>
                <w:sz w:val="20"/>
                <w:szCs w:val="20"/>
                <w:color w:val="auto"/>
              </w:rPr>
            </w:pPr>
            <w:r>
              <w:rPr>
                <w:rFonts w:ascii="Arial" w:cs="Arial" w:eastAsia="Arial" w:hAnsi="Arial"/>
                <w:sz w:val="14"/>
                <w:szCs w:val="14"/>
                <w:b w:val="1"/>
                <w:bCs w:val="1"/>
                <w:color w:val="auto"/>
                <w:w w:val="96"/>
              </w:rPr>
              <w:t>Other</w:t>
            </w:r>
          </w:p>
        </w:tc>
        <w:tc>
          <w:tcPr>
            <w:tcW w:w="1480" w:type="dxa"/>
            <w:vAlign w:val="bottom"/>
            <w:gridSpan w:val="6"/>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39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89"/>
              </w:rPr>
              <w:t>Paid-In</w:t>
            </w: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480" w:type="dxa"/>
            <w:vAlign w:val="bottom"/>
            <w:gridSpan w:val="6"/>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3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1"/>
                <w:szCs w:val="11"/>
                <w:color w:val="auto"/>
              </w:rPr>
            </w:pPr>
          </w:p>
        </w:tc>
        <w:tc>
          <w:tcPr>
            <w:tcW w:w="116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5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4"/>
              </w:rPr>
              <w:t>Noncontrolling</w:t>
            </w:r>
          </w:p>
        </w:tc>
        <w:tc>
          <w:tcPr>
            <w:tcW w:w="0" w:type="dxa"/>
            <w:vAlign w:val="bottom"/>
          </w:tcPr>
          <w:p>
            <w:pPr>
              <w:spacing w:after="0"/>
              <w:rPr>
                <w:sz w:val="1"/>
                <w:szCs w:val="1"/>
                <w:color w:val="auto"/>
              </w:rPr>
            </w:pPr>
          </w:p>
        </w:tc>
      </w:tr>
      <w:tr>
        <w:trPr>
          <w:trHeight w:val="161"/>
        </w:trPr>
        <w:tc>
          <w:tcPr>
            <w:tcW w:w="3920" w:type="dxa"/>
            <w:vAlign w:val="bottom"/>
          </w:tcPr>
          <w:p>
            <w:pPr>
              <w:spacing w:after="0"/>
              <w:rPr>
                <w:sz w:val="14"/>
                <w:szCs w:val="14"/>
                <w:color w:val="auto"/>
              </w:rPr>
            </w:pPr>
          </w:p>
        </w:tc>
        <w:tc>
          <w:tcPr>
            <w:tcW w:w="6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5"/>
              </w:rPr>
              <w:t>Total</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5"/>
              </w:rPr>
              <w:t>Amounts</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b w:val="1"/>
                <w:bCs w:val="1"/>
                <w:color w:val="auto"/>
                <w:w w:val="94"/>
              </w:rPr>
              <w:t>Capital</w:t>
            </w:r>
          </w:p>
        </w:tc>
        <w:tc>
          <w:tcPr>
            <w:tcW w:w="24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4"/>
              </w:rPr>
              <w:t>Income (Loss)</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Shares</w:t>
            </w:r>
          </w:p>
        </w:tc>
        <w:tc>
          <w:tcPr>
            <w:tcW w:w="10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Amounts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Interests</w:t>
            </w:r>
          </w:p>
        </w:tc>
        <w:tc>
          <w:tcPr>
            <w:tcW w:w="0" w:type="dxa"/>
            <w:vAlign w:val="bottom"/>
          </w:tcPr>
          <w:p>
            <w:pPr>
              <w:spacing w:after="0"/>
              <w:rPr>
                <w:sz w:val="1"/>
                <w:szCs w:val="1"/>
                <w:color w:val="auto"/>
              </w:rPr>
            </w:pPr>
          </w:p>
        </w:tc>
      </w:tr>
      <w:tr>
        <w:trPr>
          <w:trHeight w:val="142"/>
        </w:trPr>
        <w:tc>
          <w:tcPr>
            <w:tcW w:w="39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2014</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$5,889</w:t>
            </w: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630,282</w:t>
            </w:r>
          </w:p>
        </w:tc>
        <w:tc>
          <w:tcPr>
            <w:tcW w:w="2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2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4,585</w:t>
            </w: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6,888</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w:t>
            </w:r>
          </w:p>
        </w:tc>
        <w:tc>
          <w:tcPr>
            <w:tcW w:w="2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(171,745)</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(5,636)</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4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142</w:t>
            </w:r>
          </w:p>
        </w:tc>
        <w:tc>
          <w:tcPr>
            <w:tcW w:w="2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145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(loss), net of taxes</w:t>
            </w:r>
          </w:p>
        </w:tc>
        <w:tc>
          <w:tcPr>
            <w:tcW w:w="6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(57)</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(57)</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tcPr>
          <w:p>
            <w:pPr>
              <w:spacing w:after="0" w:line="149" w:lineRule="exact"/>
              <w:rPr>
                <w:sz w:val="20"/>
                <w:szCs w:val="20"/>
                <w:color w:val="auto"/>
              </w:rPr>
            </w:pPr>
            <w:r>
              <w:rPr>
                <w:rFonts w:ascii="Arial" w:cs="Arial" w:eastAsia="Arial" w:hAnsi="Arial"/>
                <w:sz w:val="14"/>
                <w:szCs w:val="14"/>
                <w:color w:val="auto"/>
              </w:rPr>
              <w:t>Cash dividends declared</w:t>
            </w:r>
          </w:p>
        </w:tc>
        <w:tc>
          <w:tcPr>
            <w:tcW w:w="6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(351)</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3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Equity-based compensation transactions, including dividend</w:t>
            </w: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9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equivalents, net of taxes</w:t>
            </w:r>
          </w:p>
        </w:tc>
        <w:tc>
          <w:tcPr>
            <w:tcW w:w="4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83</w:t>
            </w: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2,185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tcPr>
          <w:p>
            <w:pPr>
              <w:spacing w:after="0" w:line="149" w:lineRule="exact"/>
              <w:rPr>
                <w:sz w:val="20"/>
                <w:szCs w:val="20"/>
                <w:color w:val="auto"/>
              </w:rPr>
            </w:pPr>
            <w:r>
              <w:rPr>
                <w:rFonts w:ascii="Arial" w:cs="Arial" w:eastAsia="Arial" w:hAnsi="Arial"/>
                <w:sz w:val="14"/>
                <w:szCs w:val="14"/>
                <w:color w:val="auto"/>
              </w:rPr>
              <w:t>Common stock repurchases</w:t>
            </w:r>
          </w:p>
        </w:tc>
        <w:tc>
          <w:tcPr>
            <w:tcW w:w="6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(300)</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180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(8,882)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4"/>
                <w:szCs w:val="14"/>
                <w:color w:val="auto"/>
              </w:rPr>
              <w:t>Balance, June 30, 2015</w:t>
            </w: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20" w:type="dxa"/>
            <w:vAlign w:val="bottom"/>
            <w:vMerge w:val="continue"/>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83"/>
              </w:rPr>
              <w:t>$</w:t>
            </w:r>
            <w:r>
              <w:rPr>
                <w:rFonts w:ascii="Arial" w:cs="Arial" w:eastAsia="Arial" w:hAnsi="Arial"/>
                <w:sz w:val="14"/>
                <w:szCs w:val="14"/>
                <w:color w:val="auto"/>
                <w:w w:val="83"/>
              </w:rPr>
              <w:t>5,407</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630,282</w:t>
            </w:r>
          </w:p>
        </w:tc>
        <w:tc>
          <w:tcPr>
            <w:tcW w:w="240" w:type="dxa"/>
            <w:vAlign w:val="bottom"/>
          </w:tcPr>
          <w:p>
            <w:pPr>
              <w:spacing w:after="0"/>
              <w:rPr>
                <w:sz w:val="13"/>
                <w:szCs w:val="13"/>
                <w:color w:val="auto"/>
              </w:rPr>
            </w:pPr>
          </w:p>
        </w:tc>
        <w:tc>
          <w:tcPr>
            <w:tcW w:w="3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6</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4,778</w:t>
            </w:r>
          </w:p>
        </w:tc>
        <w:tc>
          <w:tcPr>
            <w:tcW w:w="38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6,680</w:t>
            </w:r>
          </w:p>
        </w:tc>
        <w:tc>
          <w:tcPr>
            <w:tcW w:w="160" w:type="dxa"/>
            <w:vAlign w:val="bottom"/>
          </w:tcPr>
          <w:p>
            <w:pPr>
              <w:spacing w:after="0"/>
              <w:rPr>
                <w:sz w:val="13"/>
                <w:szCs w:val="13"/>
                <w:color w:val="auto"/>
              </w:rPr>
            </w:pP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(34)</w:t>
            </w:r>
          </w:p>
        </w:tc>
        <w:tc>
          <w:tcPr>
            <w:tcW w:w="7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3"/>
              </w:rPr>
              <w:t>(178,439)</w:t>
            </w:r>
          </w:p>
        </w:tc>
        <w:tc>
          <w:tcPr>
            <w:tcW w:w="22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99"/>
              </w:rPr>
              <w:t>(6,044)</w:t>
            </w:r>
          </w:p>
        </w:tc>
        <w:tc>
          <w:tcPr>
            <w:tcW w:w="24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financial statements presented in this report represent the consolidation of Waste Management, Inc., a Delaware corporation; Waste Management’s wholly-owned and majority-owned subsidiaries; and certain variable interest entities for which Waste Management or its subsidiaries are the primary beneficiaries as described in Note 14. Waste Management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3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recycling and resource recovery, and disposal services. Through our subsidiaries, we are also a leading developer, operator and owner of landfill gas-to-energy facilities in the United States.</w:t>
      </w:r>
    </w:p>
    <w:p>
      <w:pPr>
        <w:spacing w:after="0" w:line="3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evaluate, oversee and manage the financial performance of our Solid Waste business subsidiaries through our 17 geographic Areas. We also provide additional services that are not managed through our Solid Waste business, which are presented in this report as “Other.” Additional information related to our segments can be found in Note 8.</w:t>
      </w:r>
    </w:p>
    <w:p>
      <w:pPr>
        <w:spacing w:after="0" w:line="59"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December 2014, we completed the sale of our Wheelabrator business, which provides waste-to-energy services and manages waste-to-energy facilities and independent power production plants. Refer to Note 9 for additional information related to our divestitures.</w:t>
      </w:r>
    </w:p>
    <w:p>
      <w:pPr>
        <w:spacing w:after="0" w:line="51"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Condensed Consolidated Financial Statements as of June 30, 2015 and for the three and six months ended June 30, 2015 and 2014 are unaudited. In the opinion of management, these financial statements include all adjustments, which, unless otherwise disclosed, are of a normal recurring nature, necessary for a fair presentation of the financial position, results of operations, comprehensive income, cash flows, and changes in equity for the periods presented. The results for interim periods are not necessarily indicative of results for the entire year. The financial statements presented herein should be read in connection with the financial statements included in our Annual Report on Form 10-K for the year ended December 31, 2014.</w:t>
      </w:r>
    </w:p>
    <w:p>
      <w:pPr>
        <w:spacing w:after="0" w:line="35"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Actual results could differ materially from the estimates and assumptions that we use in the preparation of our financial statements.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When necessary, reclassifications have been made to our prior period consolidated financial information in order to conform to the current year presentation.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Landfill and Environmental Remediation Liabilities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June 30, 2015</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December 31, 2014</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Environmental</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Environmental</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396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6"/>
              </w:rPr>
              <w:t>Landfill</w:t>
            </w:r>
          </w:p>
        </w:tc>
        <w:tc>
          <w:tcPr>
            <w:tcW w:w="54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Remediation</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3"/>
              </w:rPr>
              <w:t>Total</w:t>
            </w: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Landfill</w:t>
            </w:r>
          </w:p>
        </w:tc>
        <w:tc>
          <w:tcPr>
            <w:tcW w:w="540" w:type="dxa"/>
            <w:vAlign w:val="bottom"/>
          </w:tcPr>
          <w:p>
            <w:pPr>
              <w:spacing w:after="0"/>
              <w:rPr>
                <w:sz w:val="14"/>
                <w:szCs w:val="14"/>
                <w:color w:val="auto"/>
              </w:rPr>
            </w:pPr>
          </w:p>
        </w:tc>
        <w:tc>
          <w:tcPr>
            <w:tcW w:w="14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Remediation</w:t>
            </w:r>
          </w:p>
        </w:tc>
        <w:tc>
          <w:tcPr>
            <w:tcW w:w="10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r>
      <w:tr>
        <w:trPr>
          <w:trHeight w:val="210"/>
        </w:trPr>
        <w:tc>
          <w:tcPr>
            <w:tcW w:w="3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 (in accrued liabilities)</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5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5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Long-term</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1,403</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1,592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1,339</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1,531</w:t>
            </w:r>
          </w:p>
        </w:tc>
        <w:tc>
          <w:tcPr>
            <w:tcW w:w="100" w:type="dxa"/>
            <w:vAlign w:val="bottom"/>
          </w:tcPr>
          <w:p>
            <w:pPr>
              <w:spacing w:after="0"/>
              <w:rPr>
                <w:sz w:val="18"/>
                <w:szCs w:val="18"/>
                <w:color w:val="auto"/>
              </w:rPr>
            </w:pPr>
          </w:p>
        </w:tc>
      </w:tr>
      <w:tr>
        <w:trPr>
          <w:trHeight w:val="27"/>
        </w:trPr>
        <w:tc>
          <w:tcPr>
            <w:tcW w:w="3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1,505</w:t>
            </w:r>
          </w:p>
        </w:tc>
        <w:tc>
          <w:tcPr>
            <w:tcW w:w="8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1,736</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1,443</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1,678</w:t>
            </w:r>
          </w:p>
        </w:tc>
        <w:tc>
          <w:tcPr>
            <w:tcW w:w="100" w:type="dxa"/>
            <w:vAlign w:val="bottom"/>
            <w:shd w:val="clear" w:color="auto" w:fill="CCEEFF"/>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changes to landfill and environmental remediation liabilities for the year ended December 31, 2014 and the six months ended June 30, 2015 are reflected in the table below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8"/>
              </w:rPr>
              <w:t>Environmental</w:t>
            </w: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Landfill</w:t>
            </w:r>
          </w:p>
        </w:tc>
        <w:tc>
          <w:tcPr>
            <w:tcW w:w="420" w:type="dxa"/>
            <w:vAlign w:val="bottom"/>
          </w:tcPr>
          <w:p>
            <w:pPr>
              <w:spacing w:after="0"/>
              <w:rPr>
                <w:sz w:val="14"/>
                <w:szCs w:val="14"/>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Remediation</w:t>
            </w:r>
          </w:p>
        </w:tc>
      </w:tr>
      <w:tr>
        <w:trPr>
          <w:trHeight w:val="210"/>
        </w:trPr>
        <w:tc>
          <w:tcPr>
            <w:tcW w:w="460" w:type="dxa"/>
            <w:vAlign w:val="bottom"/>
          </w:tcPr>
          <w:p>
            <w:pPr>
              <w:spacing w:after="0"/>
              <w:rPr>
                <w:sz w:val="18"/>
                <w:szCs w:val="18"/>
                <w:color w:val="auto"/>
              </w:rPr>
            </w:pPr>
          </w:p>
        </w:tc>
        <w:tc>
          <w:tcPr>
            <w:tcW w:w="8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2013</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$1,421</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140" w:type="dxa"/>
            <w:vAlign w:val="bottom"/>
            <w:gridSpan w:val="2"/>
          </w:tcPr>
          <w:p>
            <w:pPr>
              <w:ind w:left="220"/>
              <w:spacing w:after="0"/>
              <w:rPr>
                <w:sz w:val="20"/>
                <w:szCs w:val="20"/>
                <w:color w:val="auto"/>
              </w:rPr>
            </w:pPr>
            <w:r>
              <w:rPr>
                <w:rFonts w:ascii="Arial" w:cs="Arial" w:eastAsia="Arial" w:hAnsi="Arial"/>
                <w:sz w:val="18"/>
                <w:szCs w:val="18"/>
                <w:color w:val="auto"/>
              </w:rPr>
              <w:t>Obligations incurred and capitalized</w:t>
            </w:r>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8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Obligations settled</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(69)</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460" w:type="dxa"/>
            <w:vAlign w:val="bottom"/>
          </w:tcPr>
          <w:p>
            <w:pPr>
              <w:spacing w:after="0"/>
              <w:rPr>
                <w:sz w:val="18"/>
                <w:szCs w:val="18"/>
                <w:color w:val="auto"/>
              </w:rPr>
            </w:pPr>
          </w:p>
        </w:tc>
        <w:tc>
          <w:tcPr>
            <w:tcW w:w="8140" w:type="dxa"/>
            <w:vAlign w:val="bottom"/>
            <w:gridSpan w:val="2"/>
          </w:tcPr>
          <w:p>
            <w:pPr>
              <w:ind w:left="220"/>
              <w:spacing w:after="0"/>
              <w:rPr>
                <w:sz w:val="20"/>
                <w:szCs w:val="20"/>
                <w:color w:val="auto"/>
              </w:rPr>
            </w:pPr>
            <w:r>
              <w:rPr>
                <w:rFonts w:ascii="Arial" w:cs="Arial" w:eastAsia="Arial" w:hAnsi="Arial"/>
                <w:sz w:val="18"/>
                <w:szCs w:val="18"/>
                <w:color w:val="auto"/>
              </w:rPr>
              <w:t>Interest accretion</w:t>
            </w:r>
          </w:p>
        </w:tc>
        <w:tc>
          <w:tcPr>
            <w:tcW w:w="500" w:type="dxa"/>
            <w:vAlign w:val="bottom"/>
          </w:tcPr>
          <w:p>
            <w:pPr>
              <w:jc w:val="right"/>
              <w:spacing w:after="0"/>
              <w:rPr>
                <w:sz w:val="20"/>
                <w:szCs w:val="20"/>
                <w:color w:val="auto"/>
              </w:rPr>
            </w:pPr>
            <w:r>
              <w:rPr>
                <w:rFonts w:ascii="Arial" w:cs="Arial" w:eastAsia="Arial" w:hAnsi="Arial"/>
                <w:sz w:val="18"/>
                <w:szCs w:val="18"/>
                <w:color w:val="auto"/>
              </w:rPr>
              <w:t>88</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460" w:type="dxa"/>
            <w:vAlign w:val="bottom"/>
          </w:tcPr>
          <w:p>
            <w:pPr>
              <w:spacing w:after="0"/>
              <w:rPr>
                <w:sz w:val="18"/>
                <w:szCs w:val="18"/>
                <w:color w:val="auto"/>
              </w:rPr>
            </w:pPr>
          </w:p>
        </w:tc>
        <w:tc>
          <w:tcPr>
            <w:tcW w:w="8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Revisions in estimates and interest rate assumptions</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23"/>
        </w:trPr>
        <w:tc>
          <w:tcPr>
            <w:tcW w:w="460" w:type="dxa"/>
            <w:vAlign w:val="bottom"/>
          </w:tcPr>
          <w:p>
            <w:pPr>
              <w:spacing w:after="0"/>
              <w:rPr>
                <w:sz w:val="19"/>
                <w:szCs w:val="19"/>
                <w:color w:val="auto"/>
              </w:rPr>
            </w:pPr>
          </w:p>
        </w:tc>
        <w:tc>
          <w:tcPr>
            <w:tcW w:w="8140" w:type="dxa"/>
            <w:vAlign w:val="bottom"/>
            <w:gridSpan w:val="2"/>
          </w:tcPr>
          <w:p>
            <w:pPr>
              <w:ind w:left="220"/>
              <w:spacing w:after="0"/>
              <w:rPr>
                <w:sz w:val="20"/>
                <w:szCs w:val="20"/>
                <w:color w:val="auto"/>
              </w:rPr>
            </w:pPr>
            <w:r>
              <w:rPr>
                <w:rFonts w:ascii="Arial" w:cs="Arial" w:eastAsia="Arial" w:hAnsi="Arial"/>
                <w:sz w:val="18"/>
                <w:szCs w:val="18"/>
                <w:color w:val="auto"/>
              </w:rPr>
              <w:t>Acquisitions, divestitures and other adjustments(a)</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460" w:type="dxa"/>
            <w:vAlign w:val="bottom"/>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140" w:type="dxa"/>
            <w:vAlign w:val="bottom"/>
            <w:gridSpan w:val="2"/>
          </w:tcPr>
          <w:p>
            <w:pPr>
              <w:ind w:left="220"/>
              <w:spacing w:after="0"/>
              <w:rPr>
                <w:sz w:val="20"/>
                <w:szCs w:val="20"/>
                <w:color w:val="auto"/>
              </w:rPr>
            </w:pPr>
            <w:r>
              <w:rPr>
                <w:rFonts w:ascii="Arial" w:cs="Arial" w:eastAsia="Arial" w:hAnsi="Arial"/>
                <w:sz w:val="18"/>
                <w:szCs w:val="18"/>
                <w:color w:val="auto"/>
              </w:rPr>
              <w:t>Obligations incurred and capitalized</w:t>
            </w: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8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Obligations settled</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460" w:type="dxa"/>
            <w:vAlign w:val="bottom"/>
          </w:tcPr>
          <w:p>
            <w:pPr>
              <w:spacing w:after="0"/>
              <w:rPr>
                <w:sz w:val="18"/>
                <w:szCs w:val="18"/>
                <w:color w:val="auto"/>
              </w:rPr>
            </w:pPr>
          </w:p>
        </w:tc>
        <w:tc>
          <w:tcPr>
            <w:tcW w:w="8140" w:type="dxa"/>
            <w:vAlign w:val="bottom"/>
            <w:gridSpan w:val="2"/>
          </w:tcPr>
          <w:p>
            <w:pPr>
              <w:ind w:left="220"/>
              <w:spacing w:after="0"/>
              <w:rPr>
                <w:sz w:val="20"/>
                <w:szCs w:val="20"/>
                <w:color w:val="auto"/>
              </w:rPr>
            </w:pPr>
            <w:r>
              <w:rPr>
                <w:rFonts w:ascii="Arial" w:cs="Arial" w:eastAsia="Arial" w:hAnsi="Arial"/>
                <w:sz w:val="18"/>
                <w:szCs w:val="18"/>
                <w:color w:val="auto"/>
              </w:rPr>
              <w:t>Interest accretion</w:t>
            </w:r>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460" w:type="dxa"/>
            <w:vAlign w:val="bottom"/>
          </w:tcPr>
          <w:p>
            <w:pPr>
              <w:spacing w:after="0"/>
              <w:rPr>
                <w:sz w:val="18"/>
                <w:szCs w:val="18"/>
                <w:color w:val="auto"/>
              </w:rPr>
            </w:pPr>
          </w:p>
        </w:tc>
        <w:tc>
          <w:tcPr>
            <w:tcW w:w="8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Revisions in estimates and interest rate assumptions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23"/>
        </w:trPr>
        <w:tc>
          <w:tcPr>
            <w:tcW w:w="460" w:type="dxa"/>
            <w:vAlign w:val="bottom"/>
          </w:tcPr>
          <w:p>
            <w:pPr>
              <w:spacing w:after="0"/>
              <w:rPr>
                <w:sz w:val="19"/>
                <w:szCs w:val="19"/>
                <w:color w:val="auto"/>
              </w:rPr>
            </w:pPr>
          </w:p>
        </w:tc>
        <w:tc>
          <w:tcPr>
            <w:tcW w:w="8140" w:type="dxa"/>
            <w:vAlign w:val="bottom"/>
            <w:gridSpan w:val="2"/>
          </w:tcPr>
          <w:p>
            <w:pPr>
              <w:ind w:left="220"/>
              <w:spacing w:after="0"/>
              <w:rPr>
                <w:sz w:val="20"/>
                <w:szCs w:val="20"/>
                <w:color w:val="auto"/>
              </w:rPr>
            </w:pPr>
            <w:r>
              <w:rPr>
                <w:rFonts w:ascii="Arial" w:cs="Arial" w:eastAsia="Arial" w:hAnsi="Arial"/>
                <w:sz w:val="18"/>
                <w:szCs w:val="18"/>
                <w:color w:val="auto"/>
              </w:rPr>
              <w:t>Acquisitions, divestitures and other adjustments(b)</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1,505</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7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0" w:hanging="452"/>
        <w:spacing w:after="0" w:line="25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amounts reported for our 2014 landfill liabilities include reductions of $25 million for divestitures, including the divestiture of our Wheelabrator business. See Note 9 for discussion of our divestitures.</w:t>
      </w:r>
    </w:p>
    <w:p>
      <w:pPr>
        <w:ind w:left="460" w:hanging="452"/>
        <w:spacing w:after="0" w:line="261"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amounts reported for our 2015 landfill liabilities include an increase of $18 million associated with the acquisition of Deffenbaugh Disposal, Inc. (“Deffenbaugh”). See Note 9 for discussion of our acquisition.</w:t>
      </w:r>
    </w:p>
    <w:p>
      <w:pPr>
        <w:spacing w:after="0" w:line="5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 several of our landfills, we provide financial assurance by depositing cash into restricted trust funds or escrow accounts for purposes of settling final capping, closure, post-closure and environmental remediation obligations. Generally, these trust funds are established to comply with statutory requirements and operating agreements. See Note 14 for additional information related to these trusts.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 summarizes the major components of debt at each balance sheet date (in millions) and provides the maturities and interest rate ranges of each major category as of June 30, 2015:</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5"/>
              </w:rPr>
              <w:t>June 30,</w:t>
            </w:r>
          </w:p>
        </w:tc>
        <w:tc>
          <w:tcPr>
            <w:tcW w:w="7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8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2015</w:t>
            </w:r>
          </w:p>
        </w:tc>
        <w:tc>
          <w:tcPr>
            <w:tcW w:w="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revolving credit facility, maturing July 2018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Letter of credit facilities, maturing through December 2018</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8"/>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w w:val="99"/>
              </w:rPr>
              <w:t>Canadian credit facility and term loan, maturing November 2017 (weighted average effective interest rate</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 2.3% at June 30, 2015 and 2.6% at December 31, 2014)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r>
      <w:tr>
        <w:trPr>
          <w:trHeight w:val="208"/>
        </w:trPr>
        <w:tc>
          <w:tcPr>
            <w:tcW w:w="8320" w:type="dxa"/>
            <w:vAlign w:val="bottom"/>
          </w:tcPr>
          <w:p>
            <w:pPr>
              <w:spacing w:after="0"/>
              <w:rPr>
                <w:sz w:val="20"/>
                <w:szCs w:val="20"/>
                <w:color w:val="auto"/>
              </w:rPr>
            </w:pPr>
            <w:r>
              <w:rPr>
                <w:rFonts w:ascii="Arial" w:cs="Arial" w:eastAsia="Arial" w:hAnsi="Arial"/>
                <w:sz w:val="18"/>
                <w:szCs w:val="18"/>
                <w:color w:val="auto"/>
                <w:w w:val="96"/>
              </w:rPr>
              <w:t>Senior notes maturing through 2045, interest rates ranging from 2.60% to 7.75% (weighted average interest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8320" w:type="dxa"/>
            <w:vAlign w:val="bottom"/>
          </w:tcPr>
          <w:p>
            <w:pPr>
              <w:ind w:left="220"/>
              <w:spacing w:after="0"/>
              <w:rPr>
                <w:sz w:val="20"/>
                <w:szCs w:val="20"/>
                <w:color w:val="auto"/>
              </w:rPr>
            </w:pPr>
            <w:r>
              <w:rPr>
                <w:rFonts w:ascii="Arial" w:cs="Arial" w:eastAsia="Arial" w:hAnsi="Arial"/>
                <w:sz w:val="18"/>
                <w:szCs w:val="18"/>
                <w:color w:val="auto"/>
              </w:rPr>
              <w:t>rate of 4.7% at June 30, 2015 and 5.7% at December 31, 2014)</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6,085</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6,273</w:t>
            </w:r>
          </w:p>
        </w:tc>
        <w:tc>
          <w:tcPr>
            <w:tcW w:w="100" w:type="dxa"/>
            <w:vAlign w:val="bottom"/>
          </w:tcPr>
          <w:p>
            <w:pPr>
              <w:spacing w:after="0"/>
              <w:rPr>
                <w:sz w:val="19"/>
                <w:szCs w:val="19"/>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Tax-exempt bonds, maturing through 2045, fixed and variable interest rates ranging from 0.08% to 5.7%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interest rate of 2.1% at June 30, 2015 and 2.2% at December 31, 2014)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2,491</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100" w:type="dxa"/>
            <w:vAlign w:val="bottom"/>
            <w:shd w:val="clear" w:color="auto" w:fill="CCEEFF"/>
          </w:tcPr>
          <w:p>
            <w:pPr>
              <w:spacing w:after="0"/>
              <w:rPr>
                <w:sz w:val="19"/>
                <w:szCs w:val="19"/>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Capital leases and other, maturing through 2055, interest rates up to 12%</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r>
      <w:tr>
        <w:trPr>
          <w:trHeight w:val="216"/>
        </w:trPr>
        <w:tc>
          <w:tcPr>
            <w:tcW w:w="8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9,106</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9,435</w:t>
            </w:r>
          </w:p>
        </w:tc>
        <w:tc>
          <w:tcPr>
            <w:tcW w:w="100" w:type="dxa"/>
            <w:vAlign w:val="bottom"/>
            <w:shd w:val="clear" w:color="auto" w:fill="CCEEFF"/>
          </w:tcPr>
          <w:p>
            <w:pPr>
              <w:spacing w:after="0"/>
              <w:rPr>
                <w:sz w:val="18"/>
                <w:szCs w:val="18"/>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19"/>
                <w:szCs w:val="19"/>
                <w:color w:val="auto"/>
              </w:rPr>
            </w:pPr>
          </w:p>
        </w:tc>
      </w:tr>
      <w:tr>
        <w:trPr>
          <w:trHeight w:val="216"/>
        </w:trPr>
        <w:tc>
          <w:tcPr>
            <w:tcW w:w="8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8,910</w:t>
            </w:r>
          </w:p>
        </w:tc>
        <w:tc>
          <w:tcPr>
            <w:tcW w:w="9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8,345</w:t>
            </w:r>
          </w:p>
        </w:tc>
        <w:tc>
          <w:tcPr>
            <w:tcW w:w="100" w:type="dxa"/>
            <w:vAlign w:val="bottom"/>
            <w:shd w:val="clear" w:color="auto" w:fill="CCEEFF"/>
          </w:tcPr>
          <w:p>
            <w:pPr>
              <w:spacing w:after="0"/>
              <w:rPr>
                <w:sz w:val="18"/>
                <w:szCs w:val="18"/>
                <w:color w:val="auto"/>
              </w:rPr>
            </w:pPr>
          </w:p>
        </w:tc>
      </w:tr>
      <w:tr>
        <w:trPr>
          <w:trHeight w:val="20"/>
        </w:trPr>
        <w:tc>
          <w:tcPr>
            <w:tcW w:w="8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Classification</w:t>
      </w:r>
    </w:p>
    <w:p>
      <w:pPr>
        <w:spacing w:after="0" w:line="9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As of June 30, 2015, our current debt balances include $196 million of debt with scheduled maturities within the next 12 months, including $112 million of tax-exempt bonds.</w:t>
      </w:r>
    </w:p>
    <w:p>
      <w:pPr>
        <w:spacing w:after="0" w:line="5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As of June 30, 2015, we also have $506 million of tax-exempt bonds with term interest rate periods that expire within 12 months and an additional $491 million of variable-rate tax-exempt bonds that are supported by letters of credit. The interest rates on these bonds are reset on either a daily or weekly basis through a remarketing process. All recent remarketings have successfully placed Company bonds with investors at reasonable, market-driven rates and we currently expect future remarketings to be successful. However, if the remarketing agent is unable to remarket our bonds, the remarketing agent can put the bonds to us. In the event of a failed remarketing, we have the intent and ability to use availability under our long-term U.S. revolving credit facility (“$2.25 billion revolving credit facility”) to fund the debt obligations until they can be remarketed successfully. Accordingly, we classified these borrowings as long-term in our Condensed Consolidated Balance Sheet at June 30, 2015.</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Revolving Credit and Letter of Credit Facilities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July 2015, we amended and restated our $2.25 billion revolving credit facility, extending the term through July 2020.</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As of June 30, 2015, we had an aggregate committed capacity of $2.4 billion for letters of credit under various U.S. credit facilities. Our $2.25 billion revolving credit facility is our primary source of letter of credit capacity. Our remaining committed letter of credit capacity is provided under facilities with terms ending through December 2018. As of June 30, 2015, we had an aggregate of $1.0 billion of letters of credit outstanding under various credit facilities. As of June 30, 2015, we had no outstanding borrowings under our $2.25 billion revolving credit facility and $830 million of letters of credit issued and supported by the facility, leaving $1,420 million of unused and available capacity.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also have a Canadian credit agreement that matures in November 2017 and provides for C$150 million of revolving credit capacity. We have the ability to issue up to C$50 million of letters of credit under the Canadian revolving credit facility, which if utilized, reduces the amount of credit capacity available for borrowings. As of June 30, 2015, we had no letters of credit or borrowings outstanding under the credit facility.</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Borrowings and Repayments</w:t>
      </w:r>
    </w:p>
    <w:p>
      <w:pPr>
        <w:spacing w:after="0" w:line="90" w:lineRule="exact"/>
        <w:rPr>
          <w:sz w:val="20"/>
          <w:szCs w:val="20"/>
          <w:color w:val="auto"/>
        </w:rPr>
      </w:pPr>
    </w:p>
    <w:p>
      <w:pPr>
        <w:jc w:val="both"/>
        <w:ind w:right="20" w:firstLine="456"/>
        <w:spacing w:after="0" w:line="357" w:lineRule="auto"/>
        <w:rPr>
          <w:sz w:val="20"/>
          <w:szCs w:val="20"/>
          <w:color w:val="auto"/>
        </w:rPr>
      </w:pPr>
      <w:r>
        <w:rPr>
          <w:rFonts w:ascii="Arial" w:cs="Arial" w:eastAsia="Arial" w:hAnsi="Arial"/>
          <w:sz w:val="15"/>
          <w:szCs w:val="15"/>
          <w:i w:val="1"/>
          <w:iCs w:val="1"/>
          <w:color w:val="auto"/>
        </w:rPr>
        <w:t xml:space="preserve">Canadian Term Loan </w:t>
      </w:r>
      <w:r>
        <w:rPr>
          <w:rFonts w:ascii="Arial" w:cs="Arial" w:eastAsia="Arial" w:hAnsi="Arial"/>
          <w:sz w:val="15"/>
          <w:szCs w:val="15"/>
          <w:color w:val="auto"/>
        </w:rPr>
        <w:t>— We repaid C$68 million, or $54 million, of net advances under our Canadian term loan during the six months ended June 30, 2015</w:t>
      </w:r>
      <w:r>
        <w:rPr>
          <w:rFonts w:ascii="Arial" w:cs="Arial" w:eastAsia="Arial" w:hAnsi="Arial"/>
          <w:sz w:val="15"/>
          <w:szCs w:val="15"/>
          <w:i w:val="1"/>
          <w:iCs w:val="1"/>
          <w:color w:val="auto"/>
        </w:rPr>
        <w:t xml:space="preserve"> </w:t>
      </w:r>
      <w:r>
        <w:rPr>
          <w:rFonts w:ascii="Arial" w:cs="Arial" w:eastAsia="Arial" w:hAnsi="Arial"/>
          <w:sz w:val="15"/>
          <w:szCs w:val="15"/>
          <w:color w:val="auto"/>
        </w:rPr>
        <w:t>with available cash. The remaining decline in the carrying value of borrowings outstanding under our Canadian term loan is due to foreign currency translation.</w:t>
      </w: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 During the first half of 2015, we refinanced a significant portion of our high-coupon senior notes. Details related to each component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refinancing follow:</w:t>
      </w:r>
    </w:p>
    <w:p>
      <w:pPr>
        <w:spacing w:after="0" w:line="51" w:lineRule="exact"/>
        <w:rPr>
          <w:sz w:val="20"/>
          <w:szCs w:val="20"/>
          <w:color w:val="auto"/>
        </w:rPr>
      </w:pPr>
    </w:p>
    <w:p>
      <w:pPr>
        <w:jc w:val="both"/>
        <w:ind w:left="920"/>
        <w:spacing w:after="0" w:line="298" w:lineRule="auto"/>
        <w:rPr>
          <w:sz w:val="20"/>
          <w:szCs w:val="20"/>
          <w:color w:val="auto"/>
        </w:rPr>
      </w:pPr>
      <w:r>
        <w:rPr>
          <w:rFonts w:ascii="Arial" w:cs="Arial" w:eastAsia="Arial" w:hAnsi="Arial"/>
          <w:sz w:val="16"/>
          <w:szCs w:val="16"/>
          <w:i w:val="1"/>
          <w:iCs w:val="1"/>
          <w:color w:val="auto"/>
        </w:rPr>
        <w:t xml:space="preserve">Make-Whole Redemption — </w:t>
      </w:r>
      <w:r>
        <w:rPr>
          <w:rFonts w:ascii="Arial" w:cs="Arial" w:eastAsia="Arial" w:hAnsi="Arial"/>
          <w:sz w:val="16"/>
          <w:szCs w:val="16"/>
          <w:color w:val="auto"/>
        </w:rPr>
        <w:t>In January 2015, we repaid $947 million of WM senior notes, which comprised all of the outstanding senior notes</w:t>
      </w:r>
      <w:r>
        <w:rPr>
          <w:rFonts w:ascii="Arial" w:cs="Arial" w:eastAsia="Arial" w:hAnsi="Arial"/>
          <w:sz w:val="16"/>
          <w:szCs w:val="16"/>
          <w:i w:val="1"/>
          <w:iCs w:val="1"/>
          <w:color w:val="auto"/>
        </w:rPr>
        <w:t xml:space="preserve"> </w:t>
      </w:r>
      <w:r>
        <w:rPr>
          <w:rFonts w:ascii="Arial" w:cs="Arial" w:eastAsia="Arial" w:hAnsi="Arial"/>
          <w:sz w:val="16"/>
          <w:szCs w:val="16"/>
          <w:color w:val="auto"/>
        </w:rPr>
        <w:t>maturing in 2015, 2017 and 2019. The repayment of these debt balances was achieved by exercising the optional redemption provisions of the notes, which required that we pay the outstanding principal plus a make-whole premium. “Loss on early extinguishment of debt” in our Condensed Consolidated Statement of Operations includes charges of $122 million related to these redemptions for the six months ended June 30, 2015.</w:t>
      </w:r>
    </w:p>
    <w:p>
      <w:pPr>
        <w:spacing w:after="0" w:line="32" w:lineRule="exact"/>
        <w:rPr>
          <w:sz w:val="20"/>
          <w:szCs w:val="20"/>
          <w:color w:val="auto"/>
        </w:rPr>
      </w:pPr>
    </w:p>
    <w:p>
      <w:pPr>
        <w:jc w:val="both"/>
        <w:ind w:left="920"/>
        <w:spacing w:after="0" w:line="332" w:lineRule="auto"/>
        <w:rPr>
          <w:sz w:val="20"/>
          <w:szCs w:val="20"/>
          <w:color w:val="auto"/>
        </w:rPr>
      </w:pPr>
      <w:r>
        <w:rPr>
          <w:rFonts w:ascii="Arial" w:cs="Arial" w:eastAsia="Arial" w:hAnsi="Arial"/>
          <w:sz w:val="16"/>
          <w:szCs w:val="16"/>
          <w:i w:val="1"/>
          <w:iCs w:val="1"/>
          <w:color w:val="auto"/>
        </w:rPr>
        <w:t xml:space="preserve">Tender Offers — </w:t>
      </w:r>
      <w:r>
        <w:rPr>
          <w:rFonts w:ascii="Arial" w:cs="Arial" w:eastAsia="Arial" w:hAnsi="Arial"/>
          <w:sz w:val="16"/>
          <w:szCs w:val="16"/>
          <w:color w:val="auto"/>
        </w:rPr>
        <w:t>During the six months ended June 30, 2015, WM and WM Holdings made cash tender offers to purchase any and all of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senior notes. The series of notes targeted in the tenders and the amounts tendered of each series are summarized below:</w:t>
      </w:r>
    </w:p>
    <w:p>
      <w:pPr>
        <w:spacing w:after="0" w:line="4" w:lineRule="exact"/>
        <w:rPr>
          <w:sz w:val="20"/>
          <w:szCs w:val="20"/>
          <w:color w:val="auto"/>
        </w:rPr>
      </w:pPr>
    </w:p>
    <w:p>
      <w:pPr>
        <w:ind w:left="1920" w:hanging="318"/>
        <w:spacing w:after="0"/>
        <w:tabs>
          <w:tab w:leader="none" w:pos="1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$449 million of WM Holdings 7.10% senior notes due 2026, of which $145 million were tendered;</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$577 million of WM 7.00% senior notes due 2028, of which $182 million were tendered;</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$223 million of WM 7.375% senior notes due 2029, of which $84 million were tendered;</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$496 million of WM 7.75% senior notes due 2032, of which $286 million were tendered; and</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$600 million of WM 6.125% senior notes due 2039, of which $326 million were tendered.</w:t>
      </w:r>
    </w:p>
    <w:p>
      <w:pPr>
        <w:spacing w:after="0" w:line="90" w:lineRule="exact"/>
        <w:rPr>
          <w:sz w:val="20"/>
          <w:szCs w:val="20"/>
          <w:color w:val="auto"/>
        </w:rPr>
      </w:pPr>
    </w:p>
    <w:p>
      <w:pPr>
        <w:ind w:left="920" w:right="20"/>
        <w:spacing w:after="0" w:line="268" w:lineRule="auto"/>
        <w:rPr>
          <w:sz w:val="20"/>
          <w:szCs w:val="20"/>
          <w:color w:val="auto"/>
        </w:rPr>
      </w:pPr>
      <w:r>
        <w:rPr>
          <w:rFonts w:ascii="Arial" w:cs="Arial" w:eastAsia="Arial" w:hAnsi="Arial"/>
          <w:sz w:val="18"/>
          <w:szCs w:val="18"/>
          <w:color w:val="auto"/>
        </w:rPr>
        <w:t>“Loss on early extinguishment of debt” in our Condensed Consolidated Statement of Operations includes charges of $430 million related to these tender offers for the six months ended June 30, 2015.</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 xml:space="preserve">New Issuance — </w:t>
      </w:r>
      <w:r>
        <w:rPr>
          <w:rFonts w:ascii="Arial" w:cs="Arial" w:eastAsia="Arial" w:hAnsi="Arial"/>
          <w:sz w:val="18"/>
          <w:szCs w:val="18"/>
          <w:color w:val="auto"/>
        </w:rPr>
        <w:t>In February 2015, WM issued $1.8 billion of new senior notes consisting of:</w:t>
      </w:r>
    </w:p>
    <w:p>
      <w:pPr>
        <w:spacing w:after="0" w:line="90" w:lineRule="exact"/>
        <w:rPr>
          <w:sz w:val="20"/>
          <w:szCs w:val="20"/>
          <w:color w:val="auto"/>
        </w:rPr>
      </w:pPr>
    </w:p>
    <w:p>
      <w:pPr>
        <w:ind w:left="1920" w:hanging="318"/>
        <w:spacing w:after="0"/>
        <w:tabs>
          <w:tab w:leader="none" w:pos="1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$600 million of 3.125% senior notes due March 1, 2025;</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$450 million of 3.90% senior notes due March 1, 2035; and</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$750 million of 4.10% senior notes due March 1, 2045.</w:t>
      </w:r>
    </w:p>
    <w:p>
      <w:pPr>
        <w:spacing w:after="0" w:line="90"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The net proceeds from these debt issuances were $1.78 billion. The Company used the proceeds from the 2025 notes for general corporate purposes. The proceeds from the 2035 notes and the 2045 notes were used to pay the purchase price and accrued interest for the notes redeemed through the tender offer discussed above and for general corporate purposes.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Tax-Exempt Bonds — </w:t>
      </w:r>
      <w:r>
        <w:rPr>
          <w:rFonts w:ascii="Arial" w:cs="Arial" w:eastAsia="Arial" w:hAnsi="Arial"/>
          <w:sz w:val="18"/>
          <w:szCs w:val="18"/>
          <w:color w:val="auto"/>
        </w:rPr>
        <w:t>During the six months ended June 30, 2015, we repaid $50 million of tax-exempt bonds with available cash.</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240" w:right="7480" w:hanging="232"/>
        <w:spacing w:after="0" w:line="347" w:lineRule="auto"/>
        <w:tabs>
          <w:tab w:leader="none" w:pos="458"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Derivative Instruments and Hedging Activities </w:t>
      </w:r>
      <w:r>
        <w:rPr>
          <w:rFonts w:ascii="Arial" w:cs="Arial" w:eastAsia="Arial" w:hAnsi="Arial"/>
          <w:sz w:val="18"/>
          <w:szCs w:val="18"/>
          <w:b w:val="1"/>
          <w:bCs w:val="1"/>
          <w:i w:val="1"/>
          <w:iCs w:val="1"/>
          <w:color w:val="auto"/>
        </w:rPr>
        <w:t>Cash Flow Hedges</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Derivatives</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use foreign currency exchange rate derivatives to hedge our exposure to fluctuations in exchange rates for anticipated intercompany cash transactions between WM Holdings and its Canadian subsidiaries. As of June 30, 2015, we had foreign exchange cross currency swaps outstanding for all of the anticipated cash flows associated with intercompany loans from WM Holdings to its wholly-owned Canadian subsidiaries. Our Condensed Consolidated Balance Sheets include $50 million and $28 million in long-term other assets at June 30, 2015 and December 31, 2014, respectively, and $1 million in current accrued liabilities at June 30, 2015, for these foreign exchange cross currency swaps. We designated these cross currency swaps as cash flow hedges. The hedged cash flows as of June 30, 2015 include C$370 million of total notional value. The scheduled principal payments of the loan and the related swaps are as follows: C$70 million due on October 31, 2016, C$150 million due on October 31, 2017 and C$150 million due on October 31, 2018.</w:t>
      </w:r>
    </w:p>
    <w:p>
      <w:pPr>
        <w:spacing w:after="0" w:line="3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Gains or losses resulting from the remeasurement of the underlying non-functional currency intercompany loan are recognized in current earnings in the same financial statement line item as offsetting gains or losses on the related cross currency swaps. We have not offset fair value amounts recognized for these derivative instruments. For information related to the inputs used to measure these derivative assets and liabilities at fair value, refer to Note 13.</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Forward-Starting Interest Rate Swaps</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During the first quarter of 2014, forward-starting interest rate swaps with a notional value of $175 million matured and we paid cash of $36 million to settle the associated liabilities. These swaps were designated as cash flow hedges and had been executed in prior years to hedge the risk of changes in semi-annual interest payments due to fluctuations in the forward ten-year LIBOR swap rate for a debt issuance initially forecasted for March 2014, that occurred in May 2014. Accordingly, the loss associated with the matured forward-starting swaps was deferred as a component of “Accumulated other comprehensive income” and is being amortized to interest expense over the debt term of the May 2014 issuance. Ineffectiveness associated with the change in timing of the debt issuance was not material.</w:t>
      </w:r>
    </w:p>
    <w:p>
      <w:pPr>
        <w:spacing w:after="0" w:line="6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At June 30, 2015 and December 31, 2014, our “Accumulated other comprehensive income” included $47 million and $50 million, respectively, of after-tax deferred losses related to all previously terminated swaps, which are being amortized as an increase to interest expense over the ten-year term of the related senior note issuances using the effective interest method. As of June 30, 2015, $11 million of the deferred losses for these previously terminated swaps (on a pre-tax basis) is scheduled to be reclassified as an increase to interest expense over the next 12 months.</w:t>
      </w:r>
    </w:p>
    <w:p>
      <w:pPr>
        <w:spacing w:after="0" w:line="3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As discussed in Note 3, during the first half of 2015, the Company elected to redeem certain senior notes. As a result of this redemption, $3 million of deferred losses for previously terminated swaps was recorded as interest expense in the Condensed Consolidated Statement of Operations.</w:t>
      </w:r>
    </w:p>
    <w:p>
      <w:pPr>
        <w:spacing w:after="0" w:line="4"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There was no significant ineffectiveness associated with our cash flow hedges during the three and six months ended June 30, 2015 or 2014. Refer to Note 11 for information regarding the impacts of our cash flow derivatives on our comprehensive income and results of operations.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did not have any interest rate swaps outstanding during the reported periods. However, in prior years, we entered into interest rate swaps to maintain a portion of our debt obligations at variable market interest rates and designated these interest rate swaps as fair value hedges of our fixed-rate senior notes. Fair value hedge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accounting for interest rate swap contracts increased the carrying value of our debt instruments by $27 million and $45 million as of June 30, 2015 and December 31, 2014, respectively. The significant decrease in the fair value adjustment during six months ended June 30, 2015 is primarily due to accounting for the impact of our senior note redemption discussed in Note 3. During the six months ended June 30, 2015, the redemption of certain senior notes prior to their scheduled maturity dates resulted in the write-off of related fair value adjustments for terminated interest rate swaps as a $14 million credit to “Loss on early extinguishment of debt” within our Condensed Consolidated Statement of Operations. The remaining fair value adjustments to long-term debt are being amortized as a reduction to interest expense using the effective interest method over the remaining term of the related senior notes, which extend through 2028. We recognized benefits to interest expense associated with the amortization of our terminated interest rate swaps of $2 million and $4 million for the three and six months ended June 30, 2015, respectively, and $3 million and $8 million for the three and six months ended June 30, 2014, respectively.</w:t>
      </w:r>
    </w:p>
    <w:p>
      <w:pPr>
        <w:spacing w:after="0" w:line="153"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Our effective income tax rate for the three and six months ended June 30, 2015 was 29.6% and 14.5%, respectively, compared with 44.7% and 37.8%, for the comparable prior year periods. We evaluate our effective income tax rate at each interim period and adjust it as facts and circumstances warrant. The difference between federal income taxes computed at the federal statutory rate and reported income taxes for the three and six months ended June 30, 2015 was primarily due to the favorable impact of federal tax credits, revaluation of our deferred taxes and utilization of state net operating losses resulting from changes in state law and the tax implications of nontaxable post-closing adjustments related to the divestiture of our Wheelabrator business offset, in part, by the unfavorable impact of state and local income taxes. These recurring items had a more pronounced net reduction on our current year effective tax rate than in 2014 due to the impact of the loss on early extinguishment of debt on our pre-tax income for the six months ended June 30, 2015.</w:t>
      </w:r>
    </w:p>
    <w:p>
      <w:pPr>
        <w:spacing w:after="0" w:line="3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difference between federal income taxes computed at the federal statutory rate and reported income taxes for the three and six months ended June 30, 2014 was primarily due to the divestiture of our Puerto Rico operations and certain other collection and landfill assets. We recognized a $25 million loss on the divestment as discussed in Notes 9 and 10. No tax benefit was recorded in connection with the loss. In addition, we incurred $32 million of tax charges to repatriate accumulated cash prior to the divestment. Also contributing to the difference for the three and six months ended June 30, 2014 was the unfavorable impact of state and local income taxes offset, in part, by the favorable impact of federal tax credits and the utilization of capital loss carryovers. The six-month period also benefited from the revaluation of our deferred taxes and utilization of state net operating losses resulting from a change in state law.</w:t>
      </w:r>
    </w:p>
    <w:p>
      <w:pPr>
        <w:spacing w:after="0" w:line="3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Investment in Refined Coal Facility </w:t>
      </w:r>
      <w:r>
        <w:rPr>
          <w:rFonts w:ascii="Arial" w:cs="Arial" w:eastAsia="Arial" w:hAnsi="Arial"/>
          <w:sz w:val="18"/>
          <w:szCs w:val="18"/>
          <w:color w:val="auto"/>
        </w:rPr>
        <w:t>— In 2011, we acquired a noncontrolling interest in a limited liability company established to invest in and manage a</w:t>
      </w:r>
      <w:r>
        <w:rPr>
          <w:rFonts w:ascii="Arial" w:cs="Arial" w:eastAsia="Arial" w:hAnsi="Arial"/>
          <w:sz w:val="18"/>
          <w:szCs w:val="18"/>
          <w:i w:val="1"/>
          <w:iCs w:val="1"/>
          <w:color w:val="auto"/>
        </w:rPr>
        <w:t xml:space="preserve"> </w:t>
      </w:r>
      <w:r>
        <w:rPr>
          <w:rFonts w:ascii="Arial" w:cs="Arial" w:eastAsia="Arial" w:hAnsi="Arial"/>
          <w:sz w:val="18"/>
          <w:szCs w:val="18"/>
          <w:color w:val="auto"/>
        </w:rPr>
        <w:t>refined coal facility in North Dakota. The facility’s refinement processes qualify for federal tax credits that are expected to be realized through 2019 in accordance with Section 45 of the Internal Revenue Code.</w:t>
      </w:r>
    </w:p>
    <w:p>
      <w:pPr>
        <w:spacing w:after="0" w:line="59"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account for our investment in this entity using the equity method of accounting, recognizing our share of the entity’s results of operations and other reductions in the value of our investment in “Equity in net losses of unconsolidated entities,” within our Condensed Consolidated Statement of Operations. We recognized $1 million and $2 million of net losses resulting from our share of the entity’s operating losses during the three and six months ended June 30, 2015, respectively, and $2 million of net losses during both the three and six months ended June 30, 2014. Our tax provision was reduced by $5 million and $9 million for the three and six months ended June 30, 2015, respectively, and by $5 million and $8 million for the three and six months ended June 30, 2014, respectively, primarily as a result of tax credits realized from this investment. See Note 14 for additional information related to this investment.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Investment in Low-Income Housing Properties </w:t>
      </w:r>
      <w:r>
        <w:rPr>
          <w:rFonts w:ascii="Arial" w:cs="Arial" w:eastAsia="Arial" w:hAnsi="Arial"/>
          <w:sz w:val="18"/>
          <w:szCs w:val="18"/>
          <w:color w:val="auto"/>
        </w:rPr>
        <w:t>— In 2010, we acquired a noncontrolling interest in a limited liability company established to invest in and</w:t>
      </w:r>
      <w:r>
        <w:rPr>
          <w:rFonts w:ascii="Arial" w:cs="Arial" w:eastAsia="Arial" w:hAnsi="Arial"/>
          <w:sz w:val="18"/>
          <w:szCs w:val="18"/>
          <w:i w:val="1"/>
          <w:iCs w:val="1"/>
          <w:color w:val="auto"/>
        </w:rPr>
        <w:t xml:space="preserve"> </w:t>
      </w:r>
      <w:r>
        <w:rPr>
          <w:rFonts w:ascii="Arial" w:cs="Arial" w:eastAsia="Arial" w:hAnsi="Arial"/>
          <w:sz w:val="18"/>
          <w:szCs w:val="18"/>
          <w:color w:val="auto"/>
        </w:rPr>
        <w:t>manage low-income housing properties. The entity’s low-income housing investments qualify for federal tax credits that are expected to be realized through 2020 in accordance with Section 42 of the Internal Revenue Code.</w:t>
      </w:r>
    </w:p>
    <w:p>
      <w:pPr>
        <w:spacing w:after="0" w:line="59"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We account for our investment in this entity using the equity method of accounting, recognizing our share of the entity’s results of operations and other reductions in the value of our investment in “Equity in net losses of unconsolidated entities,” within our Condensed Consolidated Statement of Operations. The value of our investment decreases as the tax credits are generated and utilized. During the three and six months ended June 30, 2015, we recognized $6 million and $12 million of losses relating to our equity investment in this entity, $1 million and $2 million of interest expense, and a reduction in our tax provision of $8 million (including $6 million of tax credits) and $15 million (including $10 million of tax credits), respectively. During the three and six months ended June 30, 2014, we recognized $6 million and $12 million of losses relating to our equity investment in this entity, $2 million and $3 million of interest expense, and a reduction in our tax provision of $9 million (including $6 million of tax credits) and $17 million (including $11 million of tax credits), respectively. See Note 14 for additional information related to this investment.</w:t>
      </w:r>
    </w:p>
    <w:p>
      <w:pPr>
        <w:spacing w:after="0" w:line="3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Bonus Depreciation </w:t>
      </w:r>
      <w:r>
        <w:rPr>
          <w:rFonts w:ascii="Arial" w:cs="Arial" w:eastAsia="Arial" w:hAnsi="Arial"/>
          <w:sz w:val="16"/>
          <w:szCs w:val="16"/>
          <w:color w:val="auto"/>
        </w:rPr>
        <w:t>— The Tax Increase Prevention Act of 2014 was signed into law on December 19, 2014 and included an extension for one year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bonus depreciation allowance. As a result, 50% of qualifying capital expenditures on property placed in service before January 1, 2015 were depreciated immediately. The acceleration of deductions on 2014 qualifying capital expenditures resulting from the bonus depreciation provisions had no impact on our effective income tax rate for 2014 although it reduced our cash taxes. This reduction will be offset by increased cash taxes in subsequent periods when the deductions related to the capital expenditures would have otherwise been taken.</w:t>
      </w:r>
    </w:p>
    <w:p>
      <w:pPr>
        <w:spacing w:after="0" w:line="15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Basic and diluted earnings per share were computed using the following common share data (shares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1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w w:val="99"/>
              </w:rPr>
              <w:t>Three Months Ended</w:t>
            </w:r>
          </w:p>
        </w:tc>
        <w:tc>
          <w:tcPr>
            <w:tcW w:w="17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6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4"/>
                <w:szCs w:val="14"/>
                <w:color w:val="auto"/>
              </w:rPr>
            </w:pPr>
          </w:p>
        </w:tc>
        <w:tc>
          <w:tcPr>
            <w:tcW w:w="11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54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2015</w:t>
            </w:r>
          </w:p>
        </w:tc>
        <w:tc>
          <w:tcPr>
            <w:tcW w:w="104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2"/>
                <w:szCs w:val="12"/>
                <w:color w:val="auto"/>
              </w:rPr>
            </w:pPr>
          </w:p>
        </w:tc>
        <w:tc>
          <w:tcPr>
            <w:tcW w:w="54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2015</w:t>
            </w:r>
          </w:p>
        </w:tc>
        <w:tc>
          <w:tcPr>
            <w:tcW w:w="106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Number of common shares outstanding at end of period</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451.8</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5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451.8</w:t>
            </w:r>
          </w:p>
        </w:tc>
        <w:tc>
          <w:tcPr>
            <w:tcW w:w="5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Effect of using weighted average common shares outstanding</w:t>
            </w: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c>
          <w:tcPr>
            <w:tcW w:w="5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5.2</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455.5</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465.9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w w:val="98"/>
              </w:rPr>
              <w:t>Dilutive effect of equity-based compensation awards and other contingently issuable shares</w:t>
            </w: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5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2.1</w:t>
            </w: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468.0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467.5</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Potentially issuable shares</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620" w:type="dxa"/>
            <w:vAlign w:val="bottom"/>
            <w:gridSpan w:val="2"/>
            <w:vMerge w:val="continue"/>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11.2</w:t>
            </w:r>
          </w:p>
        </w:tc>
        <w:tc>
          <w:tcPr>
            <w:tcW w:w="1560" w:type="dxa"/>
            <w:vAlign w:val="bottom"/>
            <w:gridSpan w:val="3"/>
          </w:tcPr>
          <w:p>
            <w:pPr>
              <w:jc w:val="right"/>
              <w:ind w:right="520"/>
              <w:spacing w:after="0"/>
              <w:rPr>
                <w:sz w:val="20"/>
                <w:szCs w:val="20"/>
                <w:color w:val="auto"/>
              </w:rPr>
            </w:pPr>
            <w:r>
              <w:rPr>
                <w:rFonts w:ascii="Arial" w:cs="Arial" w:eastAsia="Arial" w:hAnsi="Arial"/>
                <w:sz w:val="18"/>
                <w:szCs w:val="18"/>
                <w:color w:val="auto"/>
              </w:rPr>
              <w:t>13.8</w:t>
            </w:r>
          </w:p>
        </w:tc>
        <w:tc>
          <w:tcPr>
            <w:tcW w:w="540" w:type="dxa"/>
            <w:vAlign w:val="bottom"/>
          </w:tcPr>
          <w:p>
            <w:pPr>
              <w:jc w:val="right"/>
              <w:spacing w:after="0"/>
              <w:rPr>
                <w:sz w:val="20"/>
                <w:szCs w:val="20"/>
                <w:color w:val="auto"/>
              </w:rPr>
            </w:pPr>
            <w:r>
              <w:rPr>
                <w:rFonts w:ascii="Arial" w:cs="Arial" w:eastAsia="Arial" w:hAnsi="Arial"/>
                <w:sz w:val="18"/>
                <w:szCs w:val="18"/>
                <w:color w:val="auto"/>
              </w:rPr>
              <w:t>11.2</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w w:val="94"/>
              </w:rPr>
              <w:t>Number of anti-dilutive potentially issuable shares excluded from diluted common shares outstanding</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5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 We have obtained letters of credit, surety bonds and insurance policies and have established trust funds and issued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guarantees to support tax-exempt bonds, contracts, performance of landfill final capping, closure and post-closure requirements, environmental remediation, and other obligations. Letters of credit generally are supported by our $2.25 billion revolving credit facility and other credit facilities established for that purpose. These facilities are discussed further in Note 3. Surety bonds and insurance policies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are supported by (i) a diverse group of third-party surety and insurance companies; (ii) an entity in which we have a noncontrolling financial interest or (iii) wholly-owned insurance companies, the sole business of which is to issue surety bonds and/or insurance policies on our behalf.</w:t>
      </w:r>
    </w:p>
    <w:p>
      <w:pPr>
        <w:spacing w:after="0" w:line="5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Management does not expect that any claims against or draws on these instruments will have a material adverse effect on our consolidated financial statements.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6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 We carry insurance coverage for protection of our assets and operations from certain risks including automobile liability, general liability, real</w:t>
      </w:r>
      <w:r>
        <w:rPr>
          <w:rFonts w:ascii="Arial" w:cs="Arial" w:eastAsia="Arial" w:hAnsi="Arial"/>
          <w:sz w:val="18"/>
          <w:szCs w:val="18"/>
          <w:i w:val="1"/>
          <w:iCs w:val="1"/>
          <w:color w:val="auto"/>
        </w:rPr>
        <w:t xml:space="preserve"> </w:t>
      </w:r>
      <w:r>
        <w:rPr>
          <w:rFonts w:ascii="Arial" w:cs="Arial" w:eastAsia="Arial" w:hAnsi="Arial"/>
          <w:sz w:val="18"/>
          <w:szCs w:val="18"/>
          <w:color w:val="auto"/>
        </w:rPr>
        <w:t>and personal property, workers’ compensation, directors’ and officers’ liability, pollution legal liability and other coverages we believe are customary to the industry. Our exposure to loss for insurance claims is generally limited to the per incident deductible under the related insurance policy. Our exposure, however, could increase if our insurers are unable to meet their commitments on a timely basis.</w:t>
      </w:r>
    </w:p>
    <w:p>
      <w:pPr>
        <w:spacing w:after="0" w:line="62"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We have retained a significant portion of the risks related to our automobile, general liability and workers’ compensation claims programs. “General liability” refers to the self-insured portion of specific third party claims made against us that may be covered under our commercial General Liability Insurance Policy. For our self-insured retentions, the exposure for unpaid claims and associated expenses, including incurred but not reported losses, is based on an actuarial valuation and internal estimates. The accruals for these liabilities could be revised if future occurrences or loss development significantly differ from our assumptions used. We do not expect the impact of any known casualty, property, environmental or other contingency to have a material impact on our financial condition, results of operations or cash flows.</w:t>
      </w:r>
    </w:p>
    <w:p>
      <w:pPr>
        <w:spacing w:after="0" w:line="6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Guarantees </w:t>
      </w:r>
      <w:r>
        <w:rPr>
          <w:rFonts w:ascii="Arial" w:cs="Arial" w:eastAsia="Arial" w:hAnsi="Arial"/>
          <w:sz w:val="16"/>
          <w:szCs w:val="16"/>
          <w:color w:val="auto"/>
        </w:rPr>
        <w:t>— In the ordinary course of our business, WM and WM Holdings enter into guarantee agreements associated with their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Additionally, WM and WM Holdings have each guaranteed all of the senior debt of the other entity. No additional liabilities have been recorded for these intercompany guarantees because all of the underlying obligations are reflected in our Condensed Consolidated Balance Sheets.</w:t>
      </w:r>
    </w:p>
    <w:p>
      <w:pPr>
        <w:spacing w:after="0" w:line="26"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We also have guaranteed the obligations and certain performance requirements of, and provided indemnification to, third parties in connection with both consolidated and unconsolidated entities. Guarantee agreements outstanding as of June 30, 2015 (excluding those related to Wheelabrator obligations that are discussed below) include (i) guarantees of unconsolidated entities’ financial obligations maturing through 2020 for maximum future payments of $8 million and</w:t>
      </w:r>
    </w:p>
    <w:p>
      <w:pPr>
        <w:spacing w:after="0" w:line="1" w:lineRule="exact"/>
        <w:rPr>
          <w:sz w:val="20"/>
          <w:szCs w:val="20"/>
          <w:color w:val="auto"/>
        </w:rPr>
      </w:pPr>
    </w:p>
    <w:p>
      <w:pPr>
        <w:jc w:val="both"/>
        <w:ind w:firstLine="8"/>
        <w:spacing w:after="0" w:line="288" w:lineRule="auto"/>
        <w:tabs>
          <w:tab w:leader="none" w:pos="312" w:val="left"/>
        </w:tabs>
        <w:numPr>
          <w:ilvl w:val="0"/>
          <w:numId w:val="13"/>
        </w:numPr>
        <w:rPr>
          <w:rFonts w:ascii="Arial" w:cs="Arial" w:eastAsia="Arial" w:hAnsi="Arial"/>
          <w:sz w:val="16"/>
          <w:szCs w:val="16"/>
          <w:color w:val="auto"/>
        </w:rPr>
      </w:pPr>
      <w:r>
        <w:rPr>
          <w:rFonts w:ascii="Arial" w:cs="Arial" w:eastAsia="Arial" w:hAnsi="Arial"/>
          <w:sz w:val="16"/>
          <w:szCs w:val="16"/>
          <w:color w:val="auto"/>
        </w:rPr>
        <w:t>agreements guaranteeing certain market value losses for approximately 800 homeowners’ properties adjacent to or near 20 of our landfills. Our indemnification obligations generally arise from divestitures and provide that we will be responsible for liabilities associated with our operations for events that occurred prior to the sale of the operations. Additionally, under certain of our acquisition agreements, we have provided for additional consideration to be paid to the sellers if established financial targets or other market conditions are achieved post-closing and we have recognized liabilities for these contingent obligations based on an estimate of the fair value of these contingencies at the time of acquisition. We do not currently believe that contingent obligations to provide indemnification or pay additional post-closing consideration in connection with our divestitures or acquisitions will have a material adverse effect on the Company’s business, financial condition, results of operations or cash flows.</w:t>
      </w:r>
    </w:p>
    <w:p>
      <w:pPr>
        <w:spacing w:after="0" w:line="4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Before the divestiture of our Wheelabrator business, WM had guaranteed certain performance and financial obligations of Wheelabrator and its subsidiaries in the ordinary course of business. In conjunction with the divestiture, certain WM guarantees of Wheelabrator obligations were terminated, but others continued and are now guarantees of third-party obligations. Wheelabrator is working with the various third-party beneficiaries to release WM from these guarantees, but until they are successful, WM has agreed to retain the guarantees and, in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exchange, receive a credit support fee. The most significant of these guarantees specifically define WM’s maximum financial obligation over the course of the relevant agreements, and as of December 31, 2014, WM’s maximum future payments associated with those guarantees was $176 million. WM’s exposure under certain of the performance guarantees is variable and a maximum exposure is not defined. The estimated fair value of WM’s potential obligation associated with guarantees of Wheelabrator obligations at June 30, 2015 and December 31, 2014 is $17 million (net of the credit support fee) and $18 million (net of the credit support fee), respectively. We have recorded the fair value of the financial and performance guarantees, some of which could extend through 2041 if not terminated, in our Condensed Consolidated Balance Sheets. We currently do not expect the financial impact of such performance and financial guarantees to materially exceed the recorded fair value.</w:t>
      </w:r>
    </w:p>
    <w:p>
      <w:pPr>
        <w:spacing w:after="0" w:line="6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Environmental Matters </w:t>
      </w:r>
      <w:r>
        <w:rPr>
          <w:rFonts w:ascii="Arial" w:cs="Arial" w:eastAsia="Arial" w:hAnsi="Arial"/>
          <w:sz w:val="16"/>
          <w:szCs w:val="16"/>
          <w:color w:val="auto"/>
        </w:rPr>
        <w:t>— A significant portion of our operating costs and capital expenditures could be characterized as costs of environmental protection</w:t>
      </w:r>
      <w:r>
        <w:rPr>
          <w:rFonts w:ascii="Arial" w:cs="Arial" w:eastAsia="Arial" w:hAnsi="Arial"/>
          <w:sz w:val="16"/>
          <w:szCs w:val="16"/>
          <w:i w:val="1"/>
          <w:iCs w:val="1"/>
          <w:color w:val="auto"/>
        </w:rPr>
        <w:t xml:space="preserve"> </w:t>
      </w:r>
      <w:r>
        <w:rPr>
          <w:rFonts w:ascii="Arial" w:cs="Arial" w:eastAsia="Arial" w:hAnsi="Arial"/>
          <w:sz w:val="16"/>
          <w:szCs w:val="16"/>
          <w:color w:val="auto"/>
        </w:rPr>
        <w:t>as we are subject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or PRP, investigations. The costs associated with these liabilities can include settlements, certain legal and consultant fees, as well as incremental internal and external costs directly associated with site investigation and clean-up.</w:t>
      </w:r>
    </w:p>
    <w:p>
      <w:pPr>
        <w:spacing w:after="0" w:line="35"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investigation of the extent of environmental impact. In these cases, we use the amount within the range that constitutes our best estimate. If no amount within a range appears to be a better estimate than any other, we use the amount that is the low end of such range. If we used the high ends of such ranges, our aggregate potential liability would be approximately $195 million higher than the $231 million recorded in the Condensed Consolidated Financial Statements as of June 30, 2015.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income from operations. These adjustments could be material in any given period.</w:t>
      </w:r>
    </w:p>
    <w:p>
      <w:pPr>
        <w:spacing w:after="0" w:line="4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As of June 30, 2015, we had been notified by the government that we are a PRP in connection with 76 locations listed on the EPA’s Superfund National Priorities List, or NPL. Of the 76 sites at which claims have been made against us, 15 are sites we own. Each of the NPL sites we own was initially developed by others as a landfill disposal facility. At each of these facilities, we are working in conjunction with the government to evaluate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61 NPL sites, which we do not own, are at various procedural stages under the Comprehensive Environmental Response, Compensation and Liability Act of 1980, as amended, known as CERCLA or Superfund.</w:t>
      </w:r>
    </w:p>
    <w:p>
      <w:pPr>
        <w:spacing w:after="0" w:line="3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6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of less than $100,000. The following matter is disclosed in accordance with that requirement.</w:t>
      </w:r>
    </w:p>
    <w:p>
      <w:pPr>
        <w:spacing w:after="0" w:line="26" w:lineRule="exact"/>
        <w:rPr>
          <w:sz w:val="20"/>
          <w:szCs w:val="20"/>
          <w:color w:val="auto"/>
        </w:rPr>
      </w:pPr>
    </w:p>
    <w:p>
      <w:pPr>
        <w:jc w:val="both"/>
        <w:ind w:left="460" w:firstLine="438"/>
        <w:spacing w:after="0" w:line="298" w:lineRule="auto"/>
        <w:rPr>
          <w:sz w:val="20"/>
          <w:szCs w:val="20"/>
          <w:color w:val="auto"/>
        </w:rPr>
      </w:pPr>
      <w:r>
        <w:rPr>
          <w:rFonts w:ascii="Arial" w:cs="Arial" w:eastAsia="Arial" w:hAnsi="Arial"/>
          <w:sz w:val="16"/>
          <w:szCs w:val="16"/>
          <w:color w:val="auto"/>
        </w:rPr>
        <w:t>On April 10, 2015, the Pennsylvania Department of Environmental Protection (“DEP”) advised us that it intended to seek civil penalties against the Tullytown Landfill and Grows complex located in southeast Pennsylvania and owned by indirect wholly-owned subsidiaries of WM, related to operational issues, including odors, leachate storage and leachate transportation. We engaged in discussions with representatives of the DEP and amicably resolved these issues, and on July 20, 2015 we signed a consent assessment of civil penalty of $528,000.</w:t>
      </w:r>
    </w:p>
    <w:p>
      <w:pPr>
        <w:spacing w:after="0" w:line="32"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On July 10, 2015, Waste Management of Hawaii, Inc. (“WMHI”) entered a plea resolving the April 30, 2014 indictment against WMHI in connection with water discharges at the Waimanalo Gulch Sanitary Landfill, which WMHI operates for the city and county of Honolulu, following three major rainstorms in December 2010 and January 2011. As a result, WMHI entered a guilty plea on two misdemeanor violations of the federal Clean Water Act and will pay $400,000 in fines and $200,000 toward restitution and supplemental environmental projects. The two employees indicted in this matter each agreed to a misdemeanor violation of the federal Clean Water Act and payment of a $25,000 fine. We may face civil claims from the Hawaii Department of Health or the EPA based on the same underlying events, but we believe such claims will not have a material adverse effect on the Company’s business, financial condition, results of operations or cash flows.</w:t>
      </w:r>
    </w:p>
    <w:p>
      <w:pPr>
        <w:spacing w:after="0" w:line="6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Litigation </w:t>
      </w:r>
      <w:r>
        <w:rPr>
          <w:rFonts w:ascii="Arial" w:cs="Arial" w:eastAsia="Arial" w:hAnsi="Arial"/>
          <w:sz w:val="16"/>
          <w:szCs w:val="16"/>
          <w:color w:val="auto"/>
        </w:rPr>
        <w:t>— In October 2011 and January 2012, we were named as a defendant in a purported class action in the Circuit Court of Sarasota County, Florida</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Circuit Court of Lawrence County, Alabama, respectively. These cases primarily pertained to our fuel and environmental charges included on our invoices, generally alleging that such charges were not properly disclosed, were unfair and were contrary to the customer service contracts. We received court approval for final settlement of the Florida and Alabama cases on April 28, 2015 and June 9, 2015, respectively. The settlements will not have a material adverse effect on the Company’s business, financial condition, results of operations or cash flows.</w:t>
      </w:r>
    </w:p>
    <w:p>
      <w:pPr>
        <w:spacing w:after="0" w:line="3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Additionally, on March 26, 2015, the Company acquired Deffenbaugh. In May 2012 and December 2013, Deffenbaugh was named as a defendant in purported class actions filed in the United States District Court for the District of Kansas. These cases also pertain to fuel, environmental and base rate charges included on invoices. In February 2015, the Kansas Court certified a class of plaintiffs with respect to the fuel surcharge only. This ruling is currently on appeal and is not a final adjudication. We do not anticipate that the outcome of these cases will have a material adverse effect on the Company’s business, financial condition, results of operations or cash flows.</w:t>
      </w:r>
    </w:p>
    <w:p>
      <w:pPr>
        <w:spacing w:after="0" w:line="6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62" w:lineRule="exact"/>
        <w:rPr>
          <w:sz w:val="20"/>
          <w:szCs w:val="20"/>
          <w:color w:val="auto"/>
        </w:rPr>
      </w:pPr>
    </w:p>
    <w:p>
      <w:pPr>
        <w:jc w:val="both"/>
        <w:ind w:firstLine="456"/>
        <w:spacing w:after="0" w:line="314" w:lineRule="auto"/>
        <w:rPr>
          <w:sz w:val="20"/>
          <w:szCs w:val="20"/>
          <w:color w:val="auto"/>
        </w:rPr>
      </w:pPr>
      <w:r>
        <w:rPr>
          <w:rFonts w:ascii="Arial" w:cs="Arial" w:eastAsia="Arial" w:hAnsi="Arial"/>
          <w:sz w:val="15"/>
          <w:szCs w:val="15"/>
          <w:color w:val="auto"/>
        </w:rPr>
        <w:t>As a large company with operations across the United States and Canada, we are subject to various proceedings, lawsuits, disputes and claims arising in the ordinary course of our business. Many of these actions raise complex factual and legal issues and are subject to uncertainties. Actions filed against us include commercial, customer, and employment-related claims, including purported class action lawsuits related to our sales and marketing practices and our customer service agreements and purported class actions involving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could have a material adverse effect on the Company’s business, financial condition, results of operations or cash flows.</w:t>
      </w:r>
    </w:p>
    <w:p>
      <w:pPr>
        <w:spacing w:after="0" w:line="24"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WM’s charter and bylaws provide that WM shall indemnify any person against all liabilities and expenses, and upon request shall advance expenses to any person, who is subject to a pending or threatened proceeding because such person is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entitled to have such fees advanced under Delaware law. Additionally, WM has entered into separate indemnification agreements with each of the members of its Board of Directors, its Chief Executive Officer and each of its executive vice presidents. Additionally, the employment agreements between WM and its Chief Executive Officer and other executive and senior vice presidents contain a direct contractual obligation of the Company to provide indemnification to the executive.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39"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i w:val="1"/>
          <w:iCs w:val="1"/>
          <w:color w:val="auto"/>
        </w:rPr>
        <w:t xml:space="preserve">Multiemployer Defined Benefit Pension Plans </w:t>
      </w:r>
      <w:r>
        <w:rPr>
          <w:rFonts w:ascii="Arial" w:cs="Arial" w:eastAsia="Arial" w:hAnsi="Arial"/>
          <w:sz w:val="16"/>
          <w:szCs w:val="16"/>
          <w:color w:val="auto"/>
        </w:rPr>
        <w:t>— About 20% of our workforce is covered by collective bargaining agreements with various union locals</w:t>
      </w:r>
      <w:r>
        <w:rPr>
          <w:rFonts w:ascii="Arial" w:cs="Arial" w:eastAsia="Arial" w:hAnsi="Arial"/>
          <w:sz w:val="16"/>
          <w:szCs w:val="16"/>
          <w:i w:val="1"/>
          <w:iCs w:val="1"/>
          <w:color w:val="auto"/>
        </w:rPr>
        <w:t xml:space="preserve"> </w:t>
      </w:r>
      <w:r>
        <w:rPr>
          <w:rFonts w:ascii="Arial" w:cs="Arial" w:eastAsia="Arial" w:hAnsi="Arial"/>
          <w:sz w:val="16"/>
          <w:szCs w:val="16"/>
          <w:color w:val="auto"/>
        </w:rPr>
        <w:t>across the United States and Canada. As a result of some of these agreements, certain of our subsidiaries are participating employers in a number of trustee-managed multiemployer defined benefit pension plans for the covered employees. In connection with our ongoing renegotiation of various collective bargaining agreements, we may discuss and negotiate for the complete or partial withdrawal from one or more of these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defined benefit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w:t>
      </w:r>
    </w:p>
    <w:p>
      <w:pPr>
        <w:spacing w:after="0" w:line="3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One of the most significant multiemployer pension plans in which we have participated is the Central States, Southeast and Southwest Areas Pension Plan (“Central States Pension Plan”). The Central States Pension Plan is in “critical status,” as defined by the Pension Protection Act of 2006. Since 2008, certain of our affiliates have bargained to remove covered employees from the Central States Pension Plan, resulting in a series of withdrawals, and we have recognized charges to “Operating” expenses associated with the withdrawal of certain bargaining units from the Central States Pension Plan and other underfunded multiemployer pension plans. In October 2011, employees at the last of our affiliates with active participants in the Central States Pension Plan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voted to decertify the union that represented them, withdrawing themselves from the Central States Pension Plan. The Company believes there are no collective bargaining agreements remaining that require continuing contributions to this plan; however, this point is the subject of pending litigation with the trustees for the Central States Pension Plan.</w:t>
      </w:r>
    </w:p>
    <w:p>
      <w:pPr>
        <w:spacing w:after="0" w:line="59"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are still negotiating and litigating final resolutions of our withdrawal liability for certain previous withdrawals, and in the second quarter of 2015, we recognized a $55 million charge to “Operating” expenses associated with withdrawal from certain underfunded multiemployer pension plans. We do not believe any additional liability above the charges we have already recognized for such previous withdrawals could be material to the Company’s business, financial condition, liquidity, results of operations or cash flows. Similarly, we also do not believe that any future withdrawals, individually or in the aggregate, from the multiemployer pension plans to which we contribute, could have a material adverse effect on our business, financial condition or liquidity. However, such withdrawals could have a material adverse effect on our results of operations or cash flows for a particular reporting period, depending on the number of employees withdrawn in any future period and the financial condition of the multiemployer pension plan(s) at the time of such withdrawal(s).</w:t>
      </w:r>
    </w:p>
    <w:p>
      <w:pPr>
        <w:spacing w:after="0" w:line="37"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i w:val="1"/>
          <w:iCs w:val="1"/>
          <w:color w:val="auto"/>
        </w:rPr>
        <w:t xml:space="preserve">Tax Matters </w:t>
      </w:r>
      <w:r>
        <w:rPr>
          <w:rFonts w:ascii="Arial" w:cs="Arial" w:eastAsia="Arial" w:hAnsi="Arial"/>
          <w:sz w:val="16"/>
          <w:szCs w:val="16"/>
          <w:color w:val="auto"/>
        </w:rPr>
        <w:t>— We participate in the IRS’s Compliance Assurance Process, which means we work with the IRS throughout the year in order to resolve any</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issues prior to the filing of our annual tax return. We are currently in the examination phase of IRS audits for the tax years 2014 and 2015 and expect these audits to be completed within the next nine and 21 months, respectively. We are also currently undergoing audits by various state and local jurisdictions for tax years that date back to 2009, with the exception of affirmative claims in a limited number of jurisdictions that date back to 2000. We are also under audit in Canada for the tax years 2012 and 2013. We acquired Oakleaf Global Holdings (“Oakleaf”), which is subject to potential IRS examination for 2011 through the date of acquisition. Pursuant to the terms of our acquisition of Oakleaf, we are entitled to indemnification for Oakleaf’s pre-acquisition period tax liabilities. In addition, we acquired Deffenbaugh, which is subject to potential IRS examination for the years 2011 through the date of acquisition in 2015. We maintain a liability for uncertain tax positions, the balance of which management believes is adequate. Results of audit assessments by taxing authorities are not currently expected to have a material adverse impact on our results of operations or cash flows.</w:t>
      </w:r>
    </w:p>
    <w:p>
      <w:pPr>
        <w:spacing w:after="0" w:line="154"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96"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We evaluate, oversee and manage the financial performance of our Solid Waste subsidiaries through our 17 geographic Areas. The 17 Areas constitute our operating segments and none of the Areas individually meet the quantitative criteria to be a separate reportable segment. We have evaluated the aggregation criteria and concluded that, based on the similarities between our Areas, including the fact that our Solid Waste business is homogenous across geography with the same services offered across the Areas, aggregation of our Areas is appropriate for purposes of presenting our reportable segments. Accordingly, we have aggregated our 17 Areas into three tiers that we believe have similar economic characteristics and future prospects based in large part on a review of the Areas’ income from operations margins. The economic variations experienced by our Areas is attributable to a variety of factors, including regulatory environment of the Area; economic environment of the Area, including level of commercial and industrial activity; population density; service offering mix and disposal logistics, with no one factor being singularly determinative of an Area’s current or future economic performance. As a result of our consideration of economic and other similarities, we have established the following three reportable segments for our Solid Waste business: Tier 1, which is comprised almost exclusively of Areas in the Southern United States; Tier 2, which is comprised predominately of Areas located in the Midwest and Northeast United States; and Tier 3, which encompasses all remaining Areas, including the Northwest and Mid-Atlantic regions of the United States and Eastern Canada.</w:t>
      </w:r>
    </w:p>
    <w:p>
      <w:pPr>
        <w:spacing w:after="0" w:line="4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Our Wheelabrator business, which managed waste-to-energy facilities and independent power production plants, was a separate reportable segment until the sale of the business in the fourth quarter of 2014 as it met the quantitative disclosure thresholds.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operating segments not evaluated and overseen through the 17 Areas are presented herein as “Other” as these operating segments do not meet the criteria to be aggregated with other operating segments and do not meet the quantitative criteria to be separately reported.</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Summarized financial information concerning our reportable segments is shown in the following table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53"/>
              <w:spacing w:after="0"/>
              <w:rPr>
                <w:sz w:val="20"/>
                <w:szCs w:val="20"/>
                <w:color w:val="auto"/>
              </w:rPr>
            </w:pPr>
            <w:r>
              <w:rPr>
                <w:rFonts w:ascii="Arial" w:cs="Arial" w:eastAsia="Arial" w:hAnsi="Arial"/>
                <w:sz w:val="14"/>
                <w:szCs w:val="14"/>
                <w:b w:val="1"/>
                <w:bCs w:val="1"/>
                <w:color w:val="auto"/>
                <w:w w:val="83"/>
              </w:rPr>
              <w:t>Gross</w:t>
            </w:r>
          </w:p>
        </w:tc>
        <w:tc>
          <w:tcPr>
            <w:tcW w:w="78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Intercompany</w:t>
            </w:r>
          </w:p>
        </w:tc>
        <w:tc>
          <w:tcPr>
            <w:tcW w:w="140" w:type="dxa"/>
            <w:vAlign w:val="bottom"/>
          </w:tcPr>
          <w:p>
            <w:pPr>
              <w:spacing w:after="0"/>
              <w:rPr>
                <w:sz w:val="14"/>
                <w:szCs w:val="14"/>
                <w:color w:val="auto"/>
              </w:rPr>
            </w:pPr>
          </w:p>
        </w:tc>
        <w:tc>
          <w:tcPr>
            <w:tcW w:w="8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Net</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Operating</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0"/>
              </w:rPr>
              <w:t>Operating</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Operating</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Revenues</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87"/>
              </w:rPr>
              <w:t>Revenues</w:t>
            </w:r>
          </w:p>
        </w:tc>
        <w:tc>
          <w:tcPr>
            <w:tcW w:w="10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4"/>
              </w:rPr>
              <w:t>Revenues</w:t>
            </w:r>
          </w:p>
        </w:tc>
        <w:tc>
          <w:tcPr>
            <w:tcW w:w="4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8"/>
              </w:rPr>
              <w:t>Three Months Ended:</w:t>
            </w:r>
          </w:p>
        </w:tc>
        <w:tc>
          <w:tcPr>
            <w:tcW w:w="37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June 30, 2015</w:t>
            </w:r>
          </w:p>
        </w:tc>
        <w:tc>
          <w:tcPr>
            <w:tcW w:w="3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Solid Waste:</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ind w:left="200"/>
              <w:spacing w:after="0"/>
              <w:rPr>
                <w:sz w:val="20"/>
                <w:szCs w:val="20"/>
                <w:color w:val="auto"/>
              </w:rPr>
            </w:pPr>
            <w:r>
              <w:rPr>
                <w:rFonts w:ascii="Arial" w:cs="Arial" w:eastAsia="Arial" w:hAnsi="Arial"/>
                <w:sz w:val="18"/>
                <w:szCs w:val="18"/>
                <w:color w:val="auto"/>
              </w:rPr>
              <w:t>Tier 1</w:t>
            </w:r>
          </w:p>
        </w:tc>
        <w:tc>
          <w:tcPr>
            <w:tcW w:w="3840" w:type="dxa"/>
            <w:vAlign w:val="bottom"/>
            <w:gridSpan w:val="2"/>
          </w:tcPr>
          <w:p>
            <w:pPr>
              <w:ind w:left="37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873</w:t>
            </w: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731</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Tier 2</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(306)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1,357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ind w:left="200"/>
              <w:spacing w:after="0"/>
              <w:rPr>
                <w:sz w:val="20"/>
                <w:szCs w:val="20"/>
                <w:color w:val="auto"/>
              </w:rPr>
            </w:pPr>
            <w:r>
              <w:rPr>
                <w:rFonts w:ascii="Arial" w:cs="Arial" w:eastAsia="Arial" w:hAnsi="Arial"/>
                <w:sz w:val="18"/>
                <w:szCs w:val="18"/>
                <w:color w:val="auto"/>
              </w:rPr>
              <w:t>Tier 3</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873</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726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Solid Waste</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(595)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2,814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Wheelabrator</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3,934</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(619)</w:t>
            </w:r>
          </w:p>
        </w:tc>
        <w:tc>
          <w:tcPr>
            <w:tcW w:w="140" w:type="dxa"/>
            <w:vAlign w:val="bottom"/>
          </w:tcPr>
          <w:p>
            <w:pPr>
              <w:spacing w:after="0"/>
              <w:rPr>
                <w:sz w:val="19"/>
                <w:szCs w:val="19"/>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3,315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w w:val="98"/>
              </w:rPr>
              <w:t>Corporate and Other</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vMerge w:val="restart"/>
          </w:tcPr>
          <w:p>
            <w:pPr>
              <w:ind w:left="200"/>
              <w:spacing w:after="0"/>
              <w:rPr>
                <w:sz w:val="20"/>
                <w:szCs w:val="20"/>
                <w:color w:val="auto"/>
              </w:rPr>
            </w:pPr>
            <w:r>
              <w:rPr>
                <w:rFonts w:ascii="Arial" w:cs="Arial" w:eastAsia="Arial" w:hAnsi="Arial"/>
                <w:sz w:val="18"/>
                <w:szCs w:val="18"/>
                <w:color w:val="auto"/>
              </w:rPr>
              <w:t>Total</w:t>
            </w:r>
          </w:p>
        </w:tc>
        <w:tc>
          <w:tcPr>
            <w:tcW w:w="3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3840" w:type="dxa"/>
            <w:vAlign w:val="bottom"/>
            <w:gridSpan w:val="2"/>
          </w:tcPr>
          <w:p>
            <w:pPr>
              <w:ind w:left="37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3,934</w:t>
            </w: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(619)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3,315</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2014</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Solid Waste:</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Tier 1</w:t>
            </w:r>
          </w:p>
        </w:tc>
        <w:tc>
          <w:tcPr>
            <w:tcW w:w="3840" w:type="dxa"/>
            <w:vAlign w:val="bottom"/>
            <w:gridSpan w:val="2"/>
            <w:shd w:val="clear" w:color="auto" w:fill="CCEEFF"/>
          </w:tcPr>
          <w:p>
            <w:pPr>
              <w:ind w:left="37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8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747</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ind w:left="200"/>
              <w:spacing w:after="0"/>
              <w:rPr>
                <w:sz w:val="20"/>
                <w:szCs w:val="20"/>
                <w:color w:val="auto"/>
              </w:rPr>
            </w:pPr>
            <w:r>
              <w:rPr>
                <w:rFonts w:ascii="Arial" w:cs="Arial" w:eastAsia="Arial" w:hAnsi="Arial"/>
                <w:sz w:val="18"/>
                <w:szCs w:val="18"/>
                <w:color w:val="auto"/>
              </w:rPr>
              <w:t>Tier 2</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1,650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(310)</w:t>
            </w: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1,340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Tier 3</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vMerge w:val="restart"/>
          </w:tcPr>
          <w:p>
            <w:pPr>
              <w:ind w:left="420"/>
              <w:spacing w:after="0"/>
              <w:rPr>
                <w:sz w:val="20"/>
                <w:szCs w:val="20"/>
                <w:color w:val="auto"/>
              </w:rPr>
            </w:pPr>
            <w:r>
              <w:rPr>
                <w:rFonts w:ascii="Arial" w:cs="Arial" w:eastAsia="Arial" w:hAnsi="Arial"/>
                <w:sz w:val="18"/>
                <w:szCs w:val="18"/>
                <w:color w:val="auto"/>
              </w:rPr>
              <w:t>Solid Waste</w:t>
            </w:r>
          </w:p>
        </w:tc>
        <w:tc>
          <w:tcPr>
            <w:tcW w:w="3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3,446</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(599)</w:t>
            </w:r>
          </w:p>
        </w:tc>
        <w:tc>
          <w:tcPr>
            <w:tcW w:w="140" w:type="dxa"/>
            <w:vAlign w:val="bottom"/>
          </w:tcPr>
          <w:p>
            <w:pPr>
              <w:spacing w:after="0"/>
              <w:rPr>
                <w:sz w:val="19"/>
                <w:szCs w:val="19"/>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2,847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Wheelabrator</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Other</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533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(642)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3,561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w w:val="98"/>
              </w:rPr>
              <w:t>Corporate and Other</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840" w:type="dxa"/>
            <w:vAlign w:val="bottom"/>
            <w:gridSpan w:val="2"/>
            <w:shd w:val="clear" w:color="auto" w:fill="CCEEFF"/>
          </w:tcPr>
          <w:p>
            <w:pPr>
              <w:ind w:left="37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8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(642)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3,561</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740" w:type="dxa"/>
            <w:vAlign w:val="bottom"/>
            <w:vMerge w:val="restart"/>
          </w:tcPr>
          <w:p>
            <w:pPr>
              <w:ind w:left="3500"/>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Gross</w:t>
            </w:r>
          </w:p>
        </w:tc>
        <w:tc>
          <w:tcPr>
            <w:tcW w:w="740" w:type="dxa"/>
            <w:vAlign w:val="bottom"/>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Intercompany</w:t>
            </w:r>
          </w:p>
        </w:tc>
        <w:tc>
          <w:tcPr>
            <w:tcW w:w="140" w:type="dxa"/>
            <w:vAlign w:val="bottom"/>
          </w:tcPr>
          <w:p>
            <w:pPr>
              <w:spacing w:after="0"/>
              <w:rPr>
                <w:sz w:val="14"/>
                <w:szCs w:val="14"/>
                <w:color w:val="auto"/>
              </w:rPr>
            </w:pPr>
          </w:p>
        </w:tc>
        <w:tc>
          <w:tcPr>
            <w:tcW w:w="8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Net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Operating</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87"/>
              </w:rPr>
              <w:t>Operating</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Operating</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w w:val="81"/>
              </w:rPr>
              <w:t>Revenues</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4"/>
              </w:rPr>
              <w:t>Revenues</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Revenues</w:t>
            </w:r>
          </w:p>
        </w:tc>
        <w:tc>
          <w:tcPr>
            <w:tcW w:w="38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Six Months Ended:</w:t>
            </w:r>
          </w:p>
        </w:tc>
        <w:tc>
          <w:tcPr>
            <w:tcW w:w="4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June 30, 2015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Solid Waste: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200"/>
              <w:spacing w:after="0"/>
              <w:rPr>
                <w:sz w:val="20"/>
                <w:szCs w:val="20"/>
                <w:color w:val="auto"/>
              </w:rPr>
            </w:pPr>
            <w:r>
              <w:rPr>
                <w:rFonts w:ascii="Arial" w:cs="Arial" w:eastAsia="Arial" w:hAnsi="Arial"/>
                <w:sz w:val="18"/>
                <w:szCs w:val="18"/>
                <w:color w:val="auto"/>
              </w:rPr>
              <w:t>Tier 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1,704</w:t>
            </w:r>
          </w:p>
        </w:tc>
        <w:tc>
          <w:tcPr>
            <w:tcW w:w="86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(270)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1,434</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(565)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2,566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200"/>
              <w:spacing w:after="0"/>
              <w:rPr>
                <w:sz w:val="20"/>
                <w:szCs w:val="20"/>
                <w:color w:val="auto"/>
              </w:rPr>
            </w:pPr>
            <w:r>
              <w:rPr>
                <w:rFonts w:ascii="Arial" w:cs="Arial" w:eastAsia="Arial" w:hAnsi="Arial"/>
                <w:sz w:val="18"/>
                <w:szCs w:val="18"/>
                <w:color w:val="auto"/>
              </w:rPr>
              <w:t>Tier 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1,671</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(273)</w:t>
            </w:r>
          </w:p>
        </w:tc>
        <w:tc>
          <w:tcPr>
            <w:tcW w:w="14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1,398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Solid Waste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6,506</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(1,108)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5,398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Wheelabrator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7,509</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(1,154)</w:t>
            </w:r>
          </w:p>
        </w:tc>
        <w:tc>
          <w:tcPr>
            <w:tcW w:w="140" w:type="dxa"/>
            <w:vAlign w:val="bottom"/>
          </w:tcPr>
          <w:p>
            <w:pPr>
              <w:spacing w:after="0"/>
              <w:rPr>
                <w:sz w:val="19"/>
                <w:szCs w:val="19"/>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6,355</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gridSpan w:val="2"/>
            <w:vMerge w:val="restart"/>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7,509</w:t>
            </w:r>
          </w:p>
        </w:tc>
        <w:tc>
          <w:tcPr>
            <w:tcW w:w="7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(1,154)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6,355</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June 30, 2014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Solid Waste: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8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1,468</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200"/>
              <w:spacing w:after="0"/>
              <w:rPr>
                <w:sz w:val="20"/>
                <w:szCs w:val="20"/>
                <w:color w:val="auto"/>
              </w:rPr>
            </w:pPr>
            <w:r>
              <w:rPr>
                <w:rFonts w:ascii="Arial" w:cs="Arial" w:eastAsia="Arial" w:hAnsi="Arial"/>
                <w:sz w:val="18"/>
                <w:szCs w:val="18"/>
                <w:color w:val="auto"/>
              </w:rPr>
              <w:t>Tier 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3,152</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(578)</w:t>
            </w:r>
          </w:p>
        </w:tc>
        <w:tc>
          <w:tcPr>
            <w:tcW w:w="14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2,574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1,472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gridSpan w:val="2"/>
            <w:vMerge w:val="restart"/>
          </w:tcPr>
          <w:p>
            <w:pPr>
              <w:ind w:left="420"/>
              <w:spacing w:after="0"/>
              <w:rPr>
                <w:sz w:val="20"/>
                <w:szCs w:val="20"/>
                <w:color w:val="auto"/>
              </w:rPr>
            </w:pPr>
            <w:r>
              <w:rPr>
                <w:rFonts w:ascii="Arial" w:cs="Arial" w:eastAsia="Arial" w:hAnsi="Arial"/>
                <w:sz w:val="18"/>
                <w:szCs w:val="18"/>
                <w:color w:val="auto"/>
              </w:rPr>
              <w:t>Solid Waste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5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6,645</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(1,131)</w:t>
            </w:r>
          </w:p>
        </w:tc>
        <w:tc>
          <w:tcPr>
            <w:tcW w:w="140" w:type="dxa"/>
            <w:vAlign w:val="bottom"/>
          </w:tcPr>
          <w:p>
            <w:pPr>
              <w:spacing w:after="0"/>
              <w:rPr>
                <w:sz w:val="19"/>
                <w:szCs w:val="19"/>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5,514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Wheelabrator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1,098</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1,059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8,179</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(1,222)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6,957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8,179</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(1,222)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6,957</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Fluctuations in our operating results may be caused by many factors, including period-to-period changes in the relative contribution of revenue by each line of business, changes in commodity prices and by general economic conditions. In addition, our revenues and income from operations typically reflect seasonal patterns. Our operating revenues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w:t>
      </w:r>
    </w:p>
    <w:p>
      <w:pPr>
        <w:spacing w:after="0" w:line="3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Service disruptions caused by severe storms, extended periods of inclement weather or climate extremes can significantly affect the operating results of the affected Areas. On the other hand, certain destructive weather conditions that tend to occur during the second half of the year, such as the hurricanes that most often impact our operations in the Southern and Eastern U.S., can actually increase our revenues in the areas affected. While weather-related and other “one-time” occurrences can boost revenues through additional work for a limited time span, as a result of significant start-up costs and other factors, such revenue sometimes generates earnings at comparatively lower margins.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right="8780" w:firstLine="8"/>
        <w:spacing w:after="0" w:line="347" w:lineRule="auto"/>
        <w:tabs>
          <w:tab w:leader="none" w:pos="446"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and Divestitures </w:t>
      </w:r>
      <w:r>
        <w:rPr>
          <w:rFonts w:ascii="Arial" w:cs="Arial" w:eastAsia="Arial" w:hAnsi="Arial"/>
          <w:sz w:val="18"/>
          <w:szCs w:val="18"/>
          <w:b w:val="1"/>
          <w:bCs w:val="1"/>
          <w:i w:val="1"/>
          <w:iCs w:val="1"/>
          <w:color w:val="auto"/>
        </w:rPr>
        <w:t>Acquisitions</w:t>
      </w:r>
    </w:p>
    <w:p>
      <w:pPr>
        <w:spacing w:after="0" w:line="2"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 xml:space="preserve">Deffenbaugh Disposal, Inc. </w:t>
      </w:r>
      <w:r>
        <w:rPr>
          <w:rFonts w:ascii="Arial" w:cs="Arial" w:eastAsia="Arial" w:hAnsi="Arial"/>
          <w:sz w:val="18"/>
          <w:szCs w:val="18"/>
          <w:color w:val="auto"/>
        </w:rPr>
        <w:t>— On March 26, 2015, we acquired Deffenbaugh, one of the largest privately owned collection and disposal firms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Midwest, for total consideration of $416 million ($413 million cash), inclusive of amounts for estimated working capital. Deffenbaugh’s assets include five collection operations, seven transfer stations, two recycling facilities, one subtitle-D landfill, and one construction and demolition landfill. For both the three and six months ended June 30, 2015, Deffenbaugh recognized revenues of $48 million and net losses of less than $1 million which are included in our Condensed Consolidated Statements of Operations.</w:t>
      </w:r>
    </w:p>
    <w:p>
      <w:pPr>
        <w:spacing w:after="0" w:line="6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Goodwill of $160 million was calculated as the excess of the consideration paid over the net assets recognized and represents the future economic benefits expected to arise from other assets acquired that could not be individually identified and separately recognized. Goodwill has been assigned to our Areas that will be integrating these operations as they are expected to benefit from the synergies of the combination. Goodwill related to this acquisition is not deductible for income tax purposes.</w:t>
      </w:r>
    </w:p>
    <w:p>
      <w:pPr>
        <w:spacing w:after="0" w:line="62"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allocation of the purchase price for the Deffenbaugh acquisition is preliminary and subject to change based on the finalization of our detailed valuations. The following table presents adjustments since the acquisition date to the allocation of the purchase price (in millions):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26,</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1"/>
        </w:trPr>
        <w:tc>
          <w:tcPr>
            <w:tcW w:w="6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73"/>
              <w:spacing w:after="0"/>
              <w:rPr>
                <w:sz w:val="20"/>
                <w:szCs w:val="20"/>
                <w:color w:val="auto"/>
              </w:rPr>
            </w:pPr>
            <w:r>
              <w:rPr>
                <w:rFonts w:ascii="Arial" w:cs="Arial" w:eastAsia="Arial" w:hAnsi="Arial"/>
                <w:sz w:val="14"/>
                <w:szCs w:val="14"/>
                <w:b w:val="1"/>
                <w:bCs w:val="1"/>
                <w:color w:val="auto"/>
                <w:w w:val="89"/>
              </w:rPr>
              <w:t>2015</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4"/>
                <w:szCs w:val="14"/>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Accounts and other receivables</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Parts and supplies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Deferred income tax asset</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212</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134</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Deferred revenues</w:t>
            </w:r>
          </w:p>
        </w:tc>
        <w:tc>
          <w:tcPr>
            <w:tcW w:w="14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Landfill and environmental remediation liabilities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Deferred income tax liability</w:t>
            </w:r>
          </w:p>
        </w:tc>
        <w:tc>
          <w:tcPr>
            <w:tcW w:w="14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(65)</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6900" w:type="dxa"/>
            <w:vAlign w:val="bottom"/>
            <w:vMerge w:val="restart"/>
          </w:tcPr>
          <w:p>
            <w:pPr>
              <w:ind w:left="440"/>
              <w:spacing w:after="0"/>
              <w:rPr>
                <w:sz w:val="20"/>
                <w:szCs w:val="20"/>
                <w:color w:val="auto"/>
              </w:rPr>
            </w:pPr>
            <w:r>
              <w:rPr>
                <w:rFonts w:ascii="Arial" w:cs="Arial" w:eastAsia="Arial" w:hAnsi="Arial"/>
                <w:sz w:val="18"/>
                <w:szCs w:val="18"/>
                <w:color w:val="auto"/>
              </w:rPr>
              <w:t>Total purchase price</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0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416</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preliminary allocation of $101 million for other intangibles includes $95 million for customer relationships and $6 million for a trade name, each with an amortization period of 15 years.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following pro forma consolidated results of operations have been prepared as if the acquisition of Deffenbaugh occurred at January 1, 2014 (in millions, except per share amounts):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9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8"/>
              </w:rPr>
              <w:t>Three Months Ended</w:t>
            </w:r>
          </w:p>
        </w:tc>
        <w:tc>
          <w:tcPr>
            <w:tcW w:w="1940" w:type="dxa"/>
            <w:vAlign w:val="bottom"/>
            <w:gridSpan w:val="3"/>
          </w:tcPr>
          <w:p>
            <w:pPr>
              <w:jc w:val="right"/>
              <w:ind w:right="352"/>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6580" w:type="dxa"/>
            <w:vAlign w:val="bottom"/>
          </w:tcPr>
          <w:p>
            <w:pPr>
              <w:spacing w:after="0"/>
              <w:rPr>
                <w:sz w:val="14"/>
                <w:szCs w:val="14"/>
                <w:color w:val="auto"/>
              </w:rPr>
            </w:pPr>
          </w:p>
        </w:tc>
        <w:tc>
          <w:tcPr>
            <w:tcW w:w="19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5"/>
              </w:rPr>
              <w:t>June 30,</w:t>
            </w:r>
          </w:p>
        </w:tc>
        <w:tc>
          <w:tcPr>
            <w:tcW w:w="600" w:type="dxa"/>
            <w:vAlign w:val="bottom"/>
          </w:tcPr>
          <w:p>
            <w:pPr>
              <w:spacing w:after="0"/>
              <w:rPr>
                <w:sz w:val="14"/>
                <w:szCs w:val="14"/>
                <w:color w:val="auto"/>
              </w:rPr>
            </w:pPr>
          </w:p>
        </w:tc>
        <w:tc>
          <w:tcPr>
            <w:tcW w:w="1340" w:type="dxa"/>
            <w:vAlign w:val="bottom"/>
            <w:gridSpan w:val="2"/>
          </w:tcPr>
          <w:p>
            <w:pPr>
              <w:jc w:val="right"/>
              <w:ind w:right="652"/>
              <w:spacing w:after="0"/>
              <w:rPr>
                <w:sz w:val="20"/>
                <w:szCs w:val="20"/>
                <w:color w:val="auto"/>
              </w:rPr>
            </w:pPr>
            <w:r>
              <w:rPr>
                <w:rFonts w:ascii="Arial" w:cs="Arial" w:eastAsia="Arial" w:hAnsi="Arial"/>
                <w:sz w:val="14"/>
                <w:szCs w:val="14"/>
                <w:b w:val="1"/>
                <w:bCs w:val="1"/>
                <w:color w:val="auto"/>
              </w:rPr>
              <w:t>June 30,</w:t>
            </w:r>
          </w:p>
        </w:tc>
      </w:tr>
      <w:tr>
        <w:trPr>
          <w:trHeight w:val="142"/>
        </w:trPr>
        <w:tc>
          <w:tcPr>
            <w:tcW w:w="6580" w:type="dxa"/>
            <w:vAlign w:val="bottom"/>
          </w:tcPr>
          <w:p>
            <w:pPr>
              <w:spacing w:after="0"/>
              <w:rPr>
                <w:sz w:val="12"/>
                <w:szCs w:val="12"/>
                <w:color w:val="auto"/>
              </w:rPr>
            </w:pPr>
          </w:p>
        </w:tc>
        <w:tc>
          <w:tcPr>
            <w:tcW w:w="12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2014</w:t>
            </w:r>
          </w:p>
        </w:tc>
        <w:tc>
          <w:tcPr>
            <w:tcW w:w="760" w:type="dxa"/>
            <w:vAlign w:val="bottom"/>
          </w:tcPr>
          <w:p>
            <w:pPr>
              <w:spacing w:after="0"/>
              <w:rPr>
                <w:sz w:val="12"/>
                <w:szCs w:val="12"/>
                <w:color w:val="auto"/>
              </w:rPr>
            </w:pPr>
          </w:p>
        </w:tc>
        <w:tc>
          <w:tcPr>
            <w:tcW w:w="60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2015</w:t>
            </w:r>
          </w:p>
        </w:tc>
        <w:tc>
          <w:tcPr>
            <w:tcW w:w="134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r>
      <w:tr>
        <w:trPr>
          <w:trHeight w:val="210"/>
        </w:trPr>
        <w:tc>
          <w:tcPr>
            <w:tcW w:w="6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220" w:type="dxa"/>
            <w:vAlign w:val="bottom"/>
            <w:tcBorders>
              <w:top w:val="single" w:sz="8" w:color="auto"/>
            </w:tcBorders>
            <w:shd w:val="clear" w:color="auto" w:fill="CCEEFF"/>
          </w:tcPr>
          <w:p>
            <w:pPr>
              <w:jc w:val="right"/>
              <w:ind w:right="181"/>
              <w:spacing w:after="0"/>
              <w:rPr>
                <w:sz w:val="20"/>
                <w:szCs w:val="20"/>
                <w:color w:val="auto"/>
              </w:rPr>
            </w:pPr>
            <w:r>
              <w:rPr>
                <w:rFonts w:ascii="Arial" w:cs="Arial" w:eastAsia="Arial" w:hAnsi="Arial"/>
                <w:sz w:val="18"/>
                <w:szCs w:val="18"/>
                <w:color w:val="auto"/>
              </w:rPr>
              <w:t>$3,606</w:t>
            </w:r>
          </w:p>
        </w:tc>
        <w:tc>
          <w:tcPr>
            <w:tcW w:w="7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$6,395</w:t>
            </w:r>
          </w:p>
        </w:tc>
        <w:tc>
          <w:tcPr>
            <w:tcW w:w="7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$7,042</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1220" w:type="dxa"/>
            <w:vAlign w:val="bottom"/>
          </w:tcPr>
          <w:p>
            <w:pPr>
              <w:jc w:val="right"/>
              <w:ind w:right="181"/>
              <w:spacing w:after="0"/>
              <w:rPr>
                <w:sz w:val="20"/>
                <w:szCs w:val="20"/>
                <w:color w:val="auto"/>
              </w:rPr>
            </w:pPr>
            <w:r>
              <w:rPr>
                <w:rFonts w:ascii="Arial" w:cs="Arial" w:eastAsia="Arial" w:hAnsi="Arial"/>
                <w:sz w:val="18"/>
                <w:szCs w:val="18"/>
                <w:color w:val="auto"/>
              </w:rPr>
              <w:t>214</w:t>
            </w:r>
          </w:p>
        </w:tc>
        <w:tc>
          <w:tcPr>
            <w:tcW w:w="7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441</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220" w:type="dxa"/>
            <w:vAlign w:val="bottom"/>
            <w:shd w:val="clear" w:color="auto" w:fill="CCEEFF"/>
          </w:tcPr>
          <w:p>
            <w:pPr>
              <w:jc w:val="right"/>
              <w:ind w:right="181"/>
              <w:spacing w:after="0"/>
              <w:rPr>
                <w:sz w:val="20"/>
                <w:szCs w:val="20"/>
                <w:color w:val="auto"/>
              </w:rPr>
            </w:pPr>
            <w:r>
              <w:rPr>
                <w:rFonts w:ascii="Arial" w:cs="Arial" w:eastAsia="Arial" w:hAnsi="Arial"/>
                <w:sz w:val="18"/>
                <w:szCs w:val="18"/>
                <w:color w:val="auto"/>
              </w:rPr>
              <w:t>0.46</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0.95</w:t>
            </w:r>
          </w:p>
        </w:tc>
      </w:tr>
      <w:tr>
        <w:trPr>
          <w:trHeight w:val="222"/>
        </w:trPr>
        <w:tc>
          <w:tcPr>
            <w:tcW w:w="658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220" w:type="dxa"/>
            <w:vAlign w:val="bottom"/>
          </w:tcPr>
          <w:p>
            <w:pPr>
              <w:jc w:val="right"/>
              <w:ind w:right="181"/>
              <w:spacing w:after="0"/>
              <w:rPr>
                <w:sz w:val="20"/>
                <w:szCs w:val="20"/>
                <w:color w:val="auto"/>
              </w:rPr>
            </w:pPr>
            <w:r>
              <w:rPr>
                <w:rFonts w:ascii="Arial" w:cs="Arial" w:eastAsia="Arial" w:hAnsi="Arial"/>
                <w:sz w:val="18"/>
                <w:szCs w:val="18"/>
                <w:color w:val="auto"/>
              </w:rPr>
              <w:t>0.46</w:t>
            </w:r>
          </w:p>
        </w:tc>
        <w:tc>
          <w:tcPr>
            <w:tcW w:w="7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0.94</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Wheelabrator Business — </w:t>
      </w:r>
      <w:r>
        <w:rPr>
          <w:rFonts w:ascii="Arial" w:cs="Arial" w:eastAsia="Arial" w:hAnsi="Arial"/>
          <w:sz w:val="16"/>
          <w:szCs w:val="16"/>
          <w:color w:val="auto"/>
        </w:rPr>
        <w:t>On December 19, 2014, we sold our Wheelabrator business to an affiliate of Energy Capital Partners and received cash proceeds</w:t>
      </w:r>
      <w:r>
        <w:rPr>
          <w:rFonts w:ascii="Arial" w:cs="Arial" w:eastAsia="Arial" w:hAnsi="Arial"/>
          <w:sz w:val="16"/>
          <w:szCs w:val="16"/>
          <w:i w:val="1"/>
          <w:iCs w:val="1"/>
          <w:color w:val="auto"/>
        </w:rPr>
        <w:t xml:space="preserve"> </w:t>
      </w:r>
      <w:r>
        <w:rPr>
          <w:rFonts w:ascii="Arial" w:cs="Arial" w:eastAsia="Arial" w:hAnsi="Arial"/>
          <w:sz w:val="16"/>
          <w:szCs w:val="16"/>
          <w:color w:val="auto"/>
        </w:rPr>
        <w:t>of $1.95 billion, net of cash divested, subject to certain post-closing adjustments. We recognized a gain of $519 million on this sale in the fourth quarter of 2014. For the six months ended June 30, 2015, net adjustments to this gain were immaterial on a pre-tax basis. In conjunction with the sale, the Company entered into several agreements to dispose of a minimum number of tons of waste at certain Wheelabrator facilities. These agreements generally provide for fixed volume commitments, with certain market price resets, for up to seven years.</w:t>
      </w:r>
    </w:p>
    <w:p>
      <w:pPr>
        <w:spacing w:after="0" w:line="3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Prior to the sale, our Wheelabrator business constituted a reportable segment, as discussed in Note 8. We concluded that the sale of our Wheelabrator business did not qualify for discontinued operations accounting under applicable authoritative guidance based on our significant continuing obligations under the long-term waste supply agreements referred to above and in Note 7.</w:t>
      </w:r>
    </w:p>
    <w:p>
      <w:pPr>
        <w:spacing w:after="0" w:line="5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In the second quarter of 2014, we sold our Puerto Rico operations and certain other collection and landfill assets which were included in Tier 3</w:t>
      </w:r>
      <w:r>
        <w:rPr>
          <w:rFonts w:ascii="Arial" w:cs="Arial" w:eastAsia="Arial" w:hAnsi="Arial"/>
          <w:sz w:val="18"/>
          <w:szCs w:val="18"/>
          <w:i w:val="1"/>
          <w:iCs w:val="1"/>
          <w:color w:val="auto"/>
        </w:rPr>
        <w:t xml:space="preserve"> </w:t>
      </w:r>
      <w:r>
        <w:rPr>
          <w:rFonts w:ascii="Arial" w:cs="Arial" w:eastAsia="Arial" w:hAnsi="Arial"/>
          <w:sz w:val="18"/>
          <w:szCs w:val="18"/>
          <w:color w:val="auto"/>
        </w:rPr>
        <w:t>and Tier 1, respectively, of our Solid Waste business. We received proceeds from the sale of $80 million, consisting of $65 million of cash and $15 million of preferred stock. The loss recognized related to the sale was $25 million and is recorded in “(Income) expense from divestitures, asset impairments and unusual items” in our Condensed Consolidated Statement of Operations.</w:t>
      </w:r>
    </w:p>
    <w:p>
      <w:pPr>
        <w:spacing w:after="0" w:line="178"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Asset Impairments and Unusual Items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expense from divestitures, asset impairments and unusual items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During the first half of 2015, we recognized net charges of $15 million, including $16 million of charges to write down or divest of certain assets in our recycling operations and a $5 million impairment of a landfill in our Western Canada Area due to revised post-closure cost estimates. Partially offsetting these charges was a $6 million gain on the sale of an oil and gas producing property in the second quarter of 2015.</w:t>
      </w:r>
    </w:p>
    <w:p>
      <w:pPr>
        <w:spacing w:after="0" w:line="2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the first half of 2014, we recognized net charges of $37 million, primarily related to a $25 million loss on the divestiture of our Puerto Rico operations and certain other collection and landfill assets as discussed further in Note 9 and a $12 million impairment charge due to the decision to close a waste processing facility.</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the first quarter of 2014, we sold our investment in Shanghai Environment Group, which was part of our Wheelabrator business. We received cash proceeds from the sale of $155 million, which have been included in “Proceeds from divestitures of businesses and other assets (net of cash divested)” within “Net cash used in investing activities” in the Condensed Consolidated Statement of Cash Flows. The losses recognized related to the sale were not material and are recorded in “Other, net” in our Condensed Consolidated Statement of Operations.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changes in the balances of each component of accumulated other comprehensive income, net of tax, which is included as a component of Waste Management, Inc. stockholders’ equity, are as follows (in millions, with amounts in parentheses representing decreases to accumulated other comprehensive income):</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9"/>
              </w:rPr>
              <w:t>Foreign</w:t>
            </w:r>
          </w:p>
        </w:tc>
        <w:tc>
          <w:tcPr>
            <w:tcW w:w="100" w:type="dxa"/>
            <w:vAlign w:val="bottom"/>
          </w:tcPr>
          <w:p>
            <w:pPr>
              <w:spacing w:after="0"/>
              <w:rPr>
                <w:sz w:val="14"/>
                <w:szCs w:val="14"/>
                <w:color w:val="auto"/>
              </w:rPr>
            </w:pPr>
          </w:p>
        </w:tc>
        <w:tc>
          <w:tcPr>
            <w:tcW w:w="128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5"/>
              </w:rPr>
              <w:t>Post-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Available-</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Currency</w:t>
            </w:r>
          </w:p>
        </w:tc>
        <w:tc>
          <w:tcPr>
            <w:tcW w:w="138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Retirement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Derivative</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for-Sale</w:t>
            </w:r>
          </w:p>
        </w:tc>
        <w:tc>
          <w:tcPr>
            <w:tcW w:w="780" w:type="dxa"/>
            <w:vAlign w:val="bottom"/>
          </w:tcPr>
          <w:p>
            <w:pPr>
              <w:spacing w:after="0"/>
              <w:rPr>
                <w:sz w:val="12"/>
                <w:szCs w:val="12"/>
                <w:color w:val="auto"/>
              </w:rPr>
            </w:pPr>
          </w:p>
        </w:tc>
        <w:tc>
          <w:tcPr>
            <w:tcW w:w="146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00" w:type="dxa"/>
            <w:vAlign w:val="bottom"/>
          </w:tcPr>
          <w:p>
            <w:pPr>
              <w:spacing w:after="0"/>
              <w:rPr>
                <w:sz w:val="12"/>
                <w:szCs w:val="12"/>
                <w:color w:val="auto"/>
              </w:rPr>
            </w:pPr>
          </w:p>
        </w:tc>
        <w:tc>
          <w:tcPr>
            <w:tcW w:w="128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8"/>
              </w:rPr>
              <w:t>Benefit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Instruments</w:t>
            </w: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w w:val="80"/>
              </w:rPr>
              <w:t>Securities</w:t>
            </w:r>
          </w:p>
        </w:tc>
        <w:tc>
          <w:tcPr>
            <w:tcW w:w="780" w:type="dxa"/>
            <w:vAlign w:val="bottom"/>
          </w:tcPr>
          <w:p>
            <w:pPr>
              <w:spacing w:after="0"/>
              <w:rPr>
                <w:sz w:val="14"/>
                <w:szCs w:val="14"/>
                <w:color w:val="auto"/>
              </w:rPr>
            </w:pPr>
          </w:p>
        </w:tc>
        <w:tc>
          <w:tcPr>
            <w:tcW w:w="146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7"/>
              </w:rPr>
              <w:t>Adjustments</w:t>
            </w:r>
          </w:p>
        </w:tc>
        <w:tc>
          <w:tcPr>
            <w:tcW w:w="100" w:type="dxa"/>
            <w:vAlign w:val="bottom"/>
          </w:tcPr>
          <w:p>
            <w:pPr>
              <w:spacing w:after="0"/>
              <w:rPr>
                <w:sz w:val="14"/>
                <w:szCs w:val="14"/>
                <w:color w:val="auto"/>
              </w:rPr>
            </w:pPr>
          </w:p>
        </w:tc>
        <w:tc>
          <w:tcPr>
            <w:tcW w:w="128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0"/>
              </w:rPr>
              <w:t>Plans</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December 31, 2014</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7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Other comprehensive income (loss) before</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w w:val="97"/>
              </w:rPr>
              <w:t>reclassifications net of tax expense (benefit) of</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rPr>
              <w:t>$8, $1, $0 and $0, respectively</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Amounts reclassified from accumulated other</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(income) loss net of tax</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(expense) benefit of $(5), $0, $0 and $0,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respectively</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5"/>
        </w:trPr>
        <w:tc>
          <w:tcPr>
            <w:tcW w:w="4080" w:type="dxa"/>
            <w:vAlign w:val="bottom"/>
            <w:gridSpan w:val="2"/>
          </w:tcPr>
          <w:p>
            <w:pPr>
              <w:spacing w:after="0"/>
              <w:rPr>
                <w:sz w:val="20"/>
                <w:szCs w:val="20"/>
                <w:color w:val="auto"/>
              </w:rPr>
            </w:pPr>
            <w:r>
              <w:rPr>
                <w:rFonts w:ascii="Arial" w:cs="Arial" w:eastAsia="Arial" w:hAnsi="Arial"/>
                <w:sz w:val="18"/>
                <w:szCs w:val="18"/>
                <w:color w:val="auto"/>
              </w:rPr>
              <w:t>Net current period other comprehensive income</w:t>
            </w:r>
          </w:p>
        </w:tc>
        <w:tc>
          <w:tcPr>
            <w:tcW w:w="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(loss)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amounts of other comprehensive income (loss) before reclassifications associated with our cash flow derivative instruments are as follows (in millions):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6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w w:val="91"/>
              </w:rPr>
              <w:t>Amount of Derivative Gain (Loss)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7"/>
          </w:tcPr>
          <w:p>
            <w:pPr>
              <w:jc w:val="right"/>
              <w:ind w:right="900"/>
              <w:spacing w:after="0"/>
              <w:rPr>
                <w:sz w:val="20"/>
                <w:szCs w:val="20"/>
                <w:color w:val="auto"/>
              </w:rPr>
            </w:pPr>
            <w:r>
              <w:rPr>
                <w:rFonts w:ascii="Arial" w:cs="Arial" w:eastAsia="Arial" w:hAnsi="Arial"/>
                <w:sz w:val="14"/>
                <w:szCs w:val="14"/>
                <w:b w:val="1"/>
                <w:bCs w:val="1"/>
                <w:color w:val="auto"/>
              </w:rPr>
              <w:t>Recognized in OCI (Effective Portion)</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40" w:type="dxa"/>
            <w:vAlign w:val="bottom"/>
            <w:vMerge w:val="restart"/>
          </w:tcPr>
          <w:p>
            <w:pPr>
              <w:spacing w:after="0"/>
              <w:rPr>
                <w:sz w:val="20"/>
                <w:szCs w:val="20"/>
                <w:color w:val="auto"/>
              </w:rPr>
            </w:pPr>
            <w:r>
              <w:rPr>
                <w:rFonts w:ascii="Arial" w:cs="Arial" w:eastAsia="Arial" w:hAnsi="Arial"/>
                <w:sz w:val="14"/>
                <w:szCs w:val="14"/>
                <w:b w:val="1"/>
                <w:bCs w:val="1"/>
                <w:color w:val="auto"/>
                <w:w w:val="90"/>
              </w:rPr>
              <w:t>Derivatives Designated as Cash Flow Hedges</w:t>
            </w:r>
          </w:p>
        </w:tc>
        <w:tc>
          <w:tcPr>
            <w:tcW w:w="2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w w:val="97"/>
              </w:rPr>
              <w:t>Three Months Ended June 30,</w:t>
            </w:r>
          </w:p>
        </w:tc>
        <w:tc>
          <w:tcPr>
            <w:tcW w:w="240" w:type="dxa"/>
            <w:vAlign w:val="bottom"/>
            <w:tcBorders>
              <w:bottom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4"/>
          </w:tcPr>
          <w:p>
            <w:pPr>
              <w:jc w:val="right"/>
              <w:ind w:right="215"/>
              <w:spacing w:after="0" w:line="142" w:lineRule="exact"/>
              <w:rPr>
                <w:sz w:val="20"/>
                <w:szCs w:val="20"/>
                <w:color w:val="auto"/>
              </w:rPr>
            </w:pPr>
            <w:r>
              <w:rPr>
                <w:rFonts w:ascii="Arial" w:cs="Arial" w:eastAsia="Arial" w:hAnsi="Arial"/>
                <w:sz w:val="14"/>
                <w:szCs w:val="14"/>
                <w:b w:val="1"/>
                <w:bCs w:val="1"/>
                <w:color w:val="auto"/>
                <w:w w:val="94"/>
              </w:rPr>
              <w:t>Six Months Ended June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740" w:type="dxa"/>
            <w:vAlign w:val="bottom"/>
            <w:tcBorders>
              <w:bottom w:val="single" w:sz="8" w:color="auto"/>
            </w:tcBorders>
            <w:vMerge w:val="continue"/>
          </w:tcPr>
          <w:p>
            <w:pPr>
              <w:spacing w:after="0"/>
              <w:rPr>
                <w:sz w:val="11"/>
                <w:szCs w:val="11"/>
                <w:color w:val="auto"/>
              </w:rPr>
            </w:pPr>
          </w:p>
        </w:tc>
        <w:tc>
          <w:tcPr>
            <w:tcW w:w="2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37"/>
              <w:spacing w:after="0" w:line="129" w:lineRule="exact"/>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1"/>
                <w:szCs w:val="11"/>
                <w:color w:val="auto"/>
              </w:rPr>
            </w:pPr>
          </w:p>
        </w:tc>
        <w:tc>
          <w:tcPr>
            <w:tcW w:w="9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ind w:right="97"/>
              <w:spacing w:after="0" w:line="129" w:lineRule="exact"/>
              <w:rPr>
                <w:sz w:val="20"/>
                <w:szCs w:val="20"/>
                <w:color w:val="auto"/>
              </w:rPr>
            </w:pPr>
            <w:r>
              <w:rPr>
                <w:rFonts w:ascii="Arial" w:cs="Arial" w:eastAsia="Arial" w:hAnsi="Arial"/>
                <w:sz w:val="14"/>
                <w:szCs w:val="14"/>
                <w:b w:val="1"/>
                <w:bCs w:val="1"/>
                <w:color w:val="auto"/>
                <w:w w:val="96"/>
              </w:rPr>
              <w:t>2015</w:t>
            </w: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ind w:right="115"/>
              <w:spacing w:after="0" w:line="129"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4"/>
              </w:rPr>
              <w:t>Forward-starting interest rate swaps</w:t>
            </w:r>
          </w:p>
        </w:tc>
        <w:tc>
          <w:tcPr>
            <w:tcW w:w="23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40" w:type="dxa"/>
            <w:vAlign w:val="bottom"/>
            <w:vMerge w:val="continue"/>
            <w:shd w:val="clear" w:color="auto" w:fill="CCEEFF"/>
          </w:tcPr>
          <w:p>
            <w:pPr>
              <w:spacing w:after="0"/>
              <w:rPr>
                <w:sz w:val="17"/>
                <w:szCs w:val="17"/>
                <w:color w:val="auto"/>
              </w:rPr>
            </w:pPr>
          </w:p>
        </w:tc>
        <w:tc>
          <w:tcPr>
            <w:tcW w:w="23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40" w:type="dxa"/>
            <w:vAlign w:val="bottom"/>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740"/>
              <w:spacing w:after="0"/>
              <w:rPr>
                <w:sz w:val="20"/>
                <w:szCs w:val="20"/>
                <w:color w:val="auto"/>
              </w:rPr>
            </w:pPr>
            <w:r>
              <w:rPr>
                <w:rFonts w:ascii="Arial" w:cs="Arial" w:eastAsia="Arial" w:hAnsi="Arial"/>
                <w:sz w:val="18"/>
                <w:szCs w:val="18"/>
                <w:color w:val="auto"/>
                <w:w w:val="87"/>
              </w:rPr>
              <w:t>(12)</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Electricity commodity derivatives</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220"/>
              <w:spacing w:after="0"/>
              <w:rPr>
                <w:sz w:val="20"/>
                <w:szCs w:val="20"/>
                <w:color w:val="auto"/>
              </w:rPr>
            </w:pPr>
            <w:r>
              <w:rPr>
                <w:rFonts w:ascii="Arial" w:cs="Arial" w:eastAsia="Arial" w:hAnsi="Arial"/>
                <w:sz w:val="18"/>
                <w:szCs w:val="18"/>
                <w:color w:val="auto"/>
              </w:rPr>
              <w:t>Total before tax</w:t>
            </w:r>
          </w:p>
        </w:tc>
        <w:tc>
          <w:tcPr>
            <w:tcW w:w="2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740" w:type="dxa"/>
            <w:vAlign w:val="bottom"/>
            <w:vMerge w:val="continue"/>
          </w:tcPr>
          <w:p>
            <w:pPr>
              <w:spacing w:after="0"/>
              <w:rPr>
                <w:sz w:val="19"/>
                <w:szCs w:val="19"/>
                <w:color w:val="auto"/>
              </w:rPr>
            </w:pPr>
          </w:p>
        </w:tc>
        <w:tc>
          <w:tcPr>
            <w:tcW w:w="2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gridSpan w:val="2"/>
          </w:tcPr>
          <w:p>
            <w:pPr>
              <w:jc w:val="right"/>
              <w:ind w:right="740"/>
              <w:spacing w:after="0"/>
              <w:rPr>
                <w:sz w:val="20"/>
                <w:szCs w:val="20"/>
                <w:color w:val="auto"/>
              </w:rPr>
            </w:pPr>
            <w:r>
              <w:rPr>
                <w:rFonts w:ascii="Arial" w:cs="Arial" w:eastAsia="Arial" w:hAnsi="Arial"/>
                <w:sz w:val="18"/>
                <w:szCs w:val="18"/>
                <w:color w:val="auto"/>
                <w:w w:val="87"/>
              </w:rPr>
              <w:t>(10)</w:t>
            </w: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7"/>
        </w:trPr>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(expense) benefit</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220"/>
              <w:spacing w:after="0"/>
              <w:rPr>
                <w:sz w:val="20"/>
                <w:szCs w:val="20"/>
                <w:color w:val="auto"/>
              </w:rPr>
            </w:pPr>
            <w:r>
              <w:rPr>
                <w:rFonts w:ascii="Arial" w:cs="Arial" w:eastAsia="Arial" w:hAnsi="Arial"/>
                <w:sz w:val="18"/>
                <w:szCs w:val="18"/>
                <w:color w:val="auto"/>
              </w:rPr>
              <w:t>Net of tax</w:t>
            </w:r>
          </w:p>
        </w:tc>
        <w:tc>
          <w:tcPr>
            <w:tcW w:w="2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740" w:type="dxa"/>
            <w:vAlign w:val="bottom"/>
            <w:vMerge w:val="continue"/>
          </w:tcPr>
          <w:p>
            <w:pPr>
              <w:spacing w:after="0"/>
              <w:rPr>
                <w:sz w:val="19"/>
                <w:szCs w:val="19"/>
                <w:color w:val="auto"/>
              </w:rPr>
            </w:pP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96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740"/>
              <w:spacing w:after="0"/>
              <w:rPr>
                <w:sz w:val="20"/>
                <w:szCs w:val="20"/>
                <w:color w:val="auto"/>
              </w:rPr>
            </w:pPr>
            <w:r>
              <w:rPr>
                <w:rFonts w:ascii="Arial" w:cs="Arial" w:eastAsia="Arial" w:hAnsi="Arial"/>
                <w:sz w:val="18"/>
                <w:szCs w:val="18"/>
                <w:color w:val="auto"/>
              </w:rPr>
              <w:t>(6)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8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7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ind w:right="357"/>
              <w:spacing w:after="0"/>
              <w:rPr>
                <w:sz w:val="20"/>
                <w:szCs w:val="20"/>
                <w:color w:val="auto"/>
              </w:rPr>
            </w:pPr>
            <w:r>
              <w:rPr>
                <w:rFonts w:ascii="Arial" w:cs="Arial" w:eastAsia="Arial" w:hAnsi="Arial"/>
                <w:sz w:val="18"/>
                <w:szCs w:val="18"/>
                <w:color w:val="auto"/>
                <w:w w:val="79"/>
              </w:rPr>
              <w:t>22</w:t>
            </w: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amounts reclassified out of accumulated other comprehensive income associated with our cash flow derivative instruments are as follows (in millions, with amounts in parentheses representing debits to the statement of operations classification):</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60" w:type="dxa"/>
            <w:vAlign w:val="bottom"/>
            <w:gridSpan w:val="8"/>
          </w:tcPr>
          <w:p>
            <w:pPr>
              <w:jc w:val="center"/>
              <w:ind w:left="344"/>
              <w:spacing w:after="0"/>
              <w:rPr>
                <w:sz w:val="20"/>
                <w:szCs w:val="20"/>
                <w:color w:val="auto"/>
              </w:rPr>
            </w:pPr>
            <w:r>
              <w:rPr>
                <w:rFonts w:ascii="Arial" w:cs="Arial" w:eastAsia="Arial" w:hAnsi="Arial"/>
                <w:sz w:val="14"/>
                <w:szCs w:val="14"/>
                <w:b w:val="1"/>
                <w:bCs w:val="1"/>
                <w:color w:val="auto"/>
                <w:w w:val="86"/>
              </w:rPr>
              <w:t>Amount Reclassified from</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80" w:type="dxa"/>
            <w:vAlign w:val="bottom"/>
            <w:gridSpan w:val="10"/>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Accumulated Other Comprehensive</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2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left="257"/>
              <w:spacing w:after="0"/>
              <w:rPr>
                <w:sz w:val="20"/>
                <w:szCs w:val="20"/>
                <w:color w:val="auto"/>
              </w:rPr>
            </w:pPr>
            <w:r>
              <w:rPr>
                <w:rFonts w:ascii="Arial" w:cs="Arial" w:eastAsia="Arial" w:hAnsi="Arial"/>
                <w:sz w:val="14"/>
                <w:szCs w:val="14"/>
                <w:b w:val="1"/>
                <w:bCs w:val="1"/>
                <w:color w:val="auto"/>
                <w:w w:val="85"/>
              </w:rPr>
              <w:t>Income</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6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gridSpan w:val="6"/>
          </w:tcPr>
          <w:p>
            <w:pPr>
              <w:jc w:val="right"/>
              <w:ind w:right="580"/>
              <w:spacing w:after="0" w:line="129" w:lineRule="exact"/>
              <w:rPr>
                <w:sz w:val="20"/>
                <w:szCs w:val="20"/>
                <w:color w:val="auto"/>
              </w:rPr>
            </w:pPr>
            <w:r>
              <w:rPr>
                <w:rFonts w:ascii="Arial" w:cs="Arial" w:eastAsia="Arial" w:hAnsi="Arial"/>
                <w:sz w:val="14"/>
                <w:szCs w:val="14"/>
                <w:b w:val="1"/>
                <w:bCs w:val="1"/>
                <w:color w:val="auto"/>
                <w:w w:val="89"/>
              </w:rPr>
              <w:t>Three Months Ended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5"/>
          </w:tcPr>
          <w:p>
            <w:pPr>
              <w:jc w:val="right"/>
              <w:ind w:right="55"/>
              <w:spacing w:after="0" w:line="129" w:lineRule="exact"/>
              <w:rPr>
                <w:sz w:val="20"/>
                <w:szCs w:val="20"/>
                <w:color w:val="auto"/>
              </w:rPr>
            </w:pPr>
            <w:r>
              <w:rPr>
                <w:rFonts w:ascii="Arial" w:cs="Arial" w:eastAsia="Arial" w:hAnsi="Arial"/>
                <w:sz w:val="14"/>
                <w:szCs w:val="14"/>
                <w:b w:val="1"/>
                <w:bCs w:val="1"/>
                <w:color w:val="auto"/>
                <w:w w:val="88"/>
              </w:rPr>
              <w:t>Six Months Ended</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Detail About Accumulated Other</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85"/>
              </w:rPr>
              <w:t>June 30,</w:t>
            </w:r>
          </w:p>
        </w:tc>
        <w:tc>
          <w:tcPr>
            <w:tcW w:w="4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82"/>
              </w:rPr>
              <w:t>June 30,</w:t>
            </w: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Statement of</w:t>
            </w:r>
          </w:p>
        </w:tc>
        <w:tc>
          <w:tcPr>
            <w:tcW w:w="0" w:type="dxa"/>
            <w:vAlign w:val="bottom"/>
          </w:tcPr>
          <w:p>
            <w:pPr>
              <w:spacing w:after="0"/>
              <w:rPr>
                <w:sz w:val="1"/>
                <w:szCs w:val="1"/>
                <w:color w:val="auto"/>
              </w:rPr>
            </w:pPr>
          </w:p>
        </w:tc>
      </w:tr>
      <w:tr>
        <w:trPr>
          <w:trHeight w:val="116"/>
        </w:trPr>
        <w:tc>
          <w:tcPr>
            <w:tcW w:w="55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552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Comprehensive Income Components</w:t>
            </w:r>
          </w:p>
        </w:tc>
        <w:tc>
          <w:tcPr>
            <w:tcW w:w="440" w:type="dxa"/>
            <w:vAlign w:val="bottom"/>
            <w:gridSpan w:val="2"/>
          </w:tcPr>
          <w:p>
            <w:pPr>
              <w:jc w:val="right"/>
              <w:ind w:right="15"/>
              <w:spacing w:after="0" w:line="141"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77"/>
              <w:spacing w:after="0" w:line="141" w:lineRule="exact"/>
              <w:rPr>
                <w:sz w:val="20"/>
                <w:szCs w:val="20"/>
                <w:color w:val="auto"/>
              </w:rPr>
            </w:pPr>
            <w:r>
              <w:rPr>
                <w:rFonts w:ascii="Arial" w:cs="Arial" w:eastAsia="Arial" w:hAnsi="Arial"/>
                <w:sz w:val="14"/>
                <w:szCs w:val="14"/>
                <w:b w:val="1"/>
                <w:bCs w:val="1"/>
                <w:color w:val="auto"/>
                <w:w w:val="89"/>
              </w:rPr>
              <w:t>2014</w:t>
            </w:r>
          </w:p>
        </w:tc>
        <w:tc>
          <w:tcPr>
            <w:tcW w:w="420" w:type="dxa"/>
            <w:vAlign w:val="bottom"/>
          </w:tcPr>
          <w:p>
            <w:pPr>
              <w:spacing w:after="0"/>
              <w:rPr>
                <w:sz w:val="14"/>
                <w:szCs w:val="14"/>
                <w:color w:val="auto"/>
              </w:rPr>
            </w:pPr>
          </w:p>
        </w:tc>
        <w:tc>
          <w:tcPr>
            <w:tcW w:w="420" w:type="dxa"/>
            <w:vAlign w:val="bottom"/>
            <w:gridSpan w:val="3"/>
          </w:tcPr>
          <w:p>
            <w:pPr>
              <w:jc w:val="right"/>
              <w:spacing w:after="0" w:line="141"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5"/>
              <w:spacing w:after="0" w:line="141" w:lineRule="exact"/>
              <w:rPr>
                <w:sz w:val="20"/>
                <w:szCs w:val="20"/>
                <w:color w:val="auto"/>
              </w:rPr>
            </w:pPr>
            <w:r>
              <w:rPr>
                <w:rFonts w:ascii="Arial" w:cs="Arial" w:eastAsia="Arial" w:hAnsi="Arial"/>
                <w:sz w:val="14"/>
                <w:szCs w:val="14"/>
                <w:b w:val="1"/>
                <w:bCs w:val="1"/>
                <w:color w:val="auto"/>
                <w:w w:val="89"/>
              </w:rPr>
              <w:t>2014</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6"/>
              </w:rPr>
              <w:t>Operations Classification</w:t>
            </w:r>
          </w:p>
        </w:tc>
        <w:tc>
          <w:tcPr>
            <w:tcW w:w="0" w:type="dxa"/>
            <w:vAlign w:val="bottom"/>
          </w:tcPr>
          <w:p>
            <w:pPr>
              <w:spacing w:after="0"/>
              <w:rPr>
                <w:sz w:val="1"/>
                <w:szCs w:val="1"/>
                <w:color w:val="auto"/>
              </w:rPr>
            </w:pPr>
          </w:p>
        </w:tc>
      </w:tr>
      <w:tr>
        <w:trPr>
          <w:trHeight w:val="20"/>
        </w:trPr>
        <w:tc>
          <w:tcPr>
            <w:tcW w:w="2260" w:type="dxa"/>
            <w:vAlign w:val="bottom"/>
            <w:tcBorders>
              <w:top w:val="single" w:sz="8" w:color="auto"/>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2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Gains and losses on cash flow hedges:</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ind w:left="220"/>
              <w:spacing w:after="0"/>
              <w:rPr>
                <w:sz w:val="20"/>
                <w:szCs w:val="20"/>
                <w:color w:val="auto"/>
              </w:rPr>
            </w:pPr>
            <w:r>
              <w:rPr>
                <w:rFonts w:ascii="Arial" w:cs="Arial" w:eastAsia="Arial" w:hAnsi="Arial"/>
                <w:sz w:val="18"/>
                <w:szCs w:val="18"/>
                <w:color w:val="auto"/>
              </w:rPr>
              <w:t>Forward-starting interest rate swaps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240" w:type="dxa"/>
            <w:vAlign w:val="bottom"/>
            <w:gridSpan w:val="2"/>
          </w:tcPr>
          <w:p>
            <w:pPr>
              <w:ind w:left="20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Treasury rate locks</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16"/>
        </w:trPr>
        <w:tc>
          <w:tcPr>
            <w:tcW w:w="5520" w:type="dxa"/>
            <w:vAlign w:val="bottom"/>
            <w:gridSpan w:val="2"/>
          </w:tcPr>
          <w:p>
            <w:pPr>
              <w:ind w:left="220"/>
              <w:spacing w:after="0"/>
              <w:rPr>
                <w:sz w:val="20"/>
                <w:szCs w:val="20"/>
                <w:color w:val="auto"/>
              </w:rPr>
            </w:pPr>
            <w:r>
              <w:rPr>
                <w:rFonts w:ascii="Arial" w:cs="Arial" w:eastAsia="Arial" w:hAnsi="Arial"/>
                <w:sz w:val="18"/>
                <w:szCs w:val="18"/>
                <w:color w:val="auto"/>
              </w:rPr>
              <w:t>Foreign currency derivatives</w:t>
            </w:r>
          </w:p>
        </w:tc>
        <w:tc>
          <w:tcPr>
            <w:tcW w:w="1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200"/>
              <w:spacing w:after="0"/>
              <w:rPr>
                <w:sz w:val="20"/>
                <w:szCs w:val="20"/>
                <w:color w:val="auto"/>
              </w:rPr>
            </w:pPr>
            <w:r>
              <w:rPr>
                <w:rFonts w:ascii="Arial" w:cs="Arial" w:eastAsia="Arial" w:hAnsi="Arial"/>
                <w:sz w:val="18"/>
                <w:szCs w:val="18"/>
                <w:color w:val="auto"/>
              </w:rPr>
              <w:t>Other, net</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Electricity commodity derivatives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2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Operating revenues</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2"/>
            <w:vMerge w:val="restart"/>
          </w:tcPr>
          <w:p>
            <w:pPr>
              <w:ind w:left="20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line="20" w:lineRule="exact"/>
              <w:rPr>
                <w:sz w:val="1"/>
                <w:szCs w:val="1"/>
                <w:color w:val="auto"/>
              </w:rPr>
            </w:pPr>
          </w:p>
        </w:tc>
      </w:tr>
      <w:tr>
        <w:trPr>
          <w:trHeight w:val="222"/>
        </w:trPr>
        <w:tc>
          <w:tcPr>
            <w:tcW w:w="22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22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2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2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Tax (expense) benefit</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reclassifications for the period</w:t>
            </w: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2"/>
            <w:vMerge w:val="restart"/>
          </w:tcPr>
          <w:p>
            <w:pPr>
              <w:ind w:left="20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line="20" w:lineRule="exact"/>
              <w:rPr>
                <w:sz w:val="1"/>
                <w:szCs w:val="1"/>
                <w:color w:val="auto"/>
              </w:rPr>
            </w:pPr>
          </w:p>
        </w:tc>
      </w:tr>
      <w:tr>
        <w:trPr>
          <w:trHeight w:val="222"/>
        </w:trPr>
        <w:tc>
          <w:tcPr>
            <w:tcW w:w="552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2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 Repurchases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share repurchases have been made in accordance with financial plans approved by our Board of Directors. We announced in February 2015 that the Board of Directors has authorized up to $1 billion in future share repurchases. Any future share repurchases pursuant to this authorization will be made at the discretion of management. In both the third quarter of 2014 and the second quarter of 2015, we entered into accelerated share repurchase (“ASR”) agreements as discussed below.</w:t>
      </w:r>
    </w:p>
    <w:p>
      <w:pPr>
        <w:spacing w:after="0" w:line="62" w:lineRule="exact"/>
        <w:rPr>
          <w:sz w:val="20"/>
          <w:szCs w:val="20"/>
          <w:color w:val="auto"/>
        </w:rPr>
      </w:pPr>
    </w:p>
    <w:p>
      <w:pPr>
        <w:jc w:val="both"/>
        <w:ind w:left="460"/>
        <w:spacing w:after="0" w:line="298" w:lineRule="auto"/>
        <w:rPr>
          <w:sz w:val="20"/>
          <w:szCs w:val="20"/>
          <w:color w:val="auto"/>
        </w:rPr>
      </w:pPr>
      <w:r>
        <w:rPr>
          <w:rFonts w:ascii="Arial" w:cs="Arial" w:eastAsia="Arial" w:hAnsi="Arial"/>
          <w:sz w:val="16"/>
          <w:szCs w:val="16"/>
          <w:i w:val="1"/>
          <w:iCs w:val="1"/>
          <w:color w:val="auto"/>
        </w:rPr>
        <w:t xml:space="preserve">2015 ASR Agreement </w:t>
      </w:r>
      <w:r>
        <w:rPr>
          <w:rFonts w:ascii="Arial" w:cs="Arial" w:eastAsia="Arial" w:hAnsi="Arial"/>
          <w:sz w:val="16"/>
          <w:szCs w:val="16"/>
          <w:color w:val="auto"/>
        </w:rPr>
        <w:t>— In May 2015, we entered into an ASR agreement with a financial institution to repurchase an aggregate of $300 million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At the beginning of the ASR repurchase period, we delivered $300 million in cash and received 4.2 million shares, which represented 70% of the shares expected to be repurchased based on then-current market prices. This agreement was completed in June 2015 and we received an additional 1.9 million shares. The final weighted average per share price for the completed ASR agreement was $49.17.</w:t>
      </w:r>
    </w:p>
    <w:p>
      <w:pPr>
        <w:spacing w:after="0" w:line="32" w:lineRule="exact"/>
        <w:rPr>
          <w:sz w:val="20"/>
          <w:szCs w:val="20"/>
          <w:color w:val="auto"/>
        </w:rPr>
      </w:pPr>
    </w:p>
    <w:p>
      <w:pPr>
        <w:jc w:val="both"/>
        <w:ind w:left="460"/>
        <w:spacing w:after="0" w:line="294" w:lineRule="auto"/>
        <w:rPr>
          <w:sz w:val="20"/>
          <w:szCs w:val="20"/>
          <w:color w:val="auto"/>
        </w:rPr>
      </w:pPr>
      <w:r>
        <w:rPr>
          <w:rFonts w:ascii="Arial" w:cs="Arial" w:eastAsia="Arial" w:hAnsi="Arial"/>
          <w:sz w:val="16"/>
          <w:szCs w:val="16"/>
          <w:i w:val="1"/>
          <w:iCs w:val="1"/>
          <w:color w:val="auto"/>
        </w:rPr>
        <w:t xml:space="preserve">2014 ASR Agreements </w:t>
      </w:r>
      <w:r>
        <w:rPr>
          <w:rFonts w:ascii="Arial" w:cs="Arial" w:eastAsia="Arial" w:hAnsi="Arial"/>
          <w:sz w:val="16"/>
          <w:szCs w:val="16"/>
          <w:color w:val="auto"/>
        </w:rPr>
        <w:t>— In February 2014, the Board of Directors authorized up to $600 million in share repurchases. During the third quarter of 2014, we</w:t>
      </w:r>
      <w:r>
        <w:rPr>
          <w:rFonts w:ascii="Arial" w:cs="Arial" w:eastAsia="Arial" w:hAnsi="Arial"/>
          <w:sz w:val="16"/>
          <w:szCs w:val="16"/>
          <w:i w:val="1"/>
          <w:iCs w:val="1"/>
          <w:color w:val="auto"/>
        </w:rPr>
        <w:t xml:space="preserve"> </w:t>
      </w:r>
      <w:r>
        <w:rPr>
          <w:rFonts w:ascii="Arial" w:cs="Arial" w:eastAsia="Arial" w:hAnsi="Arial"/>
          <w:sz w:val="16"/>
          <w:szCs w:val="16"/>
          <w:color w:val="auto"/>
        </w:rPr>
        <w:t>entered into ASR agreements with two financial institutions to repurchase an aggregate of $600 million of our common stock. At the beginning of the ASR repurchase periods, we delivered $600 million in cash and received 9.6 million shares, which represented 70% of the shares expected to be repurchased based on then-current market prices. These agreements were completed in February 2015 and we received an additional 2.8 million shares. The final weighted average per share price for the completed ASR agreements was $48.58.</w:t>
      </w:r>
    </w:p>
    <w:p>
      <w:pPr>
        <w:spacing w:after="0" w:line="3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Each ASR agreement was accounted for as two separate transactions: (i) as shares of reacquired common stock for the shares delivered to us upon effectiveness of the ASR agreements and (ii) as a forward contract indexed to our own common stock for the undelivered shares. The initial delivery of shares was included in treasury stock at cost, and resulted in an immediate reduction of the outstanding shares used to calculate the weighted-average common shares outstanding for basic and diluted earnings per share. The forward contracts indexed to our own stock met the criteria for equity classification, and these amounts were initially recorded in additional paid-in capital and reclassified to treasury stock upon completion of the ASR agreements.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and Liabilities Accounted for at Fair Value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assets and liabilities that are measured at fair value on a recurring basis include the following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6"/>
          </w:tcPr>
          <w:p>
            <w:pPr>
              <w:jc w:val="center"/>
              <w:ind w:left="127"/>
              <w:spacing w:after="0"/>
              <w:rPr>
                <w:sz w:val="20"/>
                <w:szCs w:val="20"/>
                <w:color w:val="auto"/>
              </w:rPr>
            </w:pPr>
            <w:r>
              <w:rPr>
                <w:rFonts w:ascii="Arial" w:cs="Arial" w:eastAsia="Arial" w:hAnsi="Arial"/>
                <w:sz w:val="14"/>
                <w:szCs w:val="14"/>
                <w:b w:val="1"/>
                <w:bCs w:val="1"/>
                <w:color w:val="auto"/>
                <w:w w:val="88"/>
              </w:rPr>
              <w:t>Fair Value Measurements at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center"/>
              <w:ind w:left="127"/>
              <w:spacing w:after="0"/>
              <w:rPr>
                <w:sz w:val="20"/>
                <w:szCs w:val="20"/>
                <w:color w:val="auto"/>
              </w:rPr>
            </w:pPr>
            <w:r>
              <w:rPr>
                <w:rFonts w:ascii="Arial" w:cs="Arial" w:eastAsia="Arial" w:hAnsi="Arial"/>
                <w:sz w:val="14"/>
                <w:szCs w:val="14"/>
                <w:b w:val="1"/>
                <w:bCs w:val="1"/>
                <w:color w:val="auto"/>
                <w:w w:val="86"/>
              </w:rPr>
              <w:t>June 30, 2015 Using</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gridSpan w:val="4"/>
          </w:tcPr>
          <w:p>
            <w:pPr>
              <w:jc w:val="center"/>
              <w:ind w:right="120"/>
              <w:spacing w:after="0" w:line="129" w:lineRule="exact"/>
              <w:rPr>
                <w:sz w:val="20"/>
                <w:szCs w:val="20"/>
                <w:color w:val="auto"/>
              </w:rPr>
            </w:pPr>
            <w:r>
              <w:rPr>
                <w:rFonts w:ascii="Arial" w:cs="Arial" w:eastAsia="Arial" w:hAnsi="Arial"/>
                <w:sz w:val="14"/>
                <w:szCs w:val="14"/>
                <w:b w:val="1"/>
                <w:bCs w:val="1"/>
                <w:color w:val="auto"/>
                <w:w w:val="89"/>
              </w:rPr>
              <w:t>Quoted</w:t>
            </w:r>
          </w:p>
        </w:tc>
        <w:tc>
          <w:tcPr>
            <w:tcW w:w="640" w:type="dxa"/>
            <w:vAlign w:val="bottom"/>
          </w:tcPr>
          <w:p>
            <w:pPr>
              <w:spacing w:after="0"/>
              <w:rPr>
                <w:sz w:val="11"/>
                <w:szCs w:val="11"/>
                <w:color w:val="auto"/>
              </w:rPr>
            </w:pPr>
          </w:p>
        </w:tc>
        <w:tc>
          <w:tcPr>
            <w:tcW w:w="1400" w:type="dxa"/>
            <w:vAlign w:val="bottom"/>
            <w:gridSpan w:val="5"/>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Prices in</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Active</w:t>
            </w:r>
          </w:p>
        </w:tc>
        <w:tc>
          <w:tcPr>
            <w:tcW w:w="640" w:type="dxa"/>
            <w:vAlign w:val="bottom"/>
          </w:tcPr>
          <w:p>
            <w:pPr>
              <w:spacing w:after="0"/>
              <w:rPr>
                <w:sz w:val="12"/>
                <w:szCs w:val="12"/>
                <w:color w:val="auto"/>
              </w:rPr>
            </w:pPr>
          </w:p>
        </w:tc>
        <w:tc>
          <w:tcPr>
            <w:tcW w:w="14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4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Markets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Inputs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140" w:type="dxa"/>
            <w:vAlign w:val="bottom"/>
            <w:gridSpan w:val="5"/>
          </w:tcPr>
          <w:p>
            <w:pPr>
              <w:ind w:left="40"/>
              <w:spacing w:after="0"/>
              <w:rPr>
                <w:sz w:val="20"/>
                <w:szCs w:val="20"/>
                <w:color w:val="auto"/>
              </w:rPr>
            </w:pPr>
            <w:r>
              <w:rPr>
                <w:rFonts w:ascii="Arial" w:cs="Arial" w:eastAsia="Arial" w:hAnsi="Arial"/>
                <w:sz w:val="14"/>
                <w:szCs w:val="14"/>
                <w:b w:val="1"/>
                <w:bCs w:val="1"/>
                <w:color w:val="auto"/>
              </w:rPr>
              <w:t>Total</w:t>
            </w:r>
          </w:p>
        </w:tc>
        <w:tc>
          <w:tcPr>
            <w:tcW w:w="640" w:type="dxa"/>
            <w:vAlign w:val="bottom"/>
            <w:gridSpan w:val="4"/>
          </w:tcPr>
          <w:p>
            <w:pPr>
              <w:spacing w:after="0"/>
              <w:rPr>
                <w:sz w:val="20"/>
                <w:szCs w:val="20"/>
                <w:color w:val="auto"/>
              </w:rPr>
            </w:pPr>
            <w:r>
              <w:rPr>
                <w:rFonts w:ascii="Arial" w:cs="Arial" w:eastAsia="Arial" w:hAnsi="Arial"/>
                <w:sz w:val="14"/>
                <w:szCs w:val="14"/>
                <w:b w:val="1"/>
                <w:bCs w:val="1"/>
                <w:color w:val="auto"/>
              </w:rPr>
              <w:t>(Level 1)</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(Level 2)</w:t>
            </w:r>
          </w:p>
        </w:tc>
        <w:tc>
          <w:tcPr>
            <w:tcW w:w="4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(Level 3)(a)</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7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ind w:left="220"/>
              <w:spacing w:after="0"/>
              <w:rPr>
                <w:sz w:val="20"/>
                <w:szCs w:val="20"/>
                <w:color w:val="auto"/>
              </w:rPr>
            </w:pPr>
            <w:r>
              <w:rPr>
                <w:rFonts w:ascii="Arial" w:cs="Arial" w:eastAsia="Arial" w:hAnsi="Arial"/>
                <w:sz w:val="18"/>
                <w:szCs w:val="18"/>
                <w:color w:val="auto"/>
              </w:rPr>
              <w:t>Money market funds</w:t>
            </w:r>
          </w:p>
        </w:tc>
        <w:tc>
          <w:tcPr>
            <w:tcW w:w="580" w:type="dxa"/>
            <w:vAlign w:val="bottom"/>
            <w:gridSpan w:val="4"/>
          </w:tcPr>
          <w:p>
            <w:pPr>
              <w:jc w:val="right"/>
              <w:ind w:right="200"/>
              <w:spacing w:after="0"/>
              <w:rPr>
                <w:sz w:val="20"/>
                <w:szCs w:val="20"/>
                <w:color w:val="auto"/>
              </w:rPr>
            </w:pPr>
            <w:r>
              <w:rPr>
                <w:rFonts w:ascii="Arial" w:cs="Arial" w:eastAsia="Arial" w:hAnsi="Arial"/>
                <w:sz w:val="18"/>
                <w:szCs w:val="18"/>
                <w:color w:val="auto"/>
                <w:w w:val="89"/>
              </w:rPr>
              <w:t>$190</w:t>
            </w:r>
          </w:p>
        </w:tc>
        <w:tc>
          <w:tcPr>
            <w:tcW w:w="5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gridSpan w:val="3"/>
          </w:tcPr>
          <w:p>
            <w:pPr>
              <w:jc w:val="right"/>
              <w:ind w:right="120"/>
              <w:spacing w:after="0"/>
              <w:rPr>
                <w:sz w:val="20"/>
                <w:szCs w:val="20"/>
                <w:color w:val="auto"/>
              </w:rPr>
            </w:pPr>
            <w:r>
              <w:rPr>
                <w:rFonts w:ascii="Arial" w:cs="Arial" w:eastAsia="Arial" w:hAnsi="Arial"/>
                <w:sz w:val="18"/>
                <w:szCs w:val="18"/>
                <w:color w:val="auto"/>
              </w:rPr>
              <w:t>190</w:t>
            </w:r>
          </w:p>
        </w:tc>
        <w:tc>
          <w:tcPr>
            <w:tcW w:w="80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Fixed-income securities</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ind w:left="220"/>
              <w:spacing w:after="0"/>
              <w:rPr>
                <w:sz w:val="20"/>
                <w:szCs w:val="20"/>
                <w:color w:val="auto"/>
              </w:rPr>
            </w:pPr>
            <w:r>
              <w:rPr>
                <w:rFonts w:ascii="Arial" w:cs="Arial" w:eastAsia="Arial" w:hAnsi="Arial"/>
                <w:sz w:val="18"/>
                <w:szCs w:val="18"/>
                <w:color w:val="auto"/>
              </w:rPr>
              <w:t>Redeemable preferred stock</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47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6"/>
                <w:szCs w:val="16"/>
                <w:color w:val="auto"/>
                <w:w w:val="78"/>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 currency derivatives</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74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740" w:type="dxa"/>
            <w:vAlign w:val="bottom"/>
            <w:gridSpan w:val="2"/>
            <w:vMerge w:val="continue"/>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324</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87</w:t>
            </w:r>
          </w:p>
        </w:tc>
        <w:tc>
          <w:tcPr>
            <w:tcW w:w="660" w:type="dxa"/>
            <w:vAlign w:val="bottom"/>
          </w:tcPr>
          <w:p>
            <w:pPr>
              <w:spacing w:after="0"/>
              <w:rPr>
                <w:sz w:val="19"/>
                <w:szCs w:val="19"/>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540"/>
              <w:spacing w:after="0"/>
              <w:rPr>
                <w:sz w:val="20"/>
                <w:szCs w:val="20"/>
                <w:color w:val="auto"/>
              </w:rPr>
            </w:pPr>
            <w:r>
              <w:rPr>
                <w:rFonts w:ascii="Arial" w:cs="Arial" w:eastAsia="Arial" w:hAnsi="Arial"/>
                <w:sz w:val="16"/>
                <w:szCs w:val="16"/>
                <w:color w:val="auto"/>
                <w:w w:val="78"/>
              </w:rPr>
              <w:t>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ind w:left="220"/>
              <w:spacing w:after="0"/>
              <w:rPr>
                <w:sz w:val="20"/>
                <w:szCs w:val="20"/>
                <w:color w:val="auto"/>
              </w:rPr>
            </w:pPr>
            <w:r>
              <w:rPr>
                <w:rFonts w:ascii="Arial" w:cs="Arial" w:eastAsia="Arial" w:hAnsi="Arial"/>
                <w:sz w:val="18"/>
                <w:szCs w:val="18"/>
                <w:color w:val="auto"/>
              </w:rPr>
              <w:t>Foreign currency derivatives</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66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6"/>
          </w:tcPr>
          <w:p>
            <w:pPr>
              <w:jc w:val="center"/>
              <w:ind w:left="267"/>
              <w:spacing w:after="0"/>
              <w:rPr>
                <w:sz w:val="20"/>
                <w:szCs w:val="20"/>
                <w:color w:val="auto"/>
              </w:rPr>
            </w:pPr>
            <w:r>
              <w:rPr>
                <w:rFonts w:ascii="Arial" w:cs="Arial" w:eastAsia="Arial" w:hAnsi="Arial"/>
                <w:sz w:val="14"/>
                <w:szCs w:val="14"/>
                <w:b w:val="1"/>
                <w:bCs w:val="1"/>
                <w:color w:val="auto"/>
                <w:w w:val="87"/>
              </w:rPr>
              <w:t>Fair Value Measurements at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center"/>
              <w:ind w:left="267"/>
              <w:spacing w:after="0"/>
              <w:rPr>
                <w:sz w:val="20"/>
                <w:szCs w:val="20"/>
                <w:color w:val="auto"/>
              </w:rPr>
            </w:pPr>
            <w:r>
              <w:rPr>
                <w:rFonts w:ascii="Arial" w:cs="Arial" w:eastAsia="Arial" w:hAnsi="Arial"/>
                <w:sz w:val="14"/>
                <w:szCs w:val="14"/>
                <w:b w:val="1"/>
                <w:bCs w:val="1"/>
                <w:color w:val="auto"/>
                <w:w w:val="86"/>
              </w:rPr>
              <w:t>December 31, 2014 Using</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Quoted</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Prices in</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Active</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4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Markets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Inputs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(Level 1)</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4"/>
          </w:tcPr>
          <w:p>
            <w:pPr>
              <w:ind w:left="60"/>
              <w:spacing w:after="0"/>
              <w:rPr>
                <w:sz w:val="20"/>
                <w:szCs w:val="20"/>
                <w:color w:val="auto"/>
              </w:rPr>
            </w:pPr>
            <w:r>
              <w:rPr>
                <w:rFonts w:ascii="Arial" w:cs="Arial" w:eastAsia="Arial" w:hAnsi="Arial"/>
                <w:sz w:val="14"/>
                <w:szCs w:val="14"/>
                <w:b w:val="1"/>
                <w:bCs w:val="1"/>
                <w:color w:val="auto"/>
              </w:rPr>
              <w:t>(Level 2)</w:t>
            </w:r>
          </w:p>
        </w:tc>
        <w:tc>
          <w:tcPr>
            <w:tcW w:w="4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(Level 3)(a)</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7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ind w:left="220"/>
              <w:spacing w:after="0"/>
              <w:rPr>
                <w:sz w:val="20"/>
                <w:szCs w:val="20"/>
                <w:color w:val="auto"/>
              </w:rPr>
            </w:pPr>
            <w:r>
              <w:rPr>
                <w:rFonts w:ascii="Arial" w:cs="Arial" w:eastAsia="Arial" w:hAnsi="Arial"/>
                <w:sz w:val="18"/>
                <w:szCs w:val="18"/>
                <w:color w:val="auto"/>
              </w:rPr>
              <w:t>Money market funds</w:t>
            </w: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$1,335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83"/>
              </w:rPr>
              <w:t>$ 1,335</w:t>
            </w:r>
          </w:p>
        </w:tc>
        <w:tc>
          <w:tcPr>
            <w:tcW w:w="800" w:type="dxa"/>
            <w:vAlign w:val="bottom"/>
            <w:gridSpan w:val="3"/>
          </w:tcPr>
          <w:p>
            <w:pPr>
              <w:ind w:left="720"/>
              <w:spacing w:after="0"/>
              <w:rPr>
                <w:sz w:val="20"/>
                <w:szCs w:val="20"/>
                <w:color w:val="auto"/>
              </w:rPr>
            </w:pPr>
            <w:r>
              <w:rPr>
                <w:rFonts w:ascii="Arial" w:cs="Arial" w:eastAsia="Arial" w:hAnsi="Arial"/>
                <w:sz w:val="15"/>
                <w:szCs w:val="15"/>
                <w:color w:val="auto"/>
                <w:w w:val="71"/>
              </w:rPr>
              <w:t>$</w:t>
            </w:r>
          </w:p>
        </w:tc>
        <w:tc>
          <w:tcPr>
            <w:tcW w:w="124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Fixed-income securities</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ind w:left="220"/>
              <w:spacing w:after="0"/>
              <w:rPr>
                <w:sz w:val="20"/>
                <w:szCs w:val="20"/>
                <w:color w:val="auto"/>
              </w:rPr>
            </w:pPr>
            <w:r>
              <w:rPr>
                <w:rFonts w:ascii="Arial" w:cs="Arial" w:eastAsia="Arial" w:hAnsi="Arial"/>
                <w:sz w:val="18"/>
                <w:szCs w:val="18"/>
                <w:color w:val="auto"/>
              </w:rPr>
              <w:t>Redeemable preferred stock</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6"/>
                <w:szCs w:val="16"/>
                <w:color w:val="auto"/>
                <w:w w:val="78"/>
              </w:rPr>
              <w:t>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 currency derivatives</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74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740" w:type="dxa"/>
            <w:vAlign w:val="bottom"/>
            <w:gridSpan w:val="2"/>
            <w:vMerge w:val="continue"/>
          </w:tcPr>
          <w:p>
            <w:pPr>
              <w:spacing w:after="0"/>
              <w:rPr>
                <w:sz w:val="19"/>
                <w:szCs w:val="19"/>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1,445</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83"/>
              </w:rPr>
              <w:t>$ 1,335</w:t>
            </w:r>
          </w:p>
        </w:tc>
        <w:tc>
          <w:tcPr>
            <w:tcW w:w="800" w:type="dxa"/>
            <w:vAlign w:val="bottom"/>
            <w:gridSpan w:val="3"/>
          </w:tcPr>
          <w:p>
            <w:pPr>
              <w:ind w:left="72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660" w:type="dxa"/>
            <w:vAlign w:val="bottom"/>
          </w:tcPr>
          <w:p>
            <w:pPr>
              <w:spacing w:after="0"/>
              <w:rPr>
                <w:sz w:val="19"/>
                <w:szCs w:val="19"/>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540"/>
              <w:spacing w:after="0"/>
              <w:rPr>
                <w:sz w:val="20"/>
                <w:szCs w:val="20"/>
                <w:color w:val="auto"/>
              </w:rPr>
            </w:pPr>
            <w:r>
              <w:rPr>
                <w:rFonts w:ascii="Arial" w:cs="Arial" w:eastAsia="Arial" w:hAnsi="Arial"/>
                <w:sz w:val="16"/>
                <w:szCs w:val="16"/>
                <w:color w:val="auto"/>
                <w:w w:val="78"/>
              </w:rPr>
              <w:t>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hanging="452"/>
        <w:spacing w:after="0" w:line="255"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3 investments have been measured based on third-party investors’ recent or pending transactions in these securities, which are considered the best evidence of fair value currently available. When this evidence is not available, we use other valuation techniques as appropriate and available. These valuation methodologies may include transactions in similar instruments, discounted cash flow analysis, third-party appraisals or industry multiples and public comparables. There has not been any significant change in the fair value of the redeemable preferred stock since our assessment at December 31, 2014.</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At June 30, 2015 and December 31, 2014, the carrying value of our debt was approximately $9.1 billion and $9.4 billion, respectively. The carrying value of our debt includes adjustments associated with fair value hedge accounting related to our interest rate swaps as discussed in Note 4.</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ind w:firstLine="456"/>
        <w:spacing w:after="0" w:line="283" w:lineRule="auto"/>
        <w:rPr>
          <w:sz w:val="20"/>
          <w:szCs w:val="20"/>
          <w:color w:val="auto"/>
        </w:rPr>
      </w:pPr>
      <w:r>
        <w:rPr>
          <w:rFonts w:ascii="Arial" w:cs="Arial" w:eastAsia="Arial" w:hAnsi="Arial"/>
          <w:sz w:val="16"/>
          <w:szCs w:val="16"/>
          <w:color w:val="auto"/>
        </w:rPr>
        <w:t>The estimated fair value of our debt was approximately $9.5 billion and $10.6 billion at June 30, 2015 and December 31, 2014, respectively. The estimated fair value of our senior notes is based on quoted market prices. The carrying value of remarketable debt and borrowings under our revolving credit facilities approximates fair value due to the short-term nature of the interest rates. The fair value of our other debt is estimated using discounted cash flow analysis, based on current market rates for similar types of instruments. The decrease in the fair value of our debt when comparing June 30, 2015 with December 31, 2014 is primarily related to the net repayment of $315 million of our debt, a substantial portion of which was related to our debt refinancing as further discussed in Note</w:t>
      </w:r>
    </w:p>
    <w:p>
      <w:pPr>
        <w:spacing w:after="0" w:line="2" w:lineRule="exact"/>
        <w:rPr>
          <w:sz w:val="20"/>
          <w:szCs w:val="20"/>
          <w:color w:val="auto"/>
        </w:rPr>
      </w:pPr>
    </w:p>
    <w:p>
      <w:pPr>
        <w:ind w:firstLine="8"/>
        <w:spacing w:after="0" w:line="261" w:lineRule="auto"/>
        <w:tabs>
          <w:tab w:leader="none" w:pos="17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refinancing resulted in a reduction of high-coupon debt and the payment of related market premiums on these notes, and the replacement of this debt with new notes with a fair value that closely approximates book value.</w:t>
      </w:r>
    </w:p>
    <w:p>
      <w:pPr>
        <w:spacing w:after="0" w:line="5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and/or estimation methodologies could have a material effect on the estimated fair values. The fair value estimates are based on Level 2 inputs of the fair value hierarchy available as of June 30, 2015 and December 31, 2014. These amounts have not been revalued since those dates, and current estimates of fair value could differ significantly from the amounts presented.</w:t>
      </w:r>
    </w:p>
    <w:p>
      <w:pPr>
        <w:spacing w:after="0" w:line="17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Following is a description of our financial interests in variable interest entities that we consider significant, including (i) those for which we have determined that we are the primary beneficiary of the entity and, therefore, have consolidated the entities into our financial statements; (ii) those that represent a significant interest in an unconsolidated entity and (iii) trusts for final capping, closure, post-closure or environmental remediation obligations for both consolidated and unconsolidated variable interest entities.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90"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i w:val="1"/>
          <w:iCs w:val="1"/>
          <w:color w:val="auto"/>
        </w:rPr>
        <w:t xml:space="preserve">Waste-to-Energy LLCs — </w:t>
      </w:r>
      <w:r>
        <w:rPr>
          <w:rFonts w:ascii="Arial" w:cs="Arial" w:eastAsia="Arial" w:hAnsi="Arial"/>
          <w:sz w:val="16"/>
          <w:szCs w:val="16"/>
          <w:color w:val="auto"/>
        </w:rPr>
        <w:t>In June 2000, two limited liability companies were established to purchase interests in existing leveraged lease financings at three</w:t>
      </w:r>
      <w:r>
        <w:rPr>
          <w:rFonts w:ascii="Arial" w:cs="Arial" w:eastAsia="Arial" w:hAnsi="Arial"/>
          <w:sz w:val="16"/>
          <w:szCs w:val="16"/>
          <w:i w:val="1"/>
          <w:iCs w:val="1"/>
          <w:color w:val="auto"/>
        </w:rPr>
        <w:t xml:space="preserve"> </w:t>
      </w:r>
      <w:r>
        <w:rPr>
          <w:rFonts w:ascii="Arial" w:cs="Arial" w:eastAsia="Arial" w:hAnsi="Arial"/>
          <w:sz w:val="16"/>
          <w:szCs w:val="16"/>
          <w:color w:val="auto"/>
        </w:rPr>
        <w:t>waste-to-energy facilities that we leased, operated and maintained. We initially owned a 0.5% interest in one of the LLCs (“LLC I”) and a 0.25% interest in the second LLC (“LLC II”). John Hancock Life Insurance Company (“Hancock”) owned 99.5% of LLC I, and 99.75% of LLC II was owned by LLC I and the CIT Group (“CIT”). We determined that we were the primary beneficiary of the LLCs and consolidated these entities in our Condensed Consolidated Financial Statements because (i) all of the equity owners of the LLCs were considered related parties for purposes of applying this accounting guidance; (ii) the equity owners shared power over the significant activities of the LLCs and (iii) we were the entity within the related party group whose activities were most closely associated with the LLCs. During the three and six months ended June 30, 2014, we recognized reductions in earnings of $10 million and $21 million, respectively, for Hancock’s and CIT’s noncontrolling interests in the LLCs’ earnings which are included in our consolidated net income. The LLCs’ earnings related to the rental income generated from leasing the facilities to our subsidiaries, reduced by depreciation expense. The LLCs’ rental income was eliminated in WM’s consolidation.</w:t>
      </w:r>
    </w:p>
    <w:p>
      <w:pPr>
        <w:spacing w:after="0" w:line="4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In December 2014, we purchased the noncontrolling interests in the LLCs from Hancock and CIT in anticipation of our sale of our Wheelabrator business. The LLCs were then subsequently sold as part of the divestment. See Note 9 for further discussion of the sale of our Wheelabrator business.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Significant Unconsolidated Variable Interest Entities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Investment in Refined Coal Facility — </w:t>
      </w:r>
      <w:r>
        <w:rPr>
          <w:rFonts w:ascii="Arial" w:cs="Arial" w:eastAsia="Arial" w:hAnsi="Arial"/>
          <w:sz w:val="18"/>
          <w:szCs w:val="18"/>
          <w:color w:val="auto"/>
        </w:rPr>
        <w:t>In 2011, we acquired a noncontrolling interest in a limited liability company established to invest in and manage a</w:t>
      </w:r>
      <w:r>
        <w:rPr>
          <w:rFonts w:ascii="Arial" w:cs="Arial" w:eastAsia="Arial" w:hAnsi="Arial"/>
          <w:sz w:val="18"/>
          <w:szCs w:val="18"/>
          <w:i w:val="1"/>
          <w:iCs w:val="1"/>
          <w:color w:val="auto"/>
        </w:rPr>
        <w:t xml:space="preserve"> </w:t>
      </w:r>
      <w:r>
        <w:rPr>
          <w:rFonts w:ascii="Arial" w:cs="Arial" w:eastAsia="Arial" w:hAnsi="Arial"/>
          <w:sz w:val="18"/>
          <w:szCs w:val="18"/>
          <w:color w:val="auto"/>
        </w:rPr>
        <w:t>refined coal facility. Along with the other equity investor, we support the operations of the entity in exchange for a pro-rata share of the tax credits it generates. Our initial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consideration for this investment consisted of a cash payment of $48 million. As of June 30, 2015 and December 31, 2014, our investment balance was $31 million and $32 million, respectively, representing our current maximum pre-tax exposure to loss. Under the terms and conditions of the transaction, we do not believe that we have any material exposure to loss. Required capital contributions commenced in 2013 and will continue through the expiration of the tax credits under Section 45 of the Internal Revenue Code, which occurs at the end of 2019. We are only obligated to make future contributions to the extent tax credits are generated. We determined that we are not the primary beneficiary of this entity as we do not have the power to individually direct the entity’s activities. Accordingly, we account for this investment under the equity method of accounting and do not consolidate the entity. Additional information related to this investment is discussed in Note 5.</w:t>
      </w:r>
    </w:p>
    <w:p>
      <w:pPr>
        <w:spacing w:after="0" w:line="6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Investment in Low-Income Housing Properties — </w:t>
      </w:r>
      <w:r>
        <w:rPr>
          <w:rFonts w:ascii="Arial" w:cs="Arial" w:eastAsia="Arial" w:hAnsi="Arial"/>
          <w:sz w:val="16"/>
          <w:szCs w:val="16"/>
          <w:color w:val="auto"/>
        </w:rPr>
        <w:t>In 2010, we acquired a noncontrolling interest in a limited liability company established to invest in and</w:t>
      </w:r>
      <w:r>
        <w:rPr>
          <w:rFonts w:ascii="Arial" w:cs="Arial" w:eastAsia="Arial" w:hAnsi="Arial"/>
          <w:sz w:val="16"/>
          <w:szCs w:val="16"/>
          <w:i w:val="1"/>
          <w:iCs w:val="1"/>
          <w:color w:val="auto"/>
        </w:rPr>
        <w:t xml:space="preserve"> </w:t>
      </w:r>
      <w:r>
        <w:rPr>
          <w:rFonts w:ascii="Arial" w:cs="Arial" w:eastAsia="Arial" w:hAnsi="Arial"/>
          <w:sz w:val="16"/>
          <w:szCs w:val="16"/>
          <w:color w:val="auto"/>
        </w:rPr>
        <w:t>manage low-income housing properties. We support the operations of the entity in exchange for a pro-rata share of the tax credits it generates. Our target return on the investment is guaranteed and, therefore, we do not believe that we have any material exposure to loss. Our consideration for this investment totaled $221 million, which was comprised of a $215 million note payable and an initial cash payment of $6 million. At June 30, 2015 and December 31, 2014, our investment balance was $92 million and $104 million, respectively, and our debt balance was $92 million and $104 million, respectively. We determined that we are not the primary beneficiary of this entity as we do not have the power to individually direct the entity’s activities. Accordingly, we account for this investment under the equity method of accounting and do not consolidate the entity. Additional information related to this investment is discussed in Note 5.</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Trusts for Final Capping, Closure, Post-Closure or Environmental Remediation Obligations</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have significant financial interests in trust funds that were created to settle certain of our final capping, closure, post-closure or environmental remediation obligations. Generally, we are the sole beneficiary of these restricted balances; however, certain of the funds have been established for the benefit of both the Company and the host community in which we operate. We have determined that these trust funds are variable interest entities; however, we are not the primary beneficiary of certain of these entities because either (i) we do not have the power to direct the significant activities of the trusts or (ii) power over the trusts’ significant activities is shared.</w:t>
      </w:r>
    </w:p>
    <w:p>
      <w:pPr>
        <w:spacing w:after="0" w:line="62"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account for the trusts for which we are the sole beneficiary as long-term “Other assets” in our Condensed Consolidated Balance Sheet. We reflect our interests in the unrealized gains and losses on available-for-sale securities held by these trusts as a component of “Accumulated other comprehensive income.” These trusts had a fair value of $92 million at June 30, 2015 and $129 million at December 31, 2014. Our interests in the trusts that have been established for the benefit of both the Company and the host community in which we operate are accounted for as investments in unconsolidated entities and receivables. These amounts are recorded in “Other receivables,” “Investments in unconsolidated entities” and long-term “Other assets” in our Condensed Consolidated Balance Sheets, as appropriate. Our investments and receivables related to these trusts had an aggregate carrying value of $114 million and $113 million as of June 30, 2015 and December 31, 2014, respectively.</w:t>
      </w:r>
    </w:p>
    <w:p>
      <w:pPr>
        <w:spacing w:after="0" w:line="3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As the party with primary responsibility to fund the related final capping, closure, post-closure or environmental remediation activities, we are exposed to risk of loss as a result of potential changes in the fair value of the assets of the trust. The fair value of trust assets can fluctuate due to (i) changes in the market value of the investments held by the trusts or (ii) credit risk associated with trust receivables. Although we are exposed to changes in the fair value of the trust assets, we currently expect the trust funds to continue to meet the statutory requirements for which they were established.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Consolidating Financial Statements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WM Holdings has fully and unconditionally guaranteed all of WM’s senior indebtedness. WM has fully and unconditionally guaranteed all of WM Holdings’ senior indebtedness. None of WM’s other subsidiaries have guaranteed any of WM’s or WM Holdings’ debt. As a result of these guarantee arrangements, we are required to present the following condensed consolidating financial information (in millions):</w:t>
      </w:r>
    </w:p>
    <w:p>
      <w:pPr>
        <w:spacing w:after="0" w:line="296"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90"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rPr>
              <w:t>WM</w:t>
            </w:r>
          </w:p>
        </w:tc>
        <w:tc>
          <w:tcPr>
            <w:tcW w:w="5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0"/>
              </w:rPr>
              <w:t>Non-Guarantor</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WM</w:t>
            </w:r>
          </w:p>
        </w:tc>
        <w:tc>
          <w:tcPr>
            <w:tcW w:w="2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Holdings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3"/>
              <w:spacing w:after="0"/>
              <w:rPr>
                <w:sz w:val="20"/>
                <w:szCs w:val="20"/>
                <w:color w:val="auto"/>
              </w:rPr>
            </w:pPr>
            <w:r>
              <w:rPr>
                <w:rFonts w:ascii="Arial" w:cs="Arial" w:eastAsia="Arial" w:hAnsi="Arial"/>
                <w:sz w:val="14"/>
                <w:szCs w:val="14"/>
                <w:b w:val="1"/>
                <w:bCs w:val="1"/>
                <w:color w:val="auto"/>
                <w:w w:val="84"/>
              </w:rPr>
              <w:t>Subsidiaries</w:t>
            </w:r>
          </w:p>
        </w:tc>
        <w:tc>
          <w:tcPr>
            <w:tcW w:w="5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6"/>
        </w:trPr>
        <w:tc>
          <w:tcPr>
            <w:tcW w:w="39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77"/>
              </w:rPr>
              <w:t>ASSETS</w:t>
            </w: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Current assets: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500" w:type="dxa"/>
            <w:vAlign w:val="bottom"/>
            <w:gridSpan w:val="2"/>
            <w:shd w:val="clear" w:color="auto" w:fill="CCEEFF"/>
          </w:tcPr>
          <w:p>
            <w:pPr>
              <w:ind w:left="142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2,271</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10,665</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and advances to affiliates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17,863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18,309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6,872</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(43,044)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7,276</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23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18,070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18,343</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27,209</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(43,044)</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3980" w:type="dxa"/>
            <w:vAlign w:val="bottom"/>
          </w:tcPr>
          <w:p>
            <w:pPr>
              <w:spacing w:after="0"/>
              <w:rPr>
                <w:sz w:val="24"/>
                <w:szCs w:val="24"/>
                <w:color w:val="auto"/>
              </w:rPr>
            </w:pPr>
          </w:p>
        </w:tc>
        <w:tc>
          <w:tcPr>
            <w:tcW w:w="3160" w:type="dxa"/>
            <w:vAlign w:val="bottom"/>
            <w:gridSpan w:val="7"/>
          </w:tcPr>
          <w:p>
            <w:pPr>
              <w:jc w:val="center"/>
              <w:ind w:left="117"/>
              <w:spacing w:after="0"/>
              <w:rPr>
                <w:sz w:val="20"/>
                <w:szCs w:val="20"/>
                <w:color w:val="auto"/>
              </w:rPr>
            </w:pPr>
            <w:r>
              <w:rPr>
                <w:rFonts w:ascii="Arial" w:cs="Arial" w:eastAsia="Arial" w:hAnsi="Arial"/>
                <w:sz w:val="18"/>
                <w:szCs w:val="18"/>
                <w:b w:val="1"/>
                <w:bCs w:val="1"/>
                <w:color w:val="auto"/>
              </w:rPr>
              <w:t>LIABILITIES AND EQUITY</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1500" w:type="dxa"/>
            <w:vAlign w:val="bottom"/>
            <w:gridSpan w:val="2"/>
          </w:tcPr>
          <w:p>
            <w:pPr>
              <w:ind w:left="142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196</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2,386</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less current portion</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Due to affiliates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6,705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(6,872)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tcPr>
          <w:p>
            <w:pPr>
              <w:ind w:left="440"/>
              <w:spacing w:after="0"/>
              <w:rPr>
                <w:sz w:val="20"/>
                <w:szCs w:val="20"/>
                <w:color w:val="auto"/>
              </w:rPr>
            </w:pPr>
            <w:r>
              <w:rPr>
                <w:rFonts w:ascii="Arial" w:cs="Arial" w:eastAsia="Arial" w:hAnsi="Arial"/>
                <w:sz w:val="18"/>
                <w:szCs w:val="18"/>
                <w:color w:val="auto"/>
              </w:rPr>
              <w:t>Total liabilities</w:t>
            </w:r>
          </w:p>
        </w:tc>
        <w:tc>
          <w:tcPr>
            <w:tcW w:w="1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80" w:type="dxa"/>
            <w:vAlign w:val="bottom"/>
            <w:vMerge w:val="continue"/>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12,684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480</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8,879</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(6,872)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Stockholders’ equity</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5,386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17,863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18,309</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(36,172)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Noncontrolling interests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5,386</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17,863</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18,330</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(36,172)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39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liabilities and equity</w:t>
            </w:r>
          </w:p>
        </w:tc>
        <w:tc>
          <w:tcPr>
            <w:tcW w:w="23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18,070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18,343</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27,209</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(43,044)</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ind w:right="93"/>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rPr>
              <w:t>WM</w:t>
            </w:r>
          </w:p>
        </w:tc>
        <w:tc>
          <w:tcPr>
            <w:tcW w:w="5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0"/>
              </w:rPr>
              <w:t>Non-Guarantor</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WM</w:t>
            </w:r>
          </w:p>
        </w:tc>
        <w:tc>
          <w:tcPr>
            <w:tcW w:w="2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Holdings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3"/>
              <w:spacing w:after="0"/>
              <w:rPr>
                <w:sz w:val="20"/>
                <w:szCs w:val="20"/>
                <w:color w:val="auto"/>
              </w:rPr>
            </w:pPr>
            <w:r>
              <w:rPr>
                <w:rFonts w:ascii="Arial" w:cs="Arial" w:eastAsia="Arial" w:hAnsi="Arial"/>
                <w:sz w:val="14"/>
                <w:szCs w:val="14"/>
                <w:b w:val="1"/>
                <w:bCs w:val="1"/>
                <w:color w:val="auto"/>
                <w:w w:val="84"/>
              </w:rPr>
              <w:t>Subsidiaries</w:t>
            </w:r>
          </w:p>
        </w:tc>
        <w:tc>
          <w:tcPr>
            <w:tcW w:w="5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6"/>
        </w:trPr>
        <w:tc>
          <w:tcPr>
            <w:tcW w:w="39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77"/>
              </w:rPr>
              <w:t>ASSETS</w:t>
            </w: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Current assets: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500" w:type="dxa"/>
            <w:vAlign w:val="bottom"/>
            <w:gridSpan w:val="2"/>
            <w:shd w:val="clear" w:color="auto" w:fill="CCEEFF"/>
          </w:tcPr>
          <w:p>
            <w:pPr>
              <w:ind w:left="142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2,323</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10,657</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and advances to affiliates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17,312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17,782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(41,839)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Other assets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7,036</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23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18,602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17,816</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26,833</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(41,839)</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3980" w:type="dxa"/>
            <w:vAlign w:val="bottom"/>
          </w:tcPr>
          <w:p>
            <w:pPr>
              <w:spacing w:after="0"/>
              <w:rPr>
                <w:sz w:val="24"/>
                <w:szCs w:val="24"/>
                <w:color w:val="auto"/>
              </w:rPr>
            </w:pPr>
          </w:p>
        </w:tc>
        <w:tc>
          <w:tcPr>
            <w:tcW w:w="3160" w:type="dxa"/>
            <w:vAlign w:val="bottom"/>
            <w:gridSpan w:val="7"/>
          </w:tcPr>
          <w:p>
            <w:pPr>
              <w:jc w:val="center"/>
              <w:ind w:left="117"/>
              <w:spacing w:after="0"/>
              <w:rPr>
                <w:sz w:val="20"/>
                <w:szCs w:val="20"/>
                <w:color w:val="auto"/>
              </w:rPr>
            </w:pPr>
            <w:r>
              <w:rPr>
                <w:rFonts w:ascii="Arial" w:cs="Arial" w:eastAsia="Arial" w:hAnsi="Arial"/>
                <w:sz w:val="18"/>
                <w:szCs w:val="18"/>
                <w:b w:val="1"/>
                <w:bCs w:val="1"/>
                <w:color w:val="auto"/>
              </w:rPr>
              <w:t>LIABILITIES AND EQUITY</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1500" w:type="dxa"/>
            <w:vAlign w:val="bottom"/>
            <w:gridSpan w:val="2"/>
          </w:tcPr>
          <w:p>
            <w:pPr>
              <w:ind w:left="142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957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133</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1,043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2,429</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4,958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Due to affiliates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6,703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(6,745)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tcPr>
          <w:p>
            <w:pPr>
              <w:ind w:left="440"/>
              <w:spacing w:after="0"/>
              <w:rPr>
                <w:sz w:val="20"/>
                <w:szCs w:val="20"/>
                <w:color w:val="auto"/>
              </w:rPr>
            </w:pPr>
            <w:r>
              <w:rPr>
                <w:rFonts w:ascii="Arial" w:cs="Arial" w:eastAsia="Arial" w:hAnsi="Arial"/>
                <w:sz w:val="18"/>
                <w:szCs w:val="18"/>
                <w:color w:val="auto"/>
              </w:rPr>
              <w:t>Total liabilities</w:t>
            </w:r>
          </w:p>
        </w:tc>
        <w:tc>
          <w:tcPr>
            <w:tcW w:w="1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80" w:type="dxa"/>
            <w:vAlign w:val="bottom"/>
            <w:vMerge w:val="continue"/>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12,736</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504</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9,028</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(6,745)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Stockholders’ equity</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5,866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17,312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17,782</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(35,094)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5,866</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17,312</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17,805</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(35,094)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39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equity</w:t>
            </w:r>
          </w:p>
        </w:tc>
        <w:tc>
          <w:tcPr>
            <w:tcW w:w="23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18,602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17,816</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26,833</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(41,839)</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ind w:right="93"/>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90"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Three Months Ended June 30, 2015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WM</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WM</w:t>
            </w:r>
          </w:p>
        </w:tc>
        <w:tc>
          <w:tcPr>
            <w:tcW w:w="240" w:type="dxa"/>
            <w:vAlign w:val="bottom"/>
          </w:tcPr>
          <w:p>
            <w:pPr>
              <w:spacing w:after="0"/>
              <w:rPr>
                <w:sz w:val="14"/>
                <w:szCs w:val="14"/>
                <w:color w:val="auto"/>
              </w:rPr>
            </w:pPr>
          </w:p>
        </w:tc>
        <w:tc>
          <w:tcPr>
            <w:tcW w:w="10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6"/>
              </w:rPr>
              <w:t>Holdings</w:t>
            </w:r>
          </w:p>
        </w:tc>
        <w:tc>
          <w:tcPr>
            <w:tcW w:w="100" w:type="dxa"/>
            <w:vAlign w:val="bottom"/>
          </w:tcPr>
          <w:p>
            <w:pPr>
              <w:spacing w:after="0"/>
              <w:rPr>
                <w:sz w:val="14"/>
                <w:szCs w:val="14"/>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4"/>
              </w:rPr>
              <w:t>Subsidiaries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Costs and expenses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2,819</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2"/>
        </w:trPr>
        <w:tc>
          <w:tcPr>
            <w:tcW w:w="48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3"/>
              </w:rPr>
              <w:t>(75)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Loss on early extinguishment of debt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28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320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(637)</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243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(637)</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4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243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318</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465</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(637)</w:t>
            </w:r>
          </w:p>
        </w:tc>
        <w:tc>
          <w:tcPr>
            <w:tcW w:w="2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3"/>
              </w:rPr>
              <w:t>(31)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Consolidated net income (loss)</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4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274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316</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(637)</w:t>
            </w:r>
          </w:p>
        </w:tc>
        <w:tc>
          <w:tcPr>
            <w:tcW w:w="2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w w:val="97"/>
              </w:rPr>
              <w:t>Less: Net income (loss) attributable to noncontrolling interests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Waste Management, Inc.</w:t>
            </w:r>
          </w:p>
        </w:tc>
        <w:tc>
          <w:tcPr>
            <w:tcW w:w="88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4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274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317</w:t>
            </w:r>
          </w:p>
        </w:tc>
        <w:tc>
          <w:tcPr>
            <w:tcW w:w="58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(637)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0" w:type="dxa"/>
            <w:vAlign w:val="bottom"/>
          </w:tcPr>
          <w:p>
            <w:pPr>
              <w:spacing w:after="0"/>
              <w:rPr>
                <w:sz w:val="24"/>
                <w:szCs w:val="24"/>
                <w:color w:val="auto"/>
              </w:rPr>
            </w:pPr>
          </w:p>
        </w:tc>
        <w:tc>
          <w:tcPr>
            <w:tcW w:w="7720" w:type="dxa"/>
            <w:vAlign w:val="bottom"/>
            <w:gridSpan w:val="10"/>
          </w:tcPr>
          <w:p>
            <w:pPr>
              <w:ind w:left="4360"/>
              <w:spacing w:after="0"/>
              <w:rPr>
                <w:sz w:val="20"/>
                <w:szCs w:val="20"/>
                <w:color w:val="auto"/>
              </w:rPr>
            </w:pPr>
            <w:r>
              <w:rPr>
                <w:rFonts w:ascii="Arial" w:cs="Arial" w:eastAsia="Arial" w:hAnsi="Arial"/>
                <w:sz w:val="18"/>
                <w:szCs w:val="18"/>
                <w:b w:val="1"/>
                <w:bCs w:val="1"/>
                <w:color w:val="auto"/>
              </w:rPr>
              <w:t>Three Months Ended June 30, 2014</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58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WM</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WM</w:t>
            </w:r>
          </w:p>
        </w:tc>
        <w:tc>
          <w:tcPr>
            <w:tcW w:w="240" w:type="dxa"/>
            <w:vAlign w:val="bottom"/>
          </w:tcPr>
          <w:p>
            <w:pPr>
              <w:spacing w:after="0"/>
              <w:rPr>
                <w:sz w:val="14"/>
                <w:szCs w:val="14"/>
                <w:color w:val="auto"/>
              </w:rPr>
            </w:pPr>
          </w:p>
        </w:tc>
        <w:tc>
          <w:tcPr>
            <w:tcW w:w="10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6"/>
              </w:rPr>
              <w:t>Holdings</w:t>
            </w:r>
          </w:p>
        </w:tc>
        <w:tc>
          <w:tcPr>
            <w:tcW w:w="100" w:type="dxa"/>
            <w:vAlign w:val="bottom"/>
          </w:tcPr>
          <w:p>
            <w:pPr>
              <w:spacing w:after="0"/>
              <w:rPr>
                <w:sz w:val="14"/>
                <w:szCs w:val="14"/>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4"/>
              </w:rPr>
              <w:t>Subsidiaries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Costs and expenses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3,063</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22"/>
        </w:trPr>
        <w:tc>
          <w:tcPr>
            <w:tcW w:w="48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3"/>
              </w:rPr>
              <w:t>(87)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262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(495)</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175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225</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(495)</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175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(495)</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(35)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 (loss)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210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(495)</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w w:val="97"/>
              </w:rPr>
              <w:t>Less: Net income (loss) attributable to noncontrolling interests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Waste Management, Inc.</w:t>
            </w:r>
          </w:p>
        </w:tc>
        <w:tc>
          <w:tcPr>
            <w:tcW w:w="8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210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CONDENSED CONSOLIDATING STATEMENTS OF OPERATIONS (Continued)</w:t>
      </w:r>
    </w:p>
    <w:p>
      <w:pPr>
        <w:spacing w:after="0" w:line="9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Six Months Ended June 30, 2015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WM</w:t>
            </w:r>
          </w:p>
        </w:tc>
        <w:tc>
          <w:tcPr>
            <w:tcW w:w="12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0"/>
              </w:rPr>
              <w:t>Non-Guarantor</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WM</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3"/>
              </w:rPr>
              <w:t>Holdings</w:t>
            </w:r>
          </w:p>
        </w:tc>
        <w:tc>
          <w:tcPr>
            <w:tcW w:w="100" w:type="dxa"/>
            <w:vAlign w:val="bottom"/>
          </w:tcPr>
          <w:p>
            <w:pPr>
              <w:spacing w:after="0"/>
              <w:rPr>
                <w:sz w:val="14"/>
                <w:szCs w:val="1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4"/>
              </w:rPr>
              <w:t>Subsidiaries</w:t>
            </w:r>
          </w:p>
        </w:tc>
        <w:tc>
          <w:tcPr>
            <w:tcW w:w="26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2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left w:val="single" w:sz="8" w:color="CCEEFF"/>
            </w:tcBorders>
            <w:gridSpan w:val="2"/>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6,355</w:t>
            </w:r>
          </w:p>
        </w:tc>
        <w:tc>
          <w:tcPr>
            <w:tcW w:w="340" w:type="dxa"/>
            <w:vAlign w:val="bottom"/>
            <w:tcBorders>
              <w:top w:val="single" w:sz="8" w:color="CCEEFF"/>
              <w:left w:val="single" w:sz="8" w:color="CCEEFF"/>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lef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Costs and expenses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5,413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5,413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Borders>
              <w:lef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34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22"/>
        </w:trPr>
        <w:tc>
          <w:tcPr>
            <w:tcW w:w="44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1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5"/>
              </w:rPr>
              <w:t>(154)</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w:t>
            </w: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Loss on early extinguishment of debt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240"/>
              <w:spacing w:after="0"/>
              <w:rPr>
                <w:sz w:val="20"/>
                <w:szCs w:val="20"/>
                <w:color w:val="auto"/>
              </w:rPr>
            </w:pPr>
            <w:r>
              <w:rPr>
                <w:rFonts w:ascii="Arial" w:cs="Arial" w:eastAsia="Arial" w:hAnsi="Arial"/>
                <w:sz w:val="18"/>
                <w:szCs w:val="18"/>
                <w:color w:val="auto"/>
                <w:w w:val="85"/>
              </w:rPr>
              <w:t>(500)</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551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(1,141)</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Borders>
              <w:lef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5"/>
              </w:rPr>
              <w:t>(103)</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w:t>
            </w: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(1,141)</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1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40" w:type="dxa"/>
            <w:vAlign w:val="bottom"/>
            <w:gridSpan w:val="2"/>
            <w:vMerge w:val="continue"/>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3"/>
          </w:tcPr>
          <w:p>
            <w:pPr>
              <w:jc w:val="right"/>
              <w:ind w:right="240"/>
              <w:spacing w:after="0"/>
              <w:rPr>
                <w:sz w:val="20"/>
                <w:szCs w:val="20"/>
                <w:color w:val="auto"/>
              </w:rPr>
            </w:pPr>
            <w:r>
              <w:rPr>
                <w:rFonts w:ascii="Arial" w:cs="Arial" w:eastAsia="Arial" w:hAnsi="Arial"/>
                <w:sz w:val="18"/>
                <w:szCs w:val="18"/>
                <w:color w:val="auto"/>
                <w:w w:val="85"/>
              </w:rPr>
              <w:t>(103)</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885</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(1,141)</w:t>
            </w:r>
          </w:p>
        </w:tc>
        <w:tc>
          <w:tcPr>
            <w:tcW w:w="2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1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5"/>
              </w:rPr>
              <w:t>(248)</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34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Consolidated net income (loss)</w:t>
            </w:r>
          </w:p>
        </w:tc>
        <w:tc>
          <w:tcPr>
            <w:tcW w:w="1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40" w:type="dxa"/>
            <w:vAlign w:val="bottom"/>
            <w:gridSpan w:val="2"/>
            <w:vMerge w:val="continue"/>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145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551</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(1,141)</w:t>
            </w:r>
          </w:p>
        </w:tc>
        <w:tc>
          <w:tcPr>
            <w:tcW w:w="2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w w:val="89"/>
              </w:rPr>
              <w:t>Less: Net income (loss) attributable to noncontrolling interests</w:t>
            </w:r>
          </w:p>
        </w:tc>
        <w:tc>
          <w:tcPr>
            <w:tcW w:w="1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w w:val="96"/>
              </w:rPr>
              <w:t>Net income (loss) attributable to Waste Management, Inc.</w:t>
            </w:r>
          </w:p>
        </w:tc>
        <w:tc>
          <w:tcPr>
            <w:tcW w:w="122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40" w:type="dxa"/>
            <w:vAlign w:val="bottom"/>
            <w:gridSpan w:val="2"/>
            <w:vMerge w:val="continue"/>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88"/>
              </w:rPr>
              <w:t>$ 145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590</w:t>
            </w:r>
          </w:p>
        </w:tc>
        <w:tc>
          <w:tcPr>
            <w:tcW w:w="340" w:type="dxa"/>
            <w:vAlign w:val="bottom"/>
          </w:tcPr>
          <w:p>
            <w:pPr>
              <w:spacing w:after="0"/>
              <w:rPr>
                <w:sz w:val="19"/>
                <w:szCs w:val="19"/>
                <w:color w:val="auto"/>
              </w:rPr>
            </w:pPr>
          </w:p>
        </w:tc>
        <w:tc>
          <w:tcPr>
            <w:tcW w:w="4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(1,141)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300" w:type="dxa"/>
            <w:vAlign w:val="bottom"/>
            <w:gridSpan w:val="10"/>
          </w:tcPr>
          <w:p>
            <w:pPr>
              <w:jc w:val="center"/>
              <w:ind w:right="760"/>
              <w:spacing w:after="0"/>
              <w:rPr>
                <w:sz w:val="20"/>
                <w:szCs w:val="20"/>
                <w:color w:val="auto"/>
              </w:rPr>
            </w:pPr>
            <w:r>
              <w:rPr>
                <w:rFonts w:ascii="Arial" w:cs="Arial" w:eastAsia="Arial" w:hAnsi="Arial"/>
                <w:sz w:val="18"/>
                <w:szCs w:val="18"/>
                <w:b w:val="1"/>
                <w:bCs w:val="1"/>
                <w:color w:val="auto"/>
                <w:w w:val="88"/>
              </w:rPr>
              <w:t>Six Months Ended June 30, 2014</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940" w:type="dxa"/>
            <w:vAlign w:val="bottom"/>
            <w:gridSpan w:val="5"/>
          </w:tcPr>
          <w:p>
            <w:pPr>
              <w:jc w:val="center"/>
              <w:ind w:left="512"/>
              <w:spacing w:after="0"/>
              <w:rPr>
                <w:sz w:val="20"/>
                <w:szCs w:val="20"/>
                <w:color w:val="auto"/>
              </w:rPr>
            </w:pPr>
            <w:r>
              <w:rPr>
                <w:rFonts w:ascii="Arial" w:cs="Arial" w:eastAsia="Arial" w:hAnsi="Arial"/>
                <w:sz w:val="18"/>
                <w:szCs w:val="18"/>
                <w:b w:val="1"/>
                <w:bCs w:val="1"/>
                <w:color w:val="auto"/>
                <w:w w:val="89"/>
              </w:rPr>
              <w:t>(Unaudited)</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6"/>
              </w:rPr>
              <w:t>WM</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WM</w:t>
            </w:r>
          </w:p>
        </w:tc>
        <w:tc>
          <w:tcPr>
            <w:tcW w:w="240" w:type="dxa"/>
            <w:vAlign w:val="bottom"/>
          </w:tcPr>
          <w:p>
            <w:pPr>
              <w:spacing w:after="0"/>
              <w:rPr>
                <w:sz w:val="14"/>
                <w:szCs w:val="14"/>
                <w:color w:val="auto"/>
              </w:rPr>
            </w:pPr>
          </w:p>
        </w:tc>
        <w:tc>
          <w:tcPr>
            <w:tcW w:w="11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83"/>
              </w:rPr>
              <w:t>Holdings</w:t>
            </w:r>
          </w:p>
        </w:tc>
        <w:tc>
          <w:tcPr>
            <w:tcW w:w="12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3"/>
              </w:rPr>
              <w:t>Subsidiaries</w:t>
            </w:r>
          </w:p>
        </w:tc>
        <w:tc>
          <w:tcPr>
            <w:tcW w:w="26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2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left w:val="single" w:sz="8" w:color="CCEEFF"/>
            </w:tcBorders>
            <w:gridSpan w:val="2"/>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6,957</w:t>
            </w:r>
          </w:p>
        </w:tc>
        <w:tc>
          <w:tcPr>
            <w:tcW w:w="340" w:type="dxa"/>
            <w:vAlign w:val="bottom"/>
            <w:tcBorders>
              <w:top w:val="single" w:sz="8" w:color="CCEEFF"/>
              <w:left w:val="single" w:sz="8" w:color="CCEEFF"/>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lef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Costs and expenses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5,990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5,956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34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22"/>
        </w:trPr>
        <w:tc>
          <w:tcPr>
            <w:tcW w:w="44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194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(174)</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w:t>
            </w: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543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519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(1,062)</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369</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503</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(1,062)</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369</w:t>
            </w:r>
          </w:p>
        </w:tc>
        <w:tc>
          <w:tcPr>
            <w:tcW w:w="6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34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(1,062)</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280"/>
              <w:spacing w:after="0"/>
              <w:rPr>
                <w:sz w:val="20"/>
                <w:szCs w:val="20"/>
                <w:color w:val="auto"/>
              </w:rPr>
            </w:pPr>
            <w:r>
              <w:rPr>
                <w:rFonts w:ascii="Arial" w:cs="Arial" w:eastAsia="Arial" w:hAnsi="Arial"/>
                <w:sz w:val="18"/>
                <w:szCs w:val="18"/>
                <w:color w:val="auto"/>
                <w:w w:val="99"/>
              </w:rPr>
              <w:t>(69)</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 (loss)</w:t>
            </w:r>
          </w:p>
        </w:tc>
        <w:tc>
          <w:tcPr>
            <w:tcW w:w="1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438</w:t>
            </w:r>
          </w:p>
        </w:tc>
        <w:tc>
          <w:tcPr>
            <w:tcW w:w="6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34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(1,062)</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w w:val="89"/>
              </w:rPr>
              <w:t>Less: Net income (loss) attributable to noncontrolling interests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w w:val="95"/>
              </w:rPr>
              <w:t>Net income (loss) attributable to Waste Management, Inc.</w:t>
            </w:r>
          </w:p>
        </w:tc>
        <w:tc>
          <w:tcPr>
            <w:tcW w:w="122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$ 438</w:t>
            </w:r>
          </w:p>
        </w:tc>
        <w:tc>
          <w:tcPr>
            <w:tcW w:w="6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34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(1,062)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600" w:type="dxa"/>
            <w:vAlign w:val="bottom"/>
            <w:gridSpan w:val="3"/>
          </w:tcPr>
          <w:p>
            <w:pPr>
              <w:ind w:left="118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55"/>
              <w:spacing w:after="0"/>
              <w:rPr>
                <w:sz w:val="20"/>
                <w:szCs w:val="20"/>
                <w:color w:val="auto"/>
              </w:rPr>
            </w:pPr>
            <w:r>
              <w:rPr>
                <w:rFonts w:ascii="Arial" w:cs="Arial" w:eastAsia="Arial" w:hAnsi="Arial"/>
                <w:sz w:val="14"/>
                <w:szCs w:val="14"/>
                <w:b w:val="1"/>
                <w:bCs w:val="1"/>
                <w:color w:val="auto"/>
              </w:rPr>
              <w:t>WM</w:t>
            </w:r>
          </w:p>
        </w:tc>
        <w:tc>
          <w:tcPr>
            <w:tcW w:w="62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WM</w:t>
            </w:r>
          </w:p>
        </w:tc>
        <w:tc>
          <w:tcPr>
            <w:tcW w:w="62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3"/>
              </w:rPr>
              <w:t>Holdings</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4"/>
              </w:rPr>
              <w:t>Subsidiaries</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6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Three Months Ended June 30, 2015</w:t>
            </w:r>
          </w:p>
        </w:tc>
        <w:tc>
          <w:tcPr>
            <w:tcW w:w="2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right w:val="single" w:sz="8" w:color="CCEEFF"/>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right w:val="single" w:sz="8" w:color="CCEEFF"/>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Comprehensive income (loss)</w:t>
            </w:r>
          </w:p>
        </w:tc>
        <w:tc>
          <w:tcPr>
            <w:tcW w:w="25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$276</w:t>
            </w:r>
          </w:p>
        </w:tc>
        <w:tc>
          <w:tcPr>
            <w:tcW w:w="720" w:type="dxa"/>
            <w:vAlign w:val="bottom"/>
            <w:tcBorders>
              <w:top w:val="single" w:sz="8" w:color="CCEEFF"/>
            </w:tcBorders>
            <w:gridSpan w:val="2"/>
          </w:tcPr>
          <w:p>
            <w:pPr>
              <w:ind w:left="62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320</w:t>
            </w:r>
          </w:p>
        </w:tc>
        <w:tc>
          <w:tcPr>
            <w:tcW w:w="700" w:type="dxa"/>
            <w:vAlign w:val="bottom"/>
            <w:tcBorders>
              <w:top w:val="single" w:sz="8" w:color="CCEEFF"/>
            </w:tcBorders>
            <w:gridSpan w:val="2"/>
          </w:tcPr>
          <w:p>
            <w:pPr>
              <w:ind w:left="62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330</w:t>
            </w:r>
          </w:p>
        </w:tc>
        <w:tc>
          <w:tcPr>
            <w:tcW w:w="6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tcBorders>
            <w:gridSpan w:val="2"/>
          </w:tcPr>
          <w:p>
            <w:pPr>
              <w:jc w:val="right"/>
              <w:ind w:right="580"/>
              <w:spacing w:after="0"/>
              <w:rPr>
                <w:sz w:val="20"/>
                <w:szCs w:val="20"/>
                <w:color w:val="auto"/>
              </w:rPr>
            </w:pPr>
            <w:r>
              <w:rPr>
                <w:rFonts w:ascii="Arial" w:cs="Arial" w:eastAsia="Arial" w:hAnsi="Arial"/>
                <w:sz w:val="18"/>
                <w:szCs w:val="18"/>
                <w:color w:val="auto"/>
              </w:rPr>
              <w:t>(637)</w:t>
            </w:r>
          </w:p>
        </w:tc>
        <w:tc>
          <w:tcPr>
            <w:tcW w:w="3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Less: Comprehensive income (loss) attributable to noncontrolling</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180" w:type="dxa"/>
            <w:vAlign w:val="bottom"/>
            <w:gridSpan w:val="4"/>
            <w:vMerge w:val="restart"/>
          </w:tcPr>
          <w:p>
            <w:pPr>
              <w:spacing w:after="0"/>
              <w:rPr>
                <w:sz w:val="20"/>
                <w:szCs w:val="20"/>
                <w:color w:val="auto"/>
              </w:rPr>
            </w:pPr>
            <w:r>
              <w:rPr>
                <w:rFonts w:ascii="Arial" w:cs="Arial" w:eastAsia="Arial" w:hAnsi="Arial"/>
                <w:sz w:val="18"/>
                <w:szCs w:val="18"/>
                <w:color w:val="auto"/>
                <w:w w:val="92"/>
              </w:rPr>
              <w:t>Comprehensive income (loss) attributable to Waste Management, Inc.</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80" w:type="dxa"/>
            <w:vAlign w:val="bottom"/>
            <w:gridSpan w:val="4"/>
            <w:vMerge w:val="continue"/>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276</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320</w:t>
            </w:r>
          </w:p>
        </w:tc>
        <w:tc>
          <w:tcPr>
            <w:tcW w:w="700" w:type="dxa"/>
            <w:vAlign w:val="bottom"/>
            <w:gridSpan w:val="2"/>
          </w:tcPr>
          <w:p>
            <w:pPr>
              <w:ind w:left="6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331</w:t>
            </w:r>
          </w:p>
        </w:tc>
        <w:tc>
          <w:tcPr>
            <w:tcW w:w="6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(637)</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516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Three Months Ended June 30, 2014</w:t>
            </w: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Comprehensive income (loss)</w:t>
            </w:r>
          </w:p>
        </w:tc>
        <w:tc>
          <w:tcPr>
            <w:tcW w:w="25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$213</w:t>
            </w:r>
          </w:p>
        </w:tc>
        <w:tc>
          <w:tcPr>
            <w:tcW w:w="720" w:type="dxa"/>
            <w:vAlign w:val="bottom"/>
            <w:tcBorders>
              <w:top w:val="single" w:sz="8" w:color="CCEEFF"/>
            </w:tcBorders>
            <w:gridSpan w:val="2"/>
          </w:tcPr>
          <w:p>
            <w:pPr>
              <w:ind w:left="62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262</w:t>
            </w:r>
          </w:p>
        </w:tc>
        <w:tc>
          <w:tcPr>
            <w:tcW w:w="700" w:type="dxa"/>
            <w:vAlign w:val="bottom"/>
            <w:tcBorders>
              <w:top w:val="single" w:sz="8" w:color="CCEEFF"/>
            </w:tcBorders>
            <w:gridSpan w:val="2"/>
          </w:tcPr>
          <w:p>
            <w:pPr>
              <w:ind w:left="62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288</w:t>
            </w:r>
          </w:p>
        </w:tc>
        <w:tc>
          <w:tcPr>
            <w:tcW w:w="6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tcBorders>
            <w:gridSpan w:val="2"/>
          </w:tcPr>
          <w:p>
            <w:pPr>
              <w:jc w:val="right"/>
              <w:ind w:right="580"/>
              <w:spacing w:after="0"/>
              <w:rPr>
                <w:sz w:val="20"/>
                <w:szCs w:val="20"/>
                <w:color w:val="auto"/>
              </w:rPr>
            </w:pPr>
            <w:r>
              <w:rPr>
                <w:rFonts w:ascii="Arial" w:cs="Arial" w:eastAsia="Arial" w:hAnsi="Arial"/>
                <w:sz w:val="18"/>
                <w:szCs w:val="18"/>
                <w:color w:val="auto"/>
              </w:rPr>
              <w:t>(495)</w:t>
            </w:r>
          </w:p>
        </w:tc>
        <w:tc>
          <w:tcPr>
            <w:tcW w:w="3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Less: Comprehensive income (loss) attributable to noncontrolling</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180" w:type="dxa"/>
            <w:vAlign w:val="bottom"/>
            <w:gridSpan w:val="4"/>
            <w:vMerge w:val="restart"/>
          </w:tcPr>
          <w:p>
            <w:pPr>
              <w:spacing w:after="0"/>
              <w:rPr>
                <w:sz w:val="20"/>
                <w:szCs w:val="20"/>
                <w:color w:val="auto"/>
              </w:rPr>
            </w:pPr>
            <w:r>
              <w:rPr>
                <w:rFonts w:ascii="Arial" w:cs="Arial" w:eastAsia="Arial" w:hAnsi="Arial"/>
                <w:sz w:val="18"/>
                <w:szCs w:val="18"/>
                <w:color w:val="auto"/>
                <w:w w:val="92"/>
              </w:rPr>
              <w:t>Comprehensive income (loss) attributable to Waste Management, Inc.</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80" w:type="dxa"/>
            <w:vAlign w:val="bottom"/>
            <w:gridSpan w:val="4"/>
            <w:vMerge w:val="continue"/>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213</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262</w:t>
            </w:r>
          </w:p>
        </w:tc>
        <w:tc>
          <w:tcPr>
            <w:tcW w:w="700" w:type="dxa"/>
            <w:vAlign w:val="bottom"/>
            <w:gridSpan w:val="2"/>
          </w:tcPr>
          <w:p>
            <w:pPr>
              <w:ind w:left="6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276</w:t>
            </w:r>
          </w:p>
        </w:tc>
        <w:tc>
          <w:tcPr>
            <w:tcW w:w="6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(495)</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ind w:right="75"/>
              <w:spacing w:after="0"/>
              <w:rPr>
                <w:sz w:val="20"/>
                <w:szCs w:val="20"/>
                <w:color w:val="auto"/>
              </w:rPr>
            </w:pPr>
            <w:r>
              <w:rPr>
                <w:rFonts w:ascii="Arial" w:cs="Arial" w:eastAsia="Arial" w:hAnsi="Arial"/>
                <w:sz w:val="14"/>
                <w:szCs w:val="14"/>
                <w:b w:val="1"/>
                <w:bCs w:val="1"/>
                <w:color w:val="auto"/>
              </w:rPr>
              <w:t>WM</w:t>
            </w:r>
          </w:p>
        </w:tc>
        <w:tc>
          <w:tcPr>
            <w:tcW w:w="620" w:type="dxa"/>
            <w:vAlign w:val="bottom"/>
          </w:tcPr>
          <w:p>
            <w:pPr>
              <w:spacing w:after="0"/>
              <w:rPr>
                <w:sz w:val="24"/>
                <w:szCs w:val="2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WM</w:t>
            </w:r>
          </w:p>
        </w:tc>
        <w:tc>
          <w:tcPr>
            <w:tcW w:w="62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3"/>
              </w:rPr>
              <w:t>Holdings</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4"/>
              </w:rPr>
              <w:t>Subsidiaries</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Six Months Ended June 30, 2015</w:t>
            </w:r>
          </w:p>
        </w:tc>
        <w:tc>
          <w:tcPr>
            <w:tcW w:w="272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right w:val="single" w:sz="8" w:color="CCEEFF"/>
            </w:tcBorders>
            <w:shd w:val="clear" w:color="auto" w:fill="CCEEFF"/>
          </w:tcPr>
          <w:p>
            <w:pPr>
              <w:spacing w:after="0"/>
              <w:rPr>
                <w:sz w:val="15"/>
                <w:szCs w:val="15"/>
                <w:color w:val="auto"/>
              </w:rPr>
            </w:pPr>
          </w:p>
        </w:tc>
        <w:tc>
          <w:tcPr>
            <w:tcW w:w="6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CCEEFF"/>
              <w:right w:val="single" w:sz="8" w:color="CCEEFF"/>
            </w:tcBorders>
            <w:shd w:val="clear" w:color="auto" w:fill="CCEEFF"/>
          </w:tcPr>
          <w:p>
            <w:pPr>
              <w:spacing w:after="0"/>
              <w:rPr>
                <w:sz w:val="15"/>
                <w:szCs w:val="15"/>
                <w:color w:val="auto"/>
              </w:rPr>
            </w:pPr>
          </w:p>
        </w:tc>
        <w:tc>
          <w:tcPr>
            <w:tcW w:w="6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Comprehensive income (loss)</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$151</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551</w:t>
            </w:r>
          </w:p>
        </w:tc>
        <w:tc>
          <w:tcPr>
            <w:tcW w:w="700" w:type="dxa"/>
            <w:vAlign w:val="bottom"/>
            <w:gridSpan w:val="2"/>
          </w:tcPr>
          <w:p>
            <w:pPr>
              <w:ind w:left="6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524</w:t>
            </w:r>
          </w:p>
        </w:tc>
        <w:tc>
          <w:tcPr>
            <w:tcW w:w="6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(1,141)</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Less: Comprehensive income (loss) attributable to noncontrolling</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5"/>
        </w:trPr>
        <w:tc>
          <w:tcPr>
            <w:tcW w:w="5180" w:type="dxa"/>
            <w:vAlign w:val="bottom"/>
            <w:gridSpan w:val="4"/>
          </w:tcPr>
          <w:p>
            <w:pPr>
              <w:spacing w:after="0"/>
              <w:rPr>
                <w:sz w:val="20"/>
                <w:szCs w:val="20"/>
                <w:color w:val="auto"/>
              </w:rPr>
            </w:pPr>
            <w:r>
              <w:rPr>
                <w:rFonts w:ascii="Arial" w:cs="Arial" w:eastAsia="Arial" w:hAnsi="Arial"/>
                <w:sz w:val="18"/>
                <w:szCs w:val="18"/>
                <w:color w:val="auto"/>
                <w:w w:val="98"/>
              </w:rPr>
              <w:t>Comprehensive income (loss) attributable to Waste Management,</w:t>
            </w:r>
          </w:p>
        </w:tc>
        <w:tc>
          <w:tcPr>
            <w:tcW w:w="2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3"/>
          </w:tcPr>
          <w:p>
            <w:pPr>
              <w:ind w:left="200"/>
              <w:spacing w:after="0"/>
              <w:rPr>
                <w:sz w:val="20"/>
                <w:szCs w:val="20"/>
                <w:color w:val="auto"/>
              </w:rPr>
            </w:pPr>
            <w:r>
              <w:rPr>
                <w:rFonts w:ascii="Arial" w:cs="Arial" w:eastAsia="Arial" w:hAnsi="Arial"/>
                <w:sz w:val="18"/>
                <w:szCs w:val="18"/>
                <w:color w:val="auto"/>
              </w:rPr>
              <w:t>Inc.</w:t>
            </w:r>
          </w:p>
        </w:tc>
        <w:tc>
          <w:tcPr>
            <w:tcW w:w="6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151</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551</w:t>
            </w:r>
          </w:p>
        </w:tc>
        <w:tc>
          <w:tcPr>
            <w:tcW w:w="700" w:type="dxa"/>
            <w:vAlign w:val="bottom"/>
            <w:gridSpan w:val="2"/>
          </w:tcPr>
          <w:p>
            <w:pPr>
              <w:ind w:left="6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527</w:t>
            </w:r>
          </w:p>
        </w:tc>
        <w:tc>
          <w:tcPr>
            <w:tcW w:w="6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(1,141)</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4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7"/>
              </w:rPr>
              <w:t>Six Months Ended June 30, 2014</w:t>
            </w:r>
          </w:p>
        </w:tc>
        <w:tc>
          <w:tcPr>
            <w:tcW w:w="2720" w:type="dxa"/>
            <w:vAlign w:val="bottom"/>
            <w:tcBorders>
              <w:bottom w:val="single" w:sz="8" w:color="CCEEFF"/>
            </w:tcBorders>
            <w:gridSpan w:val="2"/>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right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right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Comprehensive income (loss)</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$437</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543</w:t>
            </w:r>
          </w:p>
        </w:tc>
        <w:tc>
          <w:tcPr>
            <w:tcW w:w="700" w:type="dxa"/>
            <w:vAlign w:val="bottom"/>
            <w:gridSpan w:val="2"/>
          </w:tcPr>
          <w:p>
            <w:pPr>
              <w:ind w:left="6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522</w:t>
            </w:r>
          </w:p>
        </w:tc>
        <w:tc>
          <w:tcPr>
            <w:tcW w:w="6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(1,062)</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Less: Comprehensive income (loss) attributable to noncontrolling</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5"/>
        </w:trPr>
        <w:tc>
          <w:tcPr>
            <w:tcW w:w="5180" w:type="dxa"/>
            <w:vAlign w:val="bottom"/>
            <w:gridSpan w:val="4"/>
          </w:tcPr>
          <w:p>
            <w:pPr>
              <w:spacing w:after="0"/>
              <w:rPr>
                <w:sz w:val="20"/>
                <w:szCs w:val="20"/>
                <w:color w:val="auto"/>
              </w:rPr>
            </w:pPr>
            <w:r>
              <w:rPr>
                <w:rFonts w:ascii="Arial" w:cs="Arial" w:eastAsia="Arial" w:hAnsi="Arial"/>
                <w:sz w:val="18"/>
                <w:szCs w:val="18"/>
                <w:color w:val="auto"/>
                <w:w w:val="98"/>
              </w:rPr>
              <w:t>Comprehensive income (loss) attributable to Waste Management,</w:t>
            </w:r>
          </w:p>
        </w:tc>
        <w:tc>
          <w:tcPr>
            <w:tcW w:w="2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3"/>
          </w:tcPr>
          <w:p>
            <w:pPr>
              <w:ind w:left="200"/>
              <w:spacing w:after="0"/>
              <w:rPr>
                <w:sz w:val="20"/>
                <w:szCs w:val="20"/>
                <w:color w:val="auto"/>
              </w:rPr>
            </w:pPr>
            <w:r>
              <w:rPr>
                <w:rFonts w:ascii="Arial" w:cs="Arial" w:eastAsia="Arial" w:hAnsi="Arial"/>
                <w:sz w:val="18"/>
                <w:szCs w:val="18"/>
                <w:color w:val="auto"/>
              </w:rPr>
              <w:t>Inc.</w:t>
            </w:r>
          </w:p>
        </w:tc>
        <w:tc>
          <w:tcPr>
            <w:tcW w:w="6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437</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543</w:t>
            </w:r>
          </w:p>
        </w:tc>
        <w:tc>
          <w:tcPr>
            <w:tcW w:w="700" w:type="dxa"/>
            <w:vAlign w:val="bottom"/>
            <w:gridSpan w:val="2"/>
          </w:tcPr>
          <w:p>
            <w:pPr>
              <w:ind w:left="6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501</w:t>
            </w:r>
          </w:p>
        </w:tc>
        <w:tc>
          <w:tcPr>
            <w:tcW w:w="6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(1,062)</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9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Six Months Ended June 30, 2015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WM</w:t>
            </w:r>
          </w:p>
        </w:tc>
        <w:tc>
          <w:tcPr>
            <w:tcW w:w="2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WM</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4"/>
              </w:rPr>
              <w:t>Subsidiaries</w:t>
            </w:r>
          </w:p>
        </w:tc>
        <w:tc>
          <w:tcPr>
            <w:tcW w:w="2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Consolidated 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551</w:t>
            </w:r>
          </w:p>
        </w:tc>
        <w:tc>
          <w:tcPr>
            <w:tcW w:w="34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587</w:t>
            </w:r>
          </w:p>
        </w:tc>
        <w:tc>
          <w:tcPr>
            <w:tcW w:w="340" w:type="dxa"/>
            <w:vAlign w:val="bottom"/>
          </w:tcPr>
          <w:p>
            <w:pPr>
              <w:spacing w:after="0"/>
              <w:rPr>
                <w:sz w:val="18"/>
                <w:szCs w:val="18"/>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(1,141)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Other adjustments</w:t>
            </w:r>
          </w:p>
        </w:tc>
        <w:tc>
          <w:tcPr>
            <w:tcW w:w="8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22"/>
        </w:trPr>
        <w:tc>
          <w:tcPr>
            <w:tcW w:w="53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8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(529)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Proceeds from divestitures of businesses and other assets (net of</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divested)</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w w:val="98"/>
              </w:rPr>
              <w:t>Net receipts from restricted trust and escrow accounts and other,</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net</w:t>
            </w:r>
          </w:p>
        </w:tc>
        <w:tc>
          <w:tcPr>
            <w:tcW w:w="80" w:type="dxa"/>
            <w:vAlign w:val="bottom"/>
          </w:tcPr>
          <w:p>
            <w:pPr>
              <w:spacing w:after="0"/>
              <w:rPr>
                <w:sz w:val="19"/>
                <w:szCs w:val="19"/>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22"/>
        </w:trPr>
        <w:tc>
          <w:tcPr>
            <w:tcW w:w="53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borrowings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7"/>
              </w:rPr>
              <w:t>1,781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Debt repayments</w:t>
            </w:r>
          </w:p>
        </w:tc>
        <w:tc>
          <w:tcPr>
            <w:tcW w:w="8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(1,825)</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(144)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(212)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Premiums paid on early extinguishment of debt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Common stock repurchases</w:t>
            </w:r>
          </w:p>
        </w:tc>
        <w:tc>
          <w:tcPr>
            <w:tcW w:w="8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Exercise of common stock options</w:t>
            </w:r>
          </w:p>
        </w:tc>
        <w:tc>
          <w:tcPr>
            <w:tcW w:w="8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paid to noncontrolling interests and other</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(Increase) decrease in intercompany and investments, net</w:t>
            </w:r>
          </w:p>
        </w:tc>
        <w:tc>
          <w:tcPr>
            <w:tcW w:w="8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(1,087)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w w:val="97"/>
              </w:rPr>
              <w:t>1,235</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CONDENSED CONSOLIDATING STATEMENTS OF CASH FLOWS (Continued)</w:t>
      </w:r>
    </w:p>
    <w:p>
      <w:pPr>
        <w:spacing w:after="0" w:line="9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Six Months Ended June 30, 2014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WM</w:t>
            </w:r>
          </w:p>
        </w:tc>
        <w:tc>
          <w:tcPr>
            <w:tcW w:w="300" w:type="dxa"/>
            <w:vAlign w:val="bottom"/>
          </w:tcPr>
          <w:p>
            <w:pPr>
              <w:spacing w:after="0"/>
              <w:rPr>
                <w:sz w:val="12"/>
                <w:szCs w:val="12"/>
                <w:color w:val="auto"/>
              </w:rPr>
            </w:pPr>
          </w:p>
        </w:tc>
        <w:tc>
          <w:tcPr>
            <w:tcW w:w="134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w w:val="94"/>
              </w:rPr>
              <w:t>Guarantor</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WM</w:t>
            </w:r>
          </w:p>
        </w:tc>
        <w:tc>
          <w:tcPr>
            <w:tcW w:w="3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30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Consolidated 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438</w:t>
            </w:r>
          </w:p>
        </w:tc>
        <w:tc>
          <w:tcPr>
            <w:tcW w:w="340" w:type="dxa"/>
            <w:vAlign w:val="bottom"/>
          </w:tcPr>
          <w:p>
            <w:pPr>
              <w:spacing w:after="0"/>
              <w:rPr>
                <w:sz w:val="18"/>
                <w:szCs w:val="18"/>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543</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540</w:t>
            </w:r>
          </w:p>
        </w:tc>
        <w:tc>
          <w:tcPr>
            <w:tcW w:w="6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(1,062)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1,062</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Other adjustments</w:t>
            </w: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719</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22"/>
        </w:trPr>
        <w:tc>
          <w:tcPr>
            <w:tcW w:w="54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(474)</w:t>
            </w:r>
          </w:p>
        </w:tc>
        <w:tc>
          <w:tcPr>
            <w:tcW w:w="2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Proceeds from divestitures of businesses and other assets (net of</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divested)</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Net receipts from restricted trust and escrow accounts and other,</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net</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9"/>
                <w:szCs w:val="19"/>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22"/>
        </w:trPr>
        <w:tc>
          <w:tcPr>
            <w:tcW w:w="54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borrowings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1,367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Debt repayments</w:t>
            </w: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(1,685)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Exercise of common stock options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paid to noncontrolling interests and other</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(Increase) decrease in intercompany and investments, net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779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(713)</w:t>
            </w:r>
          </w:p>
        </w:tc>
        <w:tc>
          <w:tcPr>
            <w:tcW w:w="2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(844)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33"/>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Standard Pending Adoption</w:t>
      </w:r>
    </w:p>
    <w:p>
      <w:pPr>
        <w:spacing w:after="0" w:line="9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May 2014, the Financial Accounting Standards Board (“FASB”) amended authoritative guidance associated with revenue recognition. The amended guidance requires companies to recognize revenue to depict the transfer of promised goods or services to customers in an amount that reflects the consideration to which the entity expects to be entitled in exchange for those goods or services. Additionally, the amendments will require enhanced qualitative and quantitative disclosures regarding customer contracts. The amended authoritative guidance associated with revenue recognition is effective for the Company on January 1, 2018. The amended guidance may be applied retrospectively for all periods presented or retrospectively with the cumulative effect of initially applying the amended guidance recognized at the date of initial application. We are in the process of assessing the provisions of the amended guidance and have not determined whether the adoption will have a material impact on our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34" w:name="page35"/>
    <w:bookmarkEnd w:id="34"/>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10-K for the year ended December 31, 2014.</w:t>
      </w:r>
    </w:p>
    <w:p>
      <w:pPr>
        <w:spacing w:after="0" w:line="5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an effort to keep our stockholders and the public informed about our business, we may make “forward-looking statements.” Forward-looking statements usually relate to future events and anticipated revenues, earnings, cash flows or other aspects of our operations or operating results. Forward-looking statements are often identified by the words, “will,” “may,” “should,” “continue,” “anticipate,” “believe,” “expect,” “plan,” “forecast,” “project,” “estimate,” “intend,” and words of a similar nature and generally include statements containing:</w:t>
      </w:r>
    </w:p>
    <w:p>
      <w:pPr>
        <w:spacing w:after="0" w:line="62" w:lineRule="exact"/>
        <w:rPr>
          <w:sz w:val="20"/>
          <w:szCs w:val="20"/>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projections about accounting and finances;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plans and objectives for the future;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projections or estimates about assumptions relating to our performance;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opinions, views or beliefs about the effects of current or future events, circumstances or performance.</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You should view these statements with caution. These statements are not guarantees of future performance, circumstances or events. They are based on the facts and circumstances known to us as of the date the statements are made. All aspects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w:t>
      </w:r>
    </w:p>
    <w:p>
      <w:pPr>
        <w:spacing w:after="0" w:line="6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Some of the risks that we believe could affect our business and financial statements for 2015 and beyond and that could cause actual results to be materially different from those that may be set forth in forward-looking statements made by the Company include the following:</w:t>
      </w:r>
    </w:p>
    <w:p>
      <w:pPr>
        <w:spacing w:after="0" w:line="51" w:lineRule="exact"/>
        <w:rPr>
          <w:sz w:val="20"/>
          <w:szCs w:val="20"/>
          <w:color w:val="auto"/>
        </w:rPr>
      </w:pPr>
    </w:p>
    <w:p>
      <w:pPr>
        <w:ind w:left="660" w:right="20" w:hanging="206"/>
        <w:spacing w:after="0" w:line="33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competition may negatively affect our profitability or cash flows, our pricing strategy may have negative effects on volumes, and inability to execute our pricing strategy while retaining and attracting customers may negatively affect our average yield on collection and disposal business;</w:t>
      </w:r>
    </w:p>
    <w:p>
      <w:pPr>
        <w:spacing w:after="0" w:line="4" w:lineRule="exact"/>
        <w:rPr>
          <w:rFonts w:ascii="Arial" w:cs="Arial" w:eastAsia="Arial" w:hAnsi="Arial"/>
          <w:sz w:val="16"/>
          <w:szCs w:val="16"/>
          <w:color w:val="auto"/>
        </w:rPr>
      </w:pPr>
    </w:p>
    <w:p>
      <w:pPr>
        <w:jc w:val="both"/>
        <w:ind w:left="660" w:hanging="206"/>
        <w:spacing w:after="0" w:line="306"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may fail in implementing our cost saving, optimization and growth initiatives and overall business strategy, which could adversely impact our financial performance and growth, and implementation of our initiatives and strategy may have associated negative consequences, such as fragmentation of efforts, increased indebtedness, asset impairments, business disruption, employee distraction, and regulatory issues;</w:t>
      </w:r>
    </w:p>
    <w:p>
      <w:pPr>
        <w:spacing w:after="0" w:line="25" w:lineRule="exact"/>
        <w:rPr>
          <w:rFonts w:ascii="Arial" w:cs="Arial" w:eastAsia="Arial" w:hAnsi="Arial"/>
          <w:sz w:val="16"/>
          <w:szCs w:val="16"/>
          <w:color w:val="auto"/>
        </w:rPr>
      </w:pPr>
    </w:p>
    <w:p>
      <w:pPr>
        <w:ind w:left="660" w:hanging="206"/>
        <w:spacing w:after="0" w:line="26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unable to identify desirable acquisition targets, negotiate advantageous transactions or realize the benefits expected from such transactions, which could adversely impact our growth strategy, earnings and cash flow;</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existing or future regulations may impact our business by, among other things, restricting our operations, increasing costs of operations or requiring additional capital expenditures;</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possible changes in our estimates of costs for site remediation requirements, final capping, closure and post-closure obligations, compliance and regulatory developments may increase our expenses;</w:t>
      </w:r>
    </w:p>
    <w:p>
      <w:pPr>
        <w:spacing w:after="0" w:line="50" w:lineRule="exact"/>
        <w:rPr>
          <w:rFonts w:ascii="Arial" w:cs="Arial" w:eastAsia="Arial" w:hAnsi="Arial"/>
          <w:sz w:val="18"/>
          <w:szCs w:val="18"/>
          <w:color w:val="auto"/>
        </w:rPr>
      </w:pPr>
    </w:p>
    <w:p>
      <w:pPr>
        <w:jc w:val="both"/>
        <w:ind w:left="660" w:hanging="206"/>
        <w:spacing w:after="0" w:line="25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materials processed by our recycling operations are subject to significant commodity price fluctuations, as are methane gas and other energy-related products marketed and sold by our landfill gas recovery operations; fluctuations in commodity prices may have negative effects on our operating results;</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changes in oil and gas prices and drilling activity, and changes in applicable regulations, could adversely affect our Energy Services business;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35" w:name="page36"/>
    <w:bookmarkEnd w:id="35"/>
    <w:p>
      <w:pPr>
        <w:ind w:left="206" w:hanging="206"/>
        <w:spacing w:after="0" w:line="332" w:lineRule="auto"/>
        <w:tabs>
          <w:tab w:leader="none" w:pos="206" w:val="left"/>
        </w:tabs>
        <w:numPr>
          <w:ilvl w:val="0"/>
          <w:numId w:val="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increasing customer preference for alternatives to traditional disposal, government mandates requiring recycling and prohibiting disposal of certain types of waste, and overall reduction of waste generated could continue to have a negative effect on volumes of waste going to our landfills;</w:t>
      </w:r>
    </w:p>
    <w:p>
      <w:pPr>
        <w:spacing w:after="0" w:line="4" w:lineRule="exact"/>
        <w:rPr>
          <w:rFonts w:ascii="Arial" w:cs="Arial" w:eastAsia="Arial" w:hAnsi="Arial"/>
          <w:sz w:val="16"/>
          <w:szCs w:val="16"/>
          <w:color w:val="auto"/>
        </w:rPr>
      </w:pPr>
    </w:p>
    <w:p>
      <w:pPr>
        <w:ind w:left="206" w:hanging="206"/>
        <w:spacing w:after="0" w:line="268" w:lineRule="auto"/>
        <w:tabs>
          <w:tab w:leader="none" w:pos="206"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in technology could trigger a fundamental change in the waste management industry, as waste streams are increasingly viewed as a resource, which may adversely impact volumes at our landfills and our profitability;</w:t>
      </w:r>
    </w:p>
    <w:p>
      <w:pPr>
        <w:spacing w:after="0" w:line="50" w:lineRule="exact"/>
        <w:rPr>
          <w:rFonts w:ascii="Arial" w:cs="Arial" w:eastAsia="Arial" w:hAnsi="Arial"/>
          <w:sz w:val="18"/>
          <w:szCs w:val="18"/>
          <w:color w:val="auto"/>
        </w:rPr>
      </w:pPr>
    </w:p>
    <w:p>
      <w:pPr>
        <w:ind w:left="206" w:hanging="206"/>
        <w:spacing w:after="0" w:line="268" w:lineRule="auto"/>
        <w:tabs>
          <w:tab w:leader="none" w:pos="206"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existing and proposed service offerings to customers may require that we develop or license, and protect, new technologies; and our inability to obtain or protect new technologies could impact our services to customers and development of new revenue sources;</w:t>
      </w:r>
    </w:p>
    <w:p>
      <w:pPr>
        <w:spacing w:after="0" w:line="50" w:lineRule="exact"/>
        <w:rPr>
          <w:rFonts w:ascii="Arial" w:cs="Arial" w:eastAsia="Arial" w:hAnsi="Arial"/>
          <w:sz w:val="18"/>
          <w:szCs w:val="18"/>
          <w:color w:val="auto"/>
        </w:rPr>
      </w:pPr>
    </w:p>
    <w:p>
      <w:pPr>
        <w:ind w:left="206" w:hanging="206"/>
        <w:spacing w:after="0" w:line="268" w:lineRule="auto"/>
        <w:tabs>
          <w:tab w:leader="none" w:pos="206"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are investing in emerging technologies to provide disposal alternatives; such emerging technologies may not perform as intended or may experience other difficulties or delays that prevent us from realizing a return on our investment;</w:t>
      </w:r>
    </w:p>
    <w:p>
      <w:pPr>
        <w:spacing w:after="0" w:line="50" w:lineRule="exact"/>
        <w:rPr>
          <w:rFonts w:ascii="Arial" w:cs="Arial" w:eastAsia="Arial" w:hAnsi="Arial"/>
          <w:sz w:val="18"/>
          <w:szCs w:val="18"/>
          <w:color w:val="auto"/>
        </w:rPr>
      </w:pPr>
    </w:p>
    <w:p>
      <w:pPr>
        <w:ind w:left="206" w:hanging="206"/>
        <w:spacing w:after="0" w:line="268" w:lineRule="auto"/>
        <w:tabs>
          <w:tab w:leader="none" w:pos="20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publicity (whether or not justified) relating to activities by our operations, employees or agents could tarnish our reputation and reduce the value of our brand;</w:t>
      </w:r>
    </w:p>
    <w:p>
      <w:pPr>
        <w:spacing w:after="0" w:line="50" w:lineRule="exact"/>
        <w:rPr>
          <w:rFonts w:ascii="Arial" w:cs="Arial" w:eastAsia="Arial" w:hAnsi="Arial"/>
          <w:sz w:val="18"/>
          <w:szCs w:val="18"/>
          <w:color w:val="auto"/>
        </w:rPr>
      </w:pPr>
    </w:p>
    <w:p>
      <w:pPr>
        <w:ind w:left="206" w:hanging="206"/>
        <w:spacing w:after="0" w:line="268" w:lineRule="auto"/>
        <w:tabs>
          <w:tab w:leader="none" w:pos="20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there is a risk of incurring significant environmental liabilities in the use, treatment, storage, transfer and disposal of waste materials; any substantial liability for environmental damage could have a material adverse effect on our financial condition and cash flows;</w:t>
      </w:r>
    </w:p>
    <w:p>
      <w:pPr>
        <w:spacing w:after="0" w:line="50" w:lineRule="exact"/>
        <w:rPr>
          <w:rFonts w:ascii="Arial" w:cs="Arial" w:eastAsia="Arial" w:hAnsi="Arial"/>
          <w:sz w:val="18"/>
          <w:szCs w:val="18"/>
          <w:color w:val="auto"/>
        </w:rPr>
      </w:pPr>
    </w:p>
    <w:p>
      <w:pPr>
        <w:ind w:left="206" w:hanging="206"/>
        <w:spacing w:after="0"/>
        <w:tabs>
          <w:tab w:leader="none" w:pos="206"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weak economic conditions may negatively affect the volumes of waste generated;</w:t>
      </w:r>
    </w:p>
    <w:p>
      <w:pPr>
        <w:spacing w:after="0" w:line="90" w:lineRule="exact"/>
        <w:rPr>
          <w:rFonts w:ascii="Arial" w:cs="Arial" w:eastAsia="Arial" w:hAnsi="Arial"/>
          <w:sz w:val="18"/>
          <w:szCs w:val="18"/>
          <w:color w:val="auto"/>
        </w:rPr>
      </w:pPr>
    </w:p>
    <w:p>
      <w:pPr>
        <w:ind w:left="206" w:hanging="206"/>
        <w:spacing w:after="0" w:line="268" w:lineRule="auto"/>
        <w:tabs>
          <w:tab w:leader="none" w:pos="206" w:val="left"/>
        </w:tabs>
        <w:numPr>
          <w:ilvl w:val="0"/>
          <w:numId w:val="25"/>
        </w:numPr>
        <w:rPr>
          <w:rFonts w:ascii="Arial" w:cs="Arial" w:eastAsia="Arial" w:hAnsi="Arial"/>
          <w:sz w:val="18"/>
          <w:szCs w:val="18"/>
          <w:color w:val="auto"/>
        </w:rPr>
      </w:pPr>
      <w:r>
        <w:rPr>
          <w:rFonts w:ascii="Arial" w:cs="Arial" w:eastAsia="Arial" w:hAnsi="Arial"/>
          <w:sz w:val="18"/>
          <w:szCs w:val="18"/>
          <w:color w:val="auto"/>
        </w:rPr>
        <w:t>some of our customers, including governmental entities, have suffered financial difficulties that could affect our business and operating results, due to their credit risk and the impact of the municipal debt market on remarketing of our tax-exempt bonds;</w:t>
      </w:r>
    </w:p>
    <w:p>
      <w:pPr>
        <w:spacing w:after="0" w:line="50" w:lineRule="exact"/>
        <w:rPr>
          <w:rFonts w:ascii="Arial" w:cs="Arial" w:eastAsia="Arial" w:hAnsi="Arial"/>
          <w:sz w:val="18"/>
          <w:szCs w:val="18"/>
          <w:color w:val="auto"/>
        </w:rPr>
      </w:pPr>
    </w:p>
    <w:p>
      <w:pPr>
        <w:ind w:left="206" w:right="20" w:hanging="206"/>
        <w:spacing w:after="0" w:line="268" w:lineRule="auto"/>
        <w:tabs>
          <w:tab w:leader="none" w:pos="206"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we are unable to obtain and maintain permits needed to open, operate, and/or expand our facilities, our results of operations will be negatively impacted;</w:t>
      </w:r>
    </w:p>
    <w:p>
      <w:pPr>
        <w:spacing w:after="0" w:line="50" w:lineRule="exact"/>
        <w:rPr>
          <w:rFonts w:ascii="Arial" w:cs="Arial" w:eastAsia="Arial" w:hAnsi="Arial"/>
          <w:sz w:val="18"/>
          <w:szCs w:val="18"/>
          <w:color w:val="auto"/>
        </w:rPr>
      </w:pPr>
    </w:p>
    <w:p>
      <w:pPr>
        <w:ind w:left="206" w:hanging="206"/>
        <w:spacing w:after="0"/>
        <w:tabs>
          <w:tab w:leader="none" w:pos="206"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diesel fuel price increases or diesel fuel supply shortages may increase our expenses and restrict our ability to operate;</w:t>
      </w:r>
    </w:p>
    <w:p>
      <w:pPr>
        <w:spacing w:after="0" w:line="90" w:lineRule="exact"/>
        <w:rPr>
          <w:rFonts w:ascii="Arial" w:cs="Arial" w:eastAsia="Arial" w:hAnsi="Arial"/>
          <w:sz w:val="18"/>
          <w:szCs w:val="18"/>
          <w:color w:val="auto"/>
        </w:rPr>
      </w:pPr>
    </w:p>
    <w:p>
      <w:pPr>
        <w:ind w:left="206" w:hanging="206"/>
        <w:spacing w:after="0" w:line="268" w:lineRule="auto"/>
        <w:tabs>
          <w:tab w:leader="none" w:pos="206"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are increasingly dependent on the availability of compressed natural gas (“CNG”) and CNG fueling infrastructure and vulnerable to CNG prices; difficulty obtaining CNG and increases in CNG prices could increase our operating costs;</w:t>
      </w:r>
    </w:p>
    <w:p>
      <w:pPr>
        <w:spacing w:after="0" w:line="50" w:lineRule="exact"/>
        <w:rPr>
          <w:rFonts w:ascii="Arial" w:cs="Arial" w:eastAsia="Arial" w:hAnsi="Arial"/>
          <w:sz w:val="18"/>
          <w:szCs w:val="18"/>
          <w:color w:val="auto"/>
        </w:rPr>
      </w:pPr>
    </w:p>
    <w:p>
      <w:pPr>
        <w:ind w:left="206" w:hanging="206"/>
        <w:spacing w:after="0" w:line="268" w:lineRule="auto"/>
        <w:tabs>
          <w:tab w:leader="none" w:pos="206"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problems with the operation of current information technology or the development and deployment of new information systems could decrease our efficiencies and increase our costs;</w:t>
      </w:r>
    </w:p>
    <w:p>
      <w:pPr>
        <w:spacing w:after="0" w:line="50" w:lineRule="exact"/>
        <w:rPr>
          <w:rFonts w:ascii="Arial" w:cs="Arial" w:eastAsia="Arial" w:hAnsi="Arial"/>
          <w:sz w:val="18"/>
          <w:szCs w:val="18"/>
          <w:color w:val="auto"/>
        </w:rPr>
      </w:pPr>
    </w:p>
    <w:p>
      <w:pPr>
        <w:ind w:left="206" w:hanging="206"/>
        <w:spacing w:after="0"/>
        <w:tabs>
          <w:tab w:leader="none" w:pos="20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cybersecurity incident could negatively impact our business and our relationships with customers;</w:t>
      </w:r>
    </w:p>
    <w:p>
      <w:pPr>
        <w:spacing w:after="0" w:line="90" w:lineRule="exact"/>
        <w:rPr>
          <w:rFonts w:ascii="Arial" w:cs="Arial" w:eastAsia="Arial" w:hAnsi="Arial"/>
          <w:sz w:val="18"/>
          <w:szCs w:val="18"/>
          <w:color w:val="auto"/>
        </w:rPr>
      </w:pPr>
    </w:p>
    <w:p>
      <w:pPr>
        <w:jc w:val="both"/>
        <w:ind w:left="206" w:hanging="206"/>
        <w:spacing w:after="0" w:line="259" w:lineRule="auto"/>
        <w:tabs>
          <w:tab w:leader="none" w:pos="206"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59" w:lineRule="exact"/>
        <w:rPr>
          <w:rFonts w:ascii="Arial" w:cs="Arial" w:eastAsia="Arial" w:hAnsi="Arial"/>
          <w:sz w:val="18"/>
          <w:szCs w:val="18"/>
          <w:color w:val="auto"/>
        </w:rPr>
      </w:pPr>
    </w:p>
    <w:p>
      <w:pPr>
        <w:ind w:left="206" w:hanging="206"/>
        <w:spacing w:after="0"/>
        <w:tabs>
          <w:tab w:leader="none" w:pos="206"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could face significant liability for withdrawal from multiemployer pension plans;</w:t>
      </w:r>
    </w:p>
    <w:p>
      <w:pPr>
        <w:spacing w:after="0" w:line="90" w:lineRule="exact"/>
        <w:rPr>
          <w:rFonts w:ascii="Arial" w:cs="Arial" w:eastAsia="Arial" w:hAnsi="Arial"/>
          <w:sz w:val="18"/>
          <w:szCs w:val="18"/>
          <w:color w:val="auto"/>
        </w:rPr>
      </w:pPr>
    </w:p>
    <w:p>
      <w:pPr>
        <w:ind w:left="206" w:hanging="206"/>
        <w:spacing w:after="0"/>
        <w:tabs>
          <w:tab w:leader="none" w:pos="206"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are subject to operational and safety risks, including the risk of personal injury to employees and others;</w:t>
      </w:r>
    </w:p>
    <w:p>
      <w:pPr>
        <w:spacing w:after="0" w:line="90" w:lineRule="exact"/>
        <w:rPr>
          <w:rFonts w:ascii="Arial" w:cs="Arial" w:eastAsia="Arial" w:hAnsi="Arial"/>
          <w:sz w:val="18"/>
          <w:szCs w:val="18"/>
          <w:color w:val="auto"/>
        </w:rPr>
      </w:pPr>
    </w:p>
    <w:p>
      <w:pPr>
        <w:ind w:left="206" w:hanging="206"/>
        <w:spacing w:after="0"/>
        <w:tabs>
          <w:tab w:leader="none" w:pos="206"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increased costs for financial assurance or the inadequacy of our insurance coverage could negatively impact our liquidity and increase our liabilities;</w:t>
      </w:r>
    </w:p>
    <w:p>
      <w:pPr>
        <w:spacing w:after="0" w:line="113" w:lineRule="exact"/>
        <w:rPr>
          <w:rFonts w:ascii="Arial" w:cs="Arial" w:eastAsia="Arial" w:hAnsi="Arial"/>
          <w:sz w:val="16"/>
          <w:szCs w:val="16"/>
          <w:color w:val="auto"/>
        </w:rPr>
      </w:pPr>
    </w:p>
    <w:p>
      <w:pPr>
        <w:ind w:left="206" w:hanging="206"/>
        <w:spacing w:after="0"/>
        <w:tabs>
          <w:tab w:leader="none" w:pos="206" w:val="left"/>
        </w:tabs>
        <w:numPr>
          <w:ilvl w:val="0"/>
          <w:numId w:val="25"/>
        </w:numPr>
        <w:rPr>
          <w:rFonts w:ascii="Arial" w:cs="Arial" w:eastAsia="Arial" w:hAnsi="Arial"/>
          <w:sz w:val="16"/>
          <w:szCs w:val="16"/>
          <w:color w:val="auto"/>
        </w:rPr>
      </w:pPr>
      <w:r>
        <w:rPr>
          <w:rFonts w:ascii="Arial" w:cs="Arial" w:eastAsia="Arial" w:hAnsi="Arial"/>
          <w:sz w:val="16"/>
          <w:szCs w:val="16"/>
          <w:color w:val="auto"/>
        </w:rPr>
        <w:t>possible charges as a result of shut-down operations, uncompleted development or expansion projects or other events may negatively affect earnings;</w:t>
      </w:r>
    </w:p>
    <w:p>
      <w:pPr>
        <w:spacing w:after="0" w:line="113" w:lineRule="exact"/>
        <w:rPr>
          <w:rFonts w:ascii="Arial" w:cs="Arial" w:eastAsia="Arial" w:hAnsi="Arial"/>
          <w:sz w:val="16"/>
          <w:szCs w:val="16"/>
          <w:color w:val="auto"/>
        </w:rPr>
      </w:pPr>
    </w:p>
    <w:p>
      <w:pPr>
        <w:ind w:left="206" w:hanging="206"/>
        <w:spacing w:after="0" w:line="268" w:lineRule="auto"/>
        <w:tabs>
          <w:tab w:leader="none" w:pos="206"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reduce or suspend capital expenditures, acquisition activity, dividend declarations or share repurchases if we suffer a significant reduction in cash flows;</w:t>
      </w:r>
    </w:p>
    <w:p>
      <w:pPr>
        <w:spacing w:after="0" w:line="11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66"/>
          </w:cols>
          <w:pgMar w:left="694" w:top="280" w:right="239" w:bottom="1440" w:gutter="0" w:footer="0" w:header="0"/>
        </w:sectPr>
      </w:pPr>
    </w:p>
    <w:bookmarkStart w:id="36" w:name="page37"/>
    <w:bookmarkEnd w:id="36"/>
    <w:p>
      <w:pPr>
        <w:ind w:left="660" w:hanging="206"/>
        <w:spacing w:after="0" w:line="33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may be unable to incur future indebtedness to support our growth and development plans or to refinance our debt obligations, including near-term maturities, on terms consistent with current borrowings, and higher interest rates and market conditions may increase our expense;</w:t>
      </w:r>
    </w:p>
    <w:p>
      <w:pPr>
        <w:spacing w:after="0" w:line="4" w:lineRule="exact"/>
        <w:rPr>
          <w:rFonts w:ascii="Arial" w:cs="Arial" w:eastAsia="Arial" w:hAnsi="Arial"/>
          <w:sz w:val="16"/>
          <w:szCs w:val="16"/>
          <w:color w:val="auto"/>
        </w:rPr>
      </w:pPr>
    </w:p>
    <w:p>
      <w:pPr>
        <w:ind w:left="660" w:hanging="206"/>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climate change legislation, including possible limits on carbon emissions, may negatively impact our results of operations by increasing expenses;</w:t>
      </w:r>
    </w:p>
    <w:p>
      <w:pPr>
        <w:spacing w:after="0" w:line="113" w:lineRule="exact"/>
        <w:rPr>
          <w:rFonts w:ascii="Arial" w:cs="Arial" w:eastAsia="Arial" w:hAnsi="Arial"/>
          <w:sz w:val="16"/>
          <w:szCs w:val="16"/>
          <w:color w:val="auto"/>
        </w:rPr>
      </w:pPr>
    </w:p>
    <w:p>
      <w:pPr>
        <w:ind w:left="660" w:right="20" w:hanging="206"/>
        <w:spacing w:after="0" w:line="26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weather conditions and one-time special projects cause our results to fluctuate, and harsh weather or natural disasters may cause us to temporarily suspend operations; our stock price may be negatively impacted by interim variations in our results;</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could be subject to significant fines and penalties, and our reputation could be adversely affected, if our business, or third parties with whom we have relationships, were to fail to comply with United States or foreign laws or regulations;</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negative outcomes of litigation or threatened litigation or governmental proceedings may increase our costs, limit our ability to conduct or expand our operations, or limit our ability to execute our business plans and strategies; and</w:t>
      </w:r>
    </w:p>
    <w:p>
      <w:pPr>
        <w:spacing w:after="0" w:line="50"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reported quarterly results of operations or adversely impact our reported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principal executive offices are located at 1001 Fannin Street, Suite 4000, Houston, Texas 77002. Our telephone number at that address is (713) 512-6200. Our website address is 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w:t>
      </w:r>
    </w:p>
    <w:p>
      <w:pPr>
        <w:spacing w:after="0" w:line="62"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recycling and resource recovery, and disposal services. Through our subsidiaries, we are also a leading developer, operator and owner of landfill gas-to-energy facilities in the United States. In December 2014, we completed the sale of our Wheelabrator business, which provides waste-to-energy services and manages waste-to-energy facilities and independent power production plants.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Our Company’s goals are targeted at serving our customers, our employees, the environment, the communities in which we work and our stockholders, and achievement of our goals is intended to meet the needs of a changing industry. Our Company and others have recognized the value of the traditional waste stream as a potential resource. Increasingly, customers want more of their waste materials recovered, while waste streams are becoming more complex, and our aim is to address, and anticipate, the current, expanding and evolving needs of our customers. Accomplishment of our goals will grow our Company and allow us to meet the needs of our customers and communities as they, too, Think Green</w:t>
      </w:r>
      <w:r>
        <w:rPr>
          <w:rFonts w:ascii="Arial" w:cs="Arial" w:eastAsia="Arial" w:hAnsi="Arial"/>
          <w:sz w:val="10"/>
          <w:szCs w:val="10"/>
          <w:color w:val="auto"/>
        </w:rPr>
        <w:t>®</w:t>
      </w:r>
      <w:r>
        <w:rPr>
          <w:rFonts w:ascii="Arial" w:cs="Arial" w:eastAsia="Arial" w:hAnsi="Arial"/>
          <w:sz w:val="16"/>
          <w:szCs w:val="16"/>
          <w:color w:val="auto"/>
        </w:rPr>
        <w:t>.</w:t>
      </w:r>
    </w:p>
    <w:p>
      <w:pPr>
        <w:spacing w:after="0" w:line="3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believe we are uniquely equipped to meet the challenges of the changing waste industry and our customers’ waste management needs, both today and as we work together to envision and create a more sustainable future. As the waste industry leader, we have the expertise necessary to collect and handle our customers’ waste efficiently and responsibly by delivering environmental performance — maximizing resource value, while minimizing environmental impact — so that both our economy and our environment can thrive. Drawing on our resources and experience, we also pursue projects and initiatives that benefit the waste industry, the customers and communities we serve and the environment.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37" w:name="page38"/>
    <w:bookmarkEnd w:id="37"/>
    <w:p>
      <w:pPr>
        <w:jc w:val="both"/>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remain dedicated to providing long-term value to our stockholders by successfully executing our strategy: to know and service our customers better than anyone in our industry, to extract more value from the materials we manage, and to innovate and optimize our business. We plan to accomplish our strategic goals through competitive advantages derived from a “best cost” structure achieved through operational improvements and differentiation in our industry, driven by capitalizing on our extensive, well-placed network of assets. While we will continue to monitor emerging diversion technologies that may generate additional value, our current attention will be on improving existing diversion technologies, such as recycling operations.</w:t>
      </w:r>
    </w:p>
    <w:p>
      <w:pPr>
        <w:spacing w:after="0" w:line="3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pursuit of these long-term goals, we recognize that we must grow the business, and do so as efficiently and cost effectively as possible. Accordingly, we are focusing on the following five key company priorities:</w:t>
      </w:r>
    </w:p>
    <w:p>
      <w:pPr>
        <w:spacing w:after="0" w:line="51" w:lineRule="exact"/>
        <w:rPr>
          <w:sz w:val="20"/>
          <w:szCs w:val="20"/>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Customers: provide the best possible service to our customers;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Traditional Waste Business: continuously improve our operational performance;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Growth: take advantage of opportunities in our current business, as well as considering attractive acquisition opportunities;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Yield Management: remain focused on price leadership while considering competitive dynamics;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minimize both operating costs and selling, general &amp; administrative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execution of our strategy through these key priorities will drive continued financial performance and leadership in a dynamic industry.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Key items of our financial results for the current quarter include:</w:t>
      </w:r>
    </w:p>
    <w:p>
      <w:pPr>
        <w:spacing w:after="0" w:line="90" w:lineRule="exact"/>
        <w:rPr>
          <w:sz w:val="20"/>
          <w:szCs w:val="20"/>
          <w:color w:val="auto"/>
        </w:rPr>
      </w:pPr>
    </w:p>
    <w:p>
      <w:pPr>
        <w:jc w:val="both"/>
        <w:ind w:left="660" w:hanging="206"/>
        <w:spacing w:after="0" w:line="25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Revenues of $3,315 million compared with $3,561 million in the second quarter of 2014, a decrease of $246 million, or 6.9%. This decrease in revenues is attributable to (i) divestitures, primarily the sale of our Wheelabrator business in December 2014, which lowered revenues by $193 million; (ii) lower volumes, which decreased our revenues by $44 million; (iii) lower fuel surcharges and mandated fees of $45 million due primarily to lower year-over-year average fuel prices; (iv) year-over-year commodity price declines, which lowered revenues by $40 million and (v) foreign currency translation of $27 million related to our Canadian operations. These decreases were partially offset by positive revenue growth from yield on our collection and disposal operations of $49 million and revenue from acquired operations, primarily the acquisition of Deffenbaugh in March 2015, which increased revenues by $54 million;</w:t>
      </w:r>
    </w:p>
    <w:p>
      <w:pPr>
        <w:spacing w:after="0" w:line="66" w:lineRule="exact"/>
        <w:rPr>
          <w:rFonts w:ascii="Arial" w:cs="Arial" w:eastAsia="Arial" w:hAnsi="Arial"/>
          <w:sz w:val="18"/>
          <w:szCs w:val="18"/>
          <w:color w:val="auto"/>
        </w:rPr>
      </w:pPr>
    </w:p>
    <w:p>
      <w:pPr>
        <w:jc w:val="both"/>
        <w:ind w:left="660" w:hanging="206"/>
        <w:spacing w:after="0" w:line="291"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Operating expenses of $2,163 million, or 65.2% of revenues, compared with $2,301 million, or 64.6% of revenues, in the second quarter of 2014. This decrease of $138 million is attributable to (i) operating costs associated with divestitures, primarily the sale of our Wheelabrator business; (ii) lower fuel costs of $46 million due to lower year-over-year average fuel prices; (iii) lower cost of goods sold of $23 million primarily associated with lower commodity prices and (iv) lower subcontractor expenses of $21 million primarily associated with lower volumes. These decreases were partially offset by the recognition of a $55 million charge associated with the withdrawal from certain underfunded multiemployer pension plans in the second quarter of 2015 and a gain of $15 million on the sale of surplus property in the second quarter of 2014;</w:t>
      </w:r>
    </w:p>
    <w:p>
      <w:pPr>
        <w:spacing w:after="0" w:line="39" w:lineRule="exact"/>
        <w:rPr>
          <w:rFonts w:ascii="Arial" w:cs="Arial" w:eastAsia="Arial" w:hAnsi="Arial"/>
          <w:sz w:val="16"/>
          <w:szCs w:val="16"/>
          <w:color w:val="auto"/>
        </w:rPr>
      </w:pPr>
    </w:p>
    <w:p>
      <w:pPr>
        <w:jc w:val="both"/>
        <w:ind w:left="660" w:hanging="206"/>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Selling, general and administrative expenses of $322 million, or 9.7% of revenues, compared with $353 million, or 9.9% of revenues, in the second quarter of 2014. This decrease of $31 million is driven primarily by savings associated with our August 2014 restructuring and expenses associated with 2014 divestitures;</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Income from operations of $502 million, or 15.1% of revenues, compared with $532 million or 14.9% of revenues, in the second quarter of 2014;</w:t>
      </w:r>
    </w:p>
    <w:p>
      <w:pPr>
        <w:spacing w:after="0" w:line="113" w:lineRule="exact"/>
        <w:rPr>
          <w:rFonts w:ascii="Arial" w:cs="Arial" w:eastAsia="Arial" w:hAnsi="Arial"/>
          <w:sz w:val="16"/>
          <w:szCs w:val="16"/>
          <w:color w:val="auto"/>
        </w:rPr>
      </w:pPr>
    </w:p>
    <w:p>
      <w:pPr>
        <w:ind w:left="660" w:hanging="206"/>
        <w:spacing w:after="0" w:line="26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Interest expense, net decreased by $20 million, or 17.4%, from $115 million in the second quarter of 2014 to $95 million in the second quarter of 2015, primarily due to the refinancing of a significant portion of our high-coupon senior notes during the first quarter of 2015;</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38" w:name="page39"/>
    <w:bookmarkEnd w:id="38"/>
    <w:p>
      <w:pPr>
        <w:jc w:val="both"/>
        <w:ind w:left="660" w:hanging="206"/>
        <w:spacing w:after="0" w:line="25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Our provision for income taxes decreased $64 million, from $180 million in the second quarter of 2014 to $116 million in the current quarter. This decrease resulted from tax benefits recognized this quarter from state tax law changes and higher taxes in the second quarter of 2014 related primarily to the divestiture of our Puerto Rico operations; and</w:t>
      </w:r>
    </w:p>
    <w:p>
      <w:pPr>
        <w:spacing w:after="0" w:line="59"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income attributable to Waste Management, Inc. of $274 million, or $0.60 per diluted share, as compared with net income of $210 million, or $0.45 per diluted share, in the second quarter of 2014.</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second quarter of 2015 results were affected by the following:</w:t>
      </w:r>
    </w:p>
    <w:p>
      <w:pPr>
        <w:spacing w:after="0" w:line="90" w:lineRule="exact"/>
        <w:rPr>
          <w:sz w:val="20"/>
          <w:szCs w:val="20"/>
          <w:color w:val="auto"/>
        </w:rPr>
      </w:pPr>
    </w:p>
    <w:p>
      <w:pPr>
        <w:ind w:left="660" w:right="20" w:hanging="206"/>
        <w:spacing w:after="0" w:line="26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charge associated with the withdrawal from certain underfunded multiemployer pension plans discussed above had a negative impact of $0.07 on our diluted earnings per share; and</w:t>
      </w:r>
    </w:p>
    <w:p>
      <w:pPr>
        <w:spacing w:after="0" w:line="50" w:lineRule="exact"/>
        <w:rPr>
          <w:rFonts w:ascii="Arial" w:cs="Arial" w:eastAsia="Arial" w:hAnsi="Arial"/>
          <w:sz w:val="18"/>
          <w:szCs w:val="18"/>
          <w:color w:val="auto"/>
        </w:rPr>
      </w:pPr>
    </w:p>
    <w:p>
      <w:pPr>
        <w:ind w:left="660" w:hanging="206"/>
        <w:spacing w:after="0" w:line="33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recognition of net pre-tax losses of $6 million primarily related to the impairment of various recycling assets and certain adjustments associated with the sale of our Wheelabrator business. Combined, these charges had a favorable after-tax impact of $0.01 on our diluted earnings per share.</w:t>
      </w:r>
    </w:p>
    <w:p>
      <w:pPr>
        <w:spacing w:after="0" w:line="4"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Our second quarter of 2014 results were affected by a loss on the divestiture of our Puerto Rico operations and charges primarily related to the decision to close a waste processing facility. These charges had a negative impact of $0.15 on our diluted earnings per share.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Free Cash Flow</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As is our practice, 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However, we believe free cash flow gives investors useful insight into how we view our liquidity. Nevertheless, the use of free cash flow as a liquidity measure has material limitations because it excludes certain expenditures that are required or that we have committed to, such as declared dividend payments and debt service requirements.</w:t>
      </w:r>
    </w:p>
    <w:p>
      <w:pPr>
        <w:spacing w:after="0" w:line="3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calculation of free cash flow and reconciliation to “Net cash provided by operating activities,” is shown in the table below (in millions), and may not be calculated the same as similarly-titled measures presented by other companies: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4"/>
                <w:szCs w:val="14"/>
                <w:color w:val="auto"/>
              </w:rPr>
            </w:pPr>
          </w:p>
        </w:tc>
        <w:tc>
          <w:tcPr>
            <w:tcW w:w="1000" w:type="dxa"/>
            <w:vAlign w:val="bottom"/>
            <w:gridSpan w:val="4"/>
          </w:tcPr>
          <w:p>
            <w:pPr>
              <w:jc w:val="center"/>
              <w:ind w:left="219"/>
              <w:spacing w:after="0"/>
              <w:rPr>
                <w:sz w:val="20"/>
                <w:szCs w:val="20"/>
                <w:color w:val="auto"/>
              </w:rPr>
            </w:pPr>
            <w:r>
              <w:rPr>
                <w:rFonts w:ascii="Arial" w:cs="Arial" w:eastAsia="Arial" w:hAnsi="Arial"/>
                <w:sz w:val="14"/>
                <w:szCs w:val="14"/>
                <w:b w:val="1"/>
                <w:bCs w:val="1"/>
                <w:color w:val="auto"/>
                <w:w w:val="88"/>
              </w:rPr>
              <w:t>Six Months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2015</w:t>
            </w:r>
          </w:p>
        </w:tc>
        <w:tc>
          <w:tcPr>
            <w:tcW w:w="5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$ 816</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$ 555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1,315</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1,139</w:t>
            </w: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Capital expenditures</w:t>
            </w:r>
          </w:p>
        </w:tc>
        <w:tc>
          <w:tcPr>
            <w:tcW w:w="920" w:type="dxa"/>
            <w:vAlign w:val="bottom"/>
            <w:gridSpan w:val="4"/>
          </w:tcPr>
          <w:p>
            <w:pPr>
              <w:jc w:val="right"/>
              <w:ind w:right="372"/>
              <w:spacing w:after="0"/>
              <w:rPr>
                <w:sz w:val="20"/>
                <w:szCs w:val="20"/>
                <w:color w:val="auto"/>
              </w:rPr>
            </w:pPr>
            <w:r>
              <w:rPr>
                <w:rFonts w:ascii="Arial" w:cs="Arial" w:eastAsia="Arial" w:hAnsi="Arial"/>
                <w:sz w:val="18"/>
                <w:szCs w:val="18"/>
                <w:color w:val="auto"/>
              </w:rPr>
              <w:t>(296)</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c>
          <w:tcPr>
            <w:tcW w:w="900" w:type="dxa"/>
            <w:vAlign w:val="bottom"/>
            <w:gridSpan w:val="2"/>
          </w:tcPr>
          <w:p>
            <w:pPr>
              <w:jc w:val="right"/>
              <w:ind w:right="372"/>
              <w:spacing w:after="0"/>
              <w:rPr>
                <w:sz w:val="20"/>
                <w:szCs w:val="20"/>
                <w:color w:val="auto"/>
              </w:rPr>
            </w:pPr>
            <w:r>
              <w:rPr>
                <w:rFonts w:ascii="Arial" w:cs="Arial" w:eastAsia="Arial" w:hAnsi="Arial"/>
                <w:sz w:val="18"/>
                <w:szCs w:val="18"/>
                <w:color w:val="auto"/>
              </w:rPr>
              <w:t>(529)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(474)</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8"/>
                <w:szCs w:val="18"/>
                <w:color w:val="auto"/>
              </w:rPr>
            </w:pPr>
          </w:p>
        </w:tc>
      </w:tr>
      <w:tr>
        <w:trPr>
          <w:trHeight w:val="222"/>
        </w:trPr>
        <w:tc>
          <w:tcPr>
            <w:tcW w:w="7040" w:type="dxa"/>
            <w:vAlign w:val="bottom"/>
          </w:tcPr>
          <w:p>
            <w:pPr>
              <w:spacing w:after="0"/>
              <w:rPr>
                <w:sz w:val="20"/>
                <w:szCs w:val="20"/>
                <w:color w:val="auto"/>
              </w:rPr>
            </w:pPr>
            <w:r>
              <w:rPr>
                <w:rFonts w:ascii="Arial" w:cs="Arial" w:eastAsia="Arial" w:hAnsi="Arial"/>
                <w:sz w:val="18"/>
                <w:szCs w:val="18"/>
                <w:color w:val="auto"/>
              </w:rPr>
              <w:t>Free cash flow</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$ 579</w:t>
            </w:r>
          </w:p>
        </w:tc>
        <w:tc>
          <w:tcPr>
            <w:tcW w:w="4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$ 447</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864</w:t>
            </w:r>
          </w:p>
        </w:tc>
        <w:tc>
          <w:tcPr>
            <w:tcW w:w="5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931</w:t>
            </w:r>
          </w:p>
        </w:tc>
      </w:tr>
      <w:tr>
        <w:trPr>
          <w:trHeight w:val="20"/>
        </w:trPr>
        <w:tc>
          <w:tcPr>
            <w:tcW w:w="7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When comparing our cash flows from operating activities for the three and six months ended June 30, 2015 to the comparable periods in 2014, the increase of $261 million and $176 million, respectively, resulted primarily from both lower income tax payments and lower interest payments in the current year. Partially offsetting these increases were lower earnings, primarily due to the sale of our Wheelabrator business in December 2014. Additionally, higher year-over-year annual incentive plan payments of approximately $65 million made in the first quarter of 2015 negatively affected our comparison while the settlement of forward-starting swap liabilities of $36 million in the first quarter of 2014 favorably affected our comparison.</w:t>
      </w:r>
    </w:p>
    <w:p>
      <w:pPr>
        <w:spacing w:after="0" w:line="35"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decrease in proceeds from divestitures of businesses and other assets (net of cash divested) is largely driven by (i) the sale of our investment in Shanghai Environment Group (“SEG”), which was part of our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39" w:name="page40"/>
    <w:bookmarkEnd w:id="39"/>
    <w:p>
      <w:pPr>
        <w:jc w:val="both"/>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Wheelabrator business, in the first quarter of 2014 for $155 million and (ii) the sale of our Puerto Rico operations and certain other collection and landfill assets in the second quarter of 2014 for proceeds of $80 million, including $65 million in cash.</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Acquisitions</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 xml:space="preserve">Deffenbaugh Disposal, Inc. </w:t>
      </w:r>
      <w:r>
        <w:rPr>
          <w:rFonts w:ascii="Arial" w:cs="Arial" w:eastAsia="Arial" w:hAnsi="Arial"/>
          <w:sz w:val="18"/>
          <w:szCs w:val="18"/>
          <w:color w:val="auto"/>
        </w:rPr>
        <w:t>— On March 26, 2015, we acquired Deffenbaugh Disposal, Inc. (“Deffenbaugh”), one of the largest privately owned collection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disposal firms in the Midwest, for total consideration of $416 million ($413 million cash), inclusive of amounts for estimated working capital. Deffenbaugh’s assets include five collection operations, seven transfer stations, two recycling facilities, one subtitle-D landfill, and one construction and demolition landfill. For both the three and six months ended June 30, 2015, Deffenbaugh recognized revenues of $48 million and net losses of less than $1 million which are included in our Condensed Consolidated Statements of Operations.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Divestitures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Wheelabrator Business </w:t>
      </w:r>
      <w:r>
        <w:rPr>
          <w:rFonts w:ascii="Arial" w:cs="Arial" w:eastAsia="Arial" w:hAnsi="Arial"/>
          <w:sz w:val="16"/>
          <w:szCs w:val="16"/>
          <w:color w:val="auto"/>
        </w:rPr>
        <w:t>— On December 19, 2014, we sold our Wheelabrator business to an affiliate of Energy Capital Partners and received cash proceeds</w:t>
      </w:r>
      <w:r>
        <w:rPr>
          <w:rFonts w:ascii="Arial" w:cs="Arial" w:eastAsia="Arial" w:hAnsi="Arial"/>
          <w:sz w:val="16"/>
          <w:szCs w:val="16"/>
          <w:i w:val="1"/>
          <w:iCs w:val="1"/>
          <w:color w:val="auto"/>
        </w:rPr>
        <w:t xml:space="preserve"> </w:t>
      </w:r>
      <w:r>
        <w:rPr>
          <w:rFonts w:ascii="Arial" w:cs="Arial" w:eastAsia="Arial" w:hAnsi="Arial"/>
          <w:sz w:val="16"/>
          <w:szCs w:val="16"/>
          <w:color w:val="auto"/>
        </w:rPr>
        <w:t>of $1.95 billion, net of cash divested, subject to certain post-closing adjustments. We recognized a gain of $519 million on this sale in the fourth quarter of 2014. For the six months ended June 30, 2015, net adjustments to this gain were immaterial on a pre-tax basis. In conjunction with the sale, the Company entered into several agreements to dispose of a minimum number of tons of waste at certain Wheelabrator facilities. These agreements generally provide for fixed volume commitments, with certain market price resets, for up to seven years.</w:t>
      </w:r>
    </w:p>
    <w:p>
      <w:pPr>
        <w:spacing w:after="0" w:line="35"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 In addition to the divestiture of our Wheelabrator business in 2014, we also divested our Puerto Rico operations and certain other collection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landfill assets in the second quarter of 2014, as well as certain landfill and collection operations in our Eastern Canada Area in the third quarter of 2014.</w:t>
      </w:r>
    </w:p>
    <w:p>
      <w:pPr>
        <w:spacing w:after="0" w:line="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total, these divested businesses and assets provided $0.02 and $0.06 of earnings per diluted share for the three and six months ended June 30, 2014, respectively.</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Estimates and Assumptions</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as described in Item 7 of our Annual Report on Form 10-K for the year ended December 31, 2014. Actual results could differ materially from the estimates and assumptions that we use in the preparation of our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evaluate, oversee and manage the financial performance of our Solid Waste business subsidiaries through our 17 geographic Areas. Our prior year data includes results of our Wheelabrator segment, which was divested in December 2014. We also provide additional services that are not managed through our Solid Waste business, including Strategic Business Solutions (“WMSBS”), Energy and Environmental Services, recycling brokerage services, landfill gas-to-energy services and expanded service offerings and solutions. In addition, we offer portable self-storage services through a joint venture; fluorescent bulb and universal waste mail-back through our LampTracker</w:t>
      </w:r>
      <w:r>
        <w:rPr>
          <w:rFonts w:ascii="Arial" w:cs="Arial" w:eastAsia="Arial" w:hAnsi="Arial"/>
          <w:sz w:val="10"/>
          <w:szCs w:val="10"/>
          <w:color w:val="auto"/>
        </w:rPr>
        <w:t>®</w:t>
      </w:r>
      <w:r>
        <w:rPr>
          <w:rFonts w:ascii="Arial" w:cs="Arial" w:eastAsia="Arial" w:hAnsi="Arial"/>
          <w:sz w:val="16"/>
          <w:szCs w:val="16"/>
          <w:color w:val="auto"/>
        </w:rPr>
        <w:t xml:space="preserve"> program; portable restroom servicing under the name Port-o-Let</w:t>
      </w:r>
      <w:r>
        <w:rPr>
          <w:rFonts w:ascii="Arial" w:cs="Arial" w:eastAsia="Arial" w:hAnsi="Arial"/>
          <w:sz w:val="10"/>
          <w:szCs w:val="10"/>
          <w:color w:val="auto"/>
        </w:rPr>
        <w:t>®</w:t>
      </w:r>
      <w:r>
        <w:rPr>
          <w:rFonts w:ascii="Arial" w:cs="Arial" w:eastAsia="Arial" w:hAnsi="Arial"/>
          <w:sz w:val="16"/>
          <w:szCs w:val="16"/>
          <w:color w:val="auto"/>
        </w:rPr>
        <w:t>; and street and parking lot sweeping services. In addition, we hold interests in oil and gas producing properties. These operations are presented as “Other” in the table below. The following table summarizes revenues during each period (in millions):</w:t>
      </w:r>
    </w:p>
    <w:p>
      <w:pPr>
        <w:spacing w:after="0" w:line="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89"/>
              </w:rPr>
              <w:t>Three Months</w:t>
            </w:r>
          </w:p>
        </w:tc>
        <w:tc>
          <w:tcPr>
            <w:tcW w:w="17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Six Months</w:t>
            </w:r>
          </w:p>
        </w:tc>
      </w:tr>
      <w:tr>
        <w:trPr>
          <w:trHeight w:val="149"/>
        </w:trPr>
        <w:tc>
          <w:tcPr>
            <w:tcW w:w="6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6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7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2015</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2014</w:t>
            </w:r>
          </w:p>
        </w:tc>
        <w:tc>
          <w:tcPr>
            <w:tcW w:w="5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6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Solid Waste:</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40" w:type="dxa"/>
            <w:vAlign w:val="bottom"/>
          </w:tcPr>
          <w:p>
            <w:pPr>
              <w:ind w:left="220"/>
              <w:spacing w:after="0"/>
              <w:rPr>
                <w:sz w:val="20"/>
                <w:szCs w:val="20"/>
                <w:color w:val="auto"/>
              </w:rPr>
            </w:pPr>
            <w:r>
              <w:rPr>
                <w:rFonts w:ascii="Arial" w:cs="Arial" w:eastAsia="Arial" w:hAnsi="Arial"/>
                <w:sz w:val="18"/>
                <w:szCs w:val="18"/>
                <w:color w:val="auto"/>
              </w:rPr>
              <w:t>Tier 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873</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885</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$ 1,704</w:t>
            </w:r>
          </w:p>
        </w:tc>
        <w:tc>
          <w:tcPr>
            <w:tcW w:w="5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$ 1,735</w:t>
            </w:r>
          </w:p>
        </w:tc>
      </w:tr>
      <w:tr>
        <w:trPr>
          <w:trHeight w:val="216"/>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Tier 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1,663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1,650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5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3,152</w:t>
            </w:r>
          </w:p>
        </w:tc>
      </w:tr>
      <w:tr>
        <w:trPr>
          <w:trHeight w:val="223"/>
        </w:trPr>
        <w:tc>
          <w:tcPr>
            <w:tcW w:w="6740" w:type="dxa"/>
            <w:vAlign w:val="bottom"/>
          </w:tcPr>
          <w:p>
            <w:pPr>
              <w:ind w:left="220"/>
              <w:spacing w:after="0"/>
              <w:rPr>
                <w:sz w:val="20"/>
                <w:szCs w:val="20"/>
                <w:color w:val="auto"/>
              </w:rPr>
            </w:pPr>
            <w:r>
              <w:rPr>
                <w:rFonts w:ascii="Arial" w:cs="Arial" w:eastAsia="Arial" w:hAnsi="Arial"/>
                <w:sz w:val="18"/>
                <w:szCs w:val="18"/>
                <w:color w:val="auto"/>
              </w:rPr>
              <w:t>Tier 3</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5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w:t>
            </w:r>
          </w:p>
        </w:tc>
        <w:tc>
          <w:tcPr>
            <w:tcW w:w="5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w:t>
            </w:r>
          </w:p>
        </w:tc>
        <w:tc>
          <w:tcPr>
            <w:tcW w:w="100" w:type="dxa"/>
            <w:vAlign w:val="bottom"/>
          </w:tcPr>
          <w:p>
            <w:pPr>
              <w:spacing w:after="0"/>
              <w:rPr>
                <w:sz w:val="19"/>
                <w:szCs w:val="19"/>
                <w:color w:val="auto"/>
              </w:rPr>
            </w:pPr>
          </w:p>
        </w:tc>
      </w:tr>
      <w:tr>
        <w:trPr>
          <w:trHeight w:val="216"/>
        </w:trPr>
        <w:tc>
          <w:tcPr>
            <w:tcW w:w="6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Solid Waste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3,409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3,446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6,506</w:t>
            </w:r>
          </w:p>
        </w:tc>
        <w:tc>
          <w:tcPr>
            <w:tcW w:w="5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6,645</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Wheelabrator</w:t>
            </w:r>
          </w:p>
        </w:tc>
        <w:tc>
          <w:tcPr>
            <w:tcW w:w="100" w:type="dxa"/>
            <w:vAlign w:val="bottom"/>
          </w:tcPr>
          <w:p>
            <w:pPr>
              <w:spacing w:after="0"/>
              <w:rPr>
                <w:sz w:val="18"/>
                <w:szCs w:val="18"/>
                <w:color w:val="auto"/>
              </w:rPr>
            </w:pPr>
          </w:p>
        </w:tc>
        <w:tc>
          <w:tcPr>
            <w:tcW w:w="920" w:type="dxa"/>
            <w:vAlign w:val="bottom"/>
            <w:gridSpan w:val="2"/>
          </w:tcPr>
          <w:p>
            <w:pPr>
              <w:jc w:val="right"/>
              <w:ind w:right="4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206</w:t>
            </w:r>
          </w:p>
        </w:tc>
        <w:tc>
          <w:tcPr>
            <w:tcW w:w="1060" w:type="dxa"/>
            <w:vAlign w:val="bottom"/>
            <w:gridSpan w:val="2"/>
          </w:tcPr>
          <w:p>
            <w:pPr>
              <w:jc w:val="right"/>
              <w:ind w:right="45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436</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551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5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1,098</w:t>
            </w: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Intercompany</w:t>
            </w:r>
          </w:p>
        </w:tc>
        <w:tc>
          <w:tcPr>
            <w:tcW w:w="100" w:type="dxa"/>
            <w:vAlign w:val="bottom"/>
          </w:tcPr>
          <w:p>
            <w:pPr>
              <w:spacing w:after="0"/>
              <w:rPr>
                <w:sz w:val="19"/>
                <w:szCs w:val="19"/>
                <w:color w:val="auto"/>
              </w:rPr>
            </w:pPr>
          </w:p>
        </w:tc>
        <w:tc>
          <w:tcPr>
            <w:tcW w:w="920" w:type="dxa"/>
            <w:vAlign w:val="bottom"/>
            <w:gridSpan w:val="2"/>
          </w:tcPr>
          <w:p>
            <w:pPr>
              <w:jc w:val="right"/>
              <w:ind w:right="392"/>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9"/>
                <w:szCs w:val="19"/>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(642)</w:t>
            </w:r>
          </w:p>
        </w:tc>
        <w:tc>
          <w:tcPr>
            <w:tcW w:w="1060" w:type="dxa"/>
            <w:vAlign w:val="bottom"/>
            <w:gridSpan w:val="2"/>
          </w:tcPr>
          <w:p>
            <w:pPr>
              <w:jc w:val="right"/>
              <w:ind w:right="392"/>
              <w:spacing w:after="0"/>
              <w:rPr>
                <w:sz w:val="20"/>
                <w:szCs w:val="20"/>
                <w:color w:val="auto"/>
              </w:rPr>
            </w:pPr>
            <w:r>
              <w:rPr>
                <w:rFonts w:ascii="Arial" w:cs="Arial" w:eastAsia="Arial" w:hAnsi="Arial"/>
                <w:sz w:val="18"/>
                <w:szCs w:val="18"/>
                <w:color w:val="auto"/>
              </w:rPr>
              <w:t>(1,154)</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(1,222)</w:t>
            </w: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3,315</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3,561</w:t>
            </w:r>
          </w:p>
        </w:tc>
        <w:tc>
          <w:tcPr>
            <w:tcW w:w="52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$ 6,355</w:t>
            </w:r>
          </w:p>
        </w:tc>
        <w:tc>
          <w:tcPr>
            <w:tcW w:w="52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$ 6,957</w:t>
            </w:r>
          </w:p>
        </w:tc>
        <w:tc>
          <w:tcPr>
            <w:tcW w:w="100" w:type="dxa"/>
            <w:vAlign w:val="bottom"/>
            <w:shd w:val="clear" w:color="auto" w:fill="CCEEFF"/>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mix of operating revenues from our major lines of business is reflected in the table below (in millions):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89"/>
              </w:rPr>
              <w:t>Three Months</w:t>
            </w:r>
          </w:p>
        </w:tc>
        <w:tc>
          <w:tcPr>
            <w:tcW w:w="17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2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40" w:type="dxa"/>
            <w:vAlign w:val="bottom"/>
            <w:tcBorders>
              <w:bottom w:val="single" w:sz="8" w:color="CCEEFF"/>
            </w:tcBorders>
          </w:tcPr>
          <w:p>
            <w:pPr>
              <w:spacing w:after="0"/>
              <w:rPr>
                <w:sz w:val="12"/>
                <w:szCs w:val="12"/>
                <w:color w:val="auto"/>
              </w:rPr>
            </w:pPr>
          </w:p>
        </w:tc>
        <w:tc>
          <w:tcPr>
            <w:tcW w:w="3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2015</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2014</w:t>
            </w:r>
          </w:p>
        </w:tc>
        <w:tc>
          <w:tcPr>
            <w:tcW w:w="5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$ 1,657</w:t>
            </w: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$ 1,702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Residential</w:t>
            </w: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631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643</w:t>
            </w:r>
          </w:p>
        </w:tc>
        <w:tc>
          <w:tcPr>
            <w:tcW w:w="540" w:type="dxa"/>
            <w:vAlign w:val="bottom"/>
          </w:tcPr>
          <w:p>
            <w:pPr>
              <w:jc w:val="right"/>
              <w:spacing w:after="0"/>
              <w:rPr>
                <w:sz w:val="20"/>
                <w:szCs w:val="20"/>
                <w:color w:val="auto"/>
              </w:rPr>
            </w:pPr>
            <w:r>
              <w:rPr>
                <w:rFonts w:ascii="Arial" w:cs="Arial" w:eastAsia="Arial" w:hAnsi="Arial"/>
                <w:sz w:val="18"/>
                <w:szCs w:val="18"/>
                <w:color w:val="auto"/>
              </w:rPr>
              <w:t>1,243</w:t>
            </w:r>
          </w:p>
        </w:tc>
        <w:tc>
          <w:tcPr>
            <w:tcW w:w="5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574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5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23"/>
        </w:trPr>
        <w:tc>
          <w:tcPr>
            <w:tcW w:w="3240" w:type="dxa"/>
            <w:vAlign w:val="bottom"/>
          </w:tcPr>
          <w:p>
            <w:pPr>
              <w:spacing w:after="0"/>
              <w:rPr>
                <w:sz w:val="20"/>
                <w:szCs w:val="20"/>
                <w:color w:val="auto"/>
              </w:rPr>
            </w:pPr>
            <w:r>
              <w:rPr>
                <w:rFonts w:ascii="Arial" w:cs="Arial" w:eastAsia="Arial" w:hAnsi="Arial"/>
                <w:sz w:val="18"/>
                <w:szCs w:val="18"/>
                <w:color w:val="auto"/>
              </w:rPr>
              <w:t>Other</w:t>
            </w:r>
          </w:p>
        </w:tc>
        <w:tc>
          <w:tcPr>
            <w:tcW w:w="3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5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5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collection</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2,141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2,161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5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4,235</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Landfill</w:t>
            </w: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758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732</w:t>
            </w:r>
          </w:p>
        </w:tc>
        <w:tc>
          <w:tcPr>
            <w:tcW w:w="540" w:type="dxa"/>
            <w:vAlign w:val="bottom"/>
          </w:tcPr>
          <w:p>
            <w:pPr>
              <w:jc w:val="right"/>
              <w:spacing w:after="0"/>
              <w:rPr>
                <w:sz w:val="20"/>
                <w:szCs w:val="20"/>
                <w:color w:val="auto"/>
              </w:rPr>
            </w:pPr>
            <w:r>
              <w:rPr>
                <w:rFonts w:ascii="Arial" w:cs="Arial" w:eastAsia="Arial" w:hAnsi="Arial"/>
                <w:sz w:val="18"/>
                <w:szCs w:val="18"/>
                <w:color w:val="auto"/>
              </w:rPr>
              <w:t>1,393</w:t>
            </w:r>
          </w:p>
        </w:tc>
        <w:tc>
          <w:tcPr>
            <w:tcW w:w="5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5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Wheelabrator</w:t>
            </w: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206</w:t>
            </w:r>
          </w:p>
        </w:tc>
        <w:tc>
          <w:tcPr>
            <w:tcW w:w="1060" w:type="dxa"/>
            <w:vAlign w:val="bottom"/>
            <w:gridSpan w:val="2"/>
          </w:tcPr>
          <w:p>
            <w:pPr>
              <w:jc w:val="right"/>
              <w:ind w:right="45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Recycling</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5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Other</w:t>
            </w: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396</w:t>
            </w:r>
          </w:p>
        </w:tc>
        <w:tc>
          <w:tcPr>
            <w:tcW w:w="540" w:type="dxa"/>
            <w:vAlign w:val="bottom"/>
          </w:tcPr>
          <w:p>
            <w:pPr>
              <w:jc w:val="right"/>
              <w:spacing w:after="0"/>
              <w:rPr>
                <w:sz w:val="20"/>
                <w:szCs w:val="20"/>
                <w:color w:val="auto"/>
              </w:rPr>
            </w:pPr>
            <w:r>
              <w:rPr>
                <w:rFonts w:ascii="Arial" w:cs="Arial" w:eastAsia="Arial" w:hAnsi="Arial"/>
                <w:sz w:val="18"/>
                <w:szCs w:val="18"/>
                <w:color w:val="auto"/>
              </w:rPr>
              <w:t>707</w:t>
            </w:r>
          </w:p>
        </w:tc>
        <w:tc>
          <w:tcPr>
            <w:tcW w:w="5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Intercompany</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(642)</w:t>
            </w:r>
          </w:p>
        </w:tc>
        <w:tc>
          <w:tcPr>
            <w:tcW w:w="10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(1,154)</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21"/>
        </w:trPr>
        <w:tc>
          <w:tcPr>
            <w:tcW w:w="3240" w:type="dxa"/>
            <w:vAlign w:val="bottom"/>
          </w:tcPr>
          <w:p>
            <w:pPr>
              <w:ind w:left="220"/>
              <w:spacing w:after="0"/>
              <w:rPr>
                <w:sz w:val="20"/>
                <w:szCs w:val="20"/>
                <w:color w:val="auto"/>
              </w:rPr>
            </w:pPr>
            <w:r>
              <w:rPr>
                <w:rFonts w:ascii="Arial" w:cs="Arial" w:eastAsia="Arial" w:hAnsi="Arial"/>
                <w:sz w:val="18"/>
                <w:szCs w:val="18"/>
                <w:color w:val="auto"/>
              </w:rPr>
              <w:t>Total</w:t>
            </w:r>
          </w:p>
        </w:tc>
        <w:tc>
          <w:tcPr>
            <w:tcW w:w="3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3,315</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3,561</w:t>
            </w:r>
          </w:p>
        </w:tc>
        <w:tc>
          <w:tcPr>
            <w:tcW w:w="5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$ 6,355</w:t>
            </w:r>
          </w:p>
        </w:tc>
        <w:tc>
          <w:tcPr>
            <w:tcW w:w="5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$ 6,957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500" w:type="dxa"/>
            <w:vAlign w:val="bottom"/>
            <w:vMerge w:val="restart"/>
          </w:tcPr>
          <w:p>
            <w:pPr>
              <w:jc w:val="right"/>
              <w:ind w:right="131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4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1" w:name="page42"/>
    <w:bookmarkEnd w:id="41"/>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provides details associated with the period-to-period change in revenues (dollars in millions) along with an explanation of the significant components of the current period changes: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gridSpan w:val="4"/>
          </w:tcPr>
          <w:p>
            <w:pPr>
              <w:jc w:val="center"/>
              <w:ind w:right="1040"/>
              <w:spacing w:after="0"/>
              <w:rPr>
                <w:sz w:val="20"/>
                <w:szCs w:val="20"/>
                <w:color w:val="auto"/>
              </w:rPr>
            </w:pPr>
            <w:r>
              <w:rPr>
                <w:rFonts w:ascii="Arial" w:cs="Arial" w:eastAsia="Arial" w:hAnsi="Arial"/>
                <w:sz w:val="14"/>
                <w:szCs w:val="14"/>
                <w:b w:val="1"/>
                <w:bCs w:val="1"/>
                <w:color w:val="auto"/>
                <w:w w:val="87"/>
              </w:rPr>
              <w:t>Period-to-Period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w w:val="87"/>
              </w:rPr>
              <w:t>Period-to-Period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gridSpan w:val="3"/>
          </w:tcPr>
          <w:p>
            <w:pPr>
              <w:jc w:val="center"/>
              <w:ind w:right="110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80" w:type="dxa"/>
            <w:vAlign w:val="bottom"/>
            <w:gridSpan w:val="6"/>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gridSpan w:val="3"/>
          </w:tcPr>
          <w:p>
            <w:pPr>
              <w:jc w:val="center"/>
              <w:ind w:right="1080"/>
              <w:spacing w:after="0" w:line="149" w:lineRule="exact"/>
              <w:rPr>
                <w:sz w:val="20"/>
                <w:szCs w:val="20"/>
                <w:color w:val="auto"/>
              </w:rPr>
            </w:pPr>
            <w:r>
              <w:rPr>
                <w:rFonts w:ascii="Arial" w:cs="Arial" w:eastAsia="Arial" w:hAnsi="Arial"/>
                <w:sz w:val="14"/>
                <w:szCs w:val="14"/>
                <w:b w:val="1"/>
                <w:bCs w:val="1"/>
                <w:color w:val="auto"/>
                <w:w w:val="85"/>
              </w:rPr>
              <w:t>June 30,</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6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w w:val="84"/>
              </w:rPr>
              <w:t>2015 vs. 2014</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8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84"/>
              </w:rPr>
              <w:t>2015 vs. 2014</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Total</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43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60" w:type="dxa"/>
            <w:vAlign w:val="bottom"/>
            <w:tcBorders>
              <w:bottom w:val="single" w:sz="8" w:color="CCEEFF"/>
            </w:tcBorders>
            <w:gridSpan w:val="2"/>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Company(a)</w:t>
            </w:r>
          </w:p>
        </w:tc>
        <w:tc>
          <w:tcPr>
            <w:tcW w:w="5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Amount</w:t>
            </w:r>
          </w:p>
        </w:tc>
        <w:tc>
          <w:tcPr>
            <w:tcW w:w="6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Company(a)</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Average yield(b)</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gridSpan w:val="2"/>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Volume</w:t>
            </w:r>
          </w:p>
        </w:tc>
        <w:tc>
          <w:tcPr>
            <w:tcW w:w="14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(44)</w:t>
            </w:r>
          </w:p>
        </w:tc>
        <w:tc>
          <w:tcPr>
            <w:tcW w:w="1960" w:type="dxa"/>
            <w:vAlign w:val="bottom"/>
            <w:gridSpan w:val="3"/>
          </w:tcPr>
          <w:p>
            <w:pPr>
              <w:jc w:val="right"/>
              <w:ind w:right="480"/>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5"/>
              </w:rPr>
              <w:t>(139)</w:t>
            </w: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Internal revenue growth</w:t>
            </w:r>
          </w:p>
        </w:tc>
        <w:tc>
          <w:tcPr>
            <w:tcW w:w="1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9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(199)</w:t>
            </w:r>
          </w:p>
        </w:tc>
        <w:tc>
          <w:tcPr>
            <w:tcW w:w="1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8"/>
                <w:szCs w:val="18"/>
                <w:color w:val="auto"/>
              </w:rPr>
            </w:pPr>
          </w:p>
        </w:tc>
        <w:tc>
          <w:tcPr>
            <w:tcW w:w="1680" w:type="dxa"/>
            <w:vAlign w:val="bottom"/>
            <w:gridSpan w:val="3"/>
          </w:tcPr>
          <w:p>
            <w:pPr>
              <w:jc w:val="right"/>
              <w:ind w:right="2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9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5860" w:type="dxa"/>
            <w:vAlign w:val="bottom"/>
            <w:gridSpan w:val="3"/>
            <w:vMerge w:val="restart"/>
          </w:tcPr>
          <w:p>
            <w:pPr>
              <w:ind w:left="460"/>
              <w:spacing w:after="0"/>
              <w:rPr>
                <w:sz w:val="20"/>
                <w:szCs w:val="20"/>
                <w:color w:val="auto"/>
              </w:rPr>
            </w:pPr>
            <w:r>
              <w:rPr>
                <w:rFonts w:ascii="Arial" w:cs="Arial" w:eastAsia="Arial" w:hAnsi="Arial"/>
                <w:sz w:val="18"/>
                <w:szCs w:val="18"/>
                <w:color w:val="auto"/>
              </w:rPr>
              <w:t>Subtotal (excluding Divestitures)</w:t>
            </w: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6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1960" w:type="dxa"/>
            <w:vAlign w:val="bottom"/>
            <w:gridSpan w:val="3"/>
          </w:tcPr>
          <w:p>
            <w:pPr>
              <w:jc w:val="right"/>
              <w:ind w:right="340"/>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5"/>
              </w:rPr>
              <w:t>(189)</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Divestitures</w:t>
            </w:r>
          </w:p>
        </w:tc>
        <w:tc>
          <w:tcPr>
            <w:tcW w:w="1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(193)</w:t>
            </w: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(413)</w:t>
            </w: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60" w:type="dxa"/>
            <w:vAlign w:val="bottom"/>
            <w:gridSpan w:val="3"/>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95"/>
              </w:rPr>
              <w:t>(246)</w:t>
            </w: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5"/>
              </w:rPr>
              <w:t>(602)</w:t>
            </w: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54"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Calculated by dividing the amount of current period increase or decrease by the prior period’s total Company revenue adjusted to exclude the impacts of divestitures for the current period ($3,368 million and $6,544 million for the three- and six-month periods, respectively).</w:t>
      </w:r>
    </w:p>
    <w:p>
      <w:pPr>
        <w:jc w:val="both"/>
        <w:ind w:left="460" w:hanging="452"/>
        <w:spacing w:after="0" w:line="254"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amounts reported herein represent the changes in our revenue attributable to average yield for the total Company. We also analyze the changes in average yield in terms of related-business revenues in order to differentiate the changes in yield attributable to our pricing strategies from the changes that are caused by market-driven price changes in commodities. The following table summarizes changes in revenues from average yield on a related-business basis (dollars in millions):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5"/>
          </w:tcPr>
          <w:p>
            <w:pPr>
              <w:jc w:val="center"/>
              <w:ind w:right="1020"/>
              <w:spacing w:after="0"/>
              <w:rPr>
                <w:sz w:val="20"/>
                <w:szCs w:val="20"/>
                <w:color w:val="auto"/>
              </w:rPr>
            </w:pPr>
            <w:r>
              <w:rPr>
                <w:rFonts w:ascii="Arial" w:cs="Arial" w:eastAsia="Arial" w:hAnsi="Arial"/>
                <w:sz w:val="14"/>
                <w:szCs w:val="14"/>
                <w:b w:val="1"/>
                <w:bCs w:val="1"/>
                <w:color w:val="auto"/>
                <w:w w:val="89"/>
              </w:rPr>
              <w:t>Period-to-Period</w:t>
            </w:r>
          </w:p>
        </w:tc>
        <w:tc>
          <w:tcPr>
            <w:tcW w:w="160" w:type="dxa"/>
            <w:vAlign w:val="bottom"/>
          </w:tcPr>
          <w:p>
            <w:pPr>
              <w:spacing w:after="0"/>
              <w:rPr>
                <w:sz w:val="14"/>
                <w:szCs w:val="14"/>
                <w:color w:val="auto"/>
              </w:rPr>
            </w:pPr>
          </w:p>
        </w:tc>
        <w:tc>
          <w:tcPr>
            <w:tcW w:w="19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9"/>
              </w:rPr>
              <w:t>Period-to-Period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80" w:type="dxa"/>
            <w:vAlign w:val="bottom"/>
            <w:gridSpan w:val="5"/>
          </w:tcPr>
          <w:p>
            <w:pPr>
              <w:jc w:val="center"/>
              <w:ind w:right="102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160" w:type="dxa"/>
            <w:vAlign w:val="bottom"/>
          </w:tcPr>
          <w:p>
            <w:pPr>
              <w:spacing w:after="0"/>
              <w:rPr>
                <w:sz w:val="12"/>
                <w:szCs w:val="12"/>
                <w:color w:val="auto"/>
              </w:rPr>
            </w:pPr>
          </w:p>
        </w:tc>
        <w:tc>
          <w:tcPr>
            <w:tcW w:w="192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80" w:type="dxa"/>
            <w:vAlign w:val="bottom"/>
            <w:gridSpan w:val="5"/>
          </w:tcPr>
          <w:p>
            <w:pPr>
              <w:jc w:val="center"/>
              <w:ind w:right="1020"/>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160" w:type="dxa"/>
            <w:vAlign w:val="bottom"/>
          </w:tcPr>
          <w:p>
            <w:pPr>
              <w:spacing w:after="0"/>
              <w:rPr>
                <w:sz w:val="12"/>
                <w:szCs w:val="12"/>
                <w:color w:val="auto"/>
              </w:rPr>
            </w:pPr>
          </w:p>
        </w:tc>
        <w:tc>
          <w:tcPr>
            <w:tcW w:w="192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3"/>
          </w:tcPr>
          <w:p>
            <w:pPr>
              <w:jc w:val="center"/>
              <w:ind w:right="1420"/>
              <w:spacing w:after="0" w:line="149" w:lineRule="exact"/>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80" w:type="dxa"/>
            <w:vAlign w:val="bottom"/>
            <w:gridSpan w:val="4"/>
          </w:tcPr>
          <w:p>
            <w:pPr>
              <w:jc w:val="center"/>
              <w:ind w:right="1300"/>
              <w:spacing w:after="0"/>
              <w:rPr>
                <w:sz w:val="20"/>
                <w:szCs w:val="20"/>
                <w:color w:val="auto"/>
              </w:rPr>
            </w:pPr>
            <w:r>
              <w:rPr>
                <w:rFonts w:ascii="Arial" w:cs="Arial" w:eastAsia="Arial" w:hAnsi="Arial"/>
                <w:sz w:val="14"/>
                <w:szCs w:val="14"/>
                <w:b w:val="1"/>
                <w:bCs w:val="1"/>
                <w:color w:val="auto"/>
                <w:w w:val="84"/>
              </w:rPr>
              <w:t>2015 vs. 2014</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84"/>
              </w:rPr>
              <w:t>2015 vs. 2014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8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As a % of</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Related</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Related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580" w:type="dxa"/>
            <w:vAlign w:val="bottom"/>
          </w:tcPr>
          <w:p>
            <w:pPr>
              <w:spacing w:after="0"/>
              <w:rPr>
                <w:sz w:val="14"/>
                <w:szCs w:val="14"/>
                <w:color w:val="auto"/>
              </w:rPr>
            </w:pPr>
          </w:p>
        </w:tc>
        <w:tc>
          <w:tcPr>
            <w:tcW w:w="148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2"/>
              </w:rPr>
              <w:t>Business(i)</w:t>
            </w: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58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Business(i)</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Average yield:</w:t>
            </w:r>
          </w:p>
        </w:tc>
        <w:tc>
          <w:tcPr>
            <w:tcW w:w="19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Collection and disposal</w:t>
            </w:r>
          </w:p>
        </w:tc>
        <w:tc>
          <w:tcPr>
            <w:tcW w:w="2120" w:type="dxa"/>
            <w:vAlign w:val="bottom"/>
            <w:gridSpan w:val="2"/>
          </w:tcPr>
          <w:p>
            <w:pPr>
              <w:ind w:left="194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2060" w:type="dxa"/>
            <w:vAlign w:val="bottom"/>
            <w:gridSpan w:val="3"/>
          </w:tcPr>
          <w:p>
            <w:pPr>
              <w:jc w:val="right"/>
              <w:ind w:right="70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52"/>
              <w:spacing w:after="0"/>
              <w:rPr>
                <w:sz w:val="20"/>
                <w:szCs w:val="20"/>
                <w:color w:val="auto"/>
              </w:rPr>
            </w:pPr>
            <w:r>
              <w:rPr>
                <w:rFonts w:ascii="Arial" w:cs="Arial" w:eastAsia="Arial" w:hAnsi="Arial"/>
                <w:sz w:val="18"/>
                <w:szCs w:val="18"/>
                <w:color w:val="auto"/>
                <w:w w:val="99"/>
              </w:rPr>
              <w:t>103</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Recycling commodities</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Fuel surcharges and mandated fees</w:t>
            </w: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060" w:type="dxa"/>
            <w:vAlign w:val="bottom"/>
            <w:gridSpan w:val="3"/>
          </w:tcPr>
          <w:p>
            <w:pPr>
              <w:jc w:val="right"/>
              <w:ind w:right="780"/>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940" w:type="dxa"/>
            <w:vAlign w:val="bottom"/>
            <w:vMerge w:val="restart"/>
          </w:tcPr>
          <w:p>
            <w:pPr>
              <w:jc w:val="right"/>
              <w:ind w:right="332"/>
              <w:spacing w:after="0"/>
              <w:rPr>
                <w:sz w:val="20"/>
                <w:szCs w:val="20"/>
                <w:color w:val="auto"/>
              </w:rPr>
            </w:pPr>
            <w:r>
              <w:rPr>
                <w:rFonts w:ascii="Arial" w:cs="Arial" w:eastAsia="Arial" w:hAnsi="Arial"/>
                <w:sz w:val="18"/>
                <w:szCs w:val="18"/>
                <w:color w:val="auto"/>
              </w:rPr>
              <w:t>42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42" w:name="page43"/>
    <w:bookmarkEnd w:id="42"/>
    <w:p>
      <w:pPr>
        <w:jc w:val="both"/>
        <w:ind w:left="900" w:hanging="446"/>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94361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43610" cy="8890"/>
                    </a:xfrm>
                    <a:prstGeom prst="rect">
                      <a:avLst/>
                    </a:prstGeom>
                    <a:noFill/>
                  </pic:spPr>
                </pic:pic>
              </a:graphicData>
            </a:graphic>
          </wp:anchor>
        </w:drawing>
        <w:t>Calculated by dividing the increase or decrease for the current period by the prior period’s related business revenue, adjusted to exclude the impacts of divestitures for the current period. The table below summarizes the related business revenues for the three and six months ended June 30, 2014 adjusted to exclude the impacts of divestitures (in millions):</w:t>
      </w:r>
    </w:p>
    <w:p>
      <w:pPr>
        <w:spacing w:after="0" w:line="5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w w:val="94"/>
              </w:rPr>
              <w:t>Denominator</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Three Months</w:t>
            </w:r>
          </w:p>
        </w:tc>
        <w:tc>
          <w:tcPr>
            <w:tcW w:w="74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w w:val="85"/>
              </w:rPr>
              <w:t>Six Months</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8"/>
              </w:rPr>
              <w:t>June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June 30</w:t>
            </w:r>
          </w:p>
        </w:tc>
      </w:tr>
      <w:tr>
        <w:trPr>
          <w:trHeight w:val="196"/>
        </w:trPr>
        <w:tc>
          <w:tcPr>
            <w:tcW w:w="20" w:type="dxa"/>
            <w:vAlign w:val="bottom"/>
          </w:tcPr>
          <w:p>
            <w:pPr>
              <w:spacing w:after="0"/>
              <w:rPr>
                <w:sz w:val="17"/>
                <w:szCs w:val="17"/>
                <w:color w:val="auto"/>
              </w:rPr>
            </w:pPr>
          </w:p>
        </w:tc>
        <w:tc>
          <w:tcPr>
            <w:tcW w:w="4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Related business revenues:</w:t>
            </w:r>
          </w:p>
        </w:tc>
        <w:tc>
          <w:tcPr>
            <w:tcW w:w="18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Collection and disposal</w:t>
            </w:r>
          </w:p>
        </w:tc>
        <w:tc>
          <w:tcPr>
            <w:tcW w:w="202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2,842</w:t>
            </w:r>
          </w:p>
        </w:tc>
        <w:tc>
          <w:tcPr>
            <w:tcW w:w="82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5,506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Recycling commodities</w:t>
            </w: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Fuel surcharges and mandated fees</w:t>
            </w:r>
          </w:p>
        </w:tc>
        <w:tc>
          <w:tcPr>
            <w:tcW w:w="18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Company</w:t>
            </w:r>
          </w:p>
        </w:tc>
        <w:tc>
          <w:tcPr>
            <w:tcW w:w="202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8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Our revenues decreased $246 million, or 6.9%, and $602 million, or 8.7%, for the three and six months ended June 30, 2015, respectively, as compared with the prior year period. Our current periods’ revenue declines have been driven by (i) divestitures, primarily the sale of our Wheelabrator business in December 2014, our Puerto Rico operations in the second quarter of 2014, and certain landfill and collection operations in our Eastern Canada Area in the third quarter of 2014; (ii) lower volumes; (iii) lower recyclable commodity prices; (iv) lower revenues from our fuel surcharge program and (v) foreign currency translation, which affects revenues from our Canadian operations. Partially offsetting these revenue declines were (i) revenue growth from yield on our collection and disposal operations and (ii) revenue from acquired operations.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provides further details associated with our period-to-period change in revenues.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Average yield</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 xml:space="preserve">Collection and disposal average yield </w:t>
      </w:r>
      <w:r>
        <w:rPr>
          <w:rFonts w:ascii="Arial" w:cs="Arial" w:eastAsia="Arial" w:hAnsi="Arial"/>
          <w:sz w:val="16"/>
          <w:szCs w:val="16"/>
          <w:color w:val="auto"/>
        </w:rPr>
        <w:t>— This measure reflects the effect on our revenue from the pricing activities of our collection, transfer and landfill</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exclusive of volume changes. Revenue growth from collection and disposal average yield includes not only base rate changes and environmental and service fee increases, but also (i) certain average price changes related to the overall mix of services, which are due to both the types of services provided and the geographic locations where our services are provided; (ii) changes in average price from new and lost business and (iii) price decreases to retain customers. Revenue growth from collection and disposal average yield was $49 million, or 1.7%, and $103 million, or 1.9%, for the three and six months ended June 30, 2015, respectively, as compared with the prior year period.</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experienced growth in all three of our principal collection lines of business as follows (dollars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gridSpan w:val="4"/>
          </w:tcPr>
          <w:p>
            <w:pPr>
              <w:jc w:val="center"/>
              <w:ind w:right="960"/>
              <w:spacing w:after="0"/>
              <w:rPr>
                <w:sz w:val="20"/>
                <w:szCs w:val="20"/>
                <w:color w:val="auto"/>
              </w:rPr>
            </w:pPr>
            <w:r>
              <w:rPr>
                <w:rFonts w:ascii="Arial" w:cs="Arial" w:eastAsia="Arial" w:hAnsi="Arial"/>
                <w:sz w:val="14"/>
                <w:szCs w:val="14"/>
                <w:b w:val="1"/>
                <w:bCs w:val="1"/>
                <w:color w:val="auto"/>
                <w:w w:val="89"/>
              </w:rPr>
              <w:t>Three Months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5"/>
              </w:rPr>
              <w:t>Six Months</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gridSpan w:val="3"/>
          </w:tcPr>
          <w:p>
            <w:pPr>
              <w:jc w:val="center"/>
              <w:ind w:right="1260"/>
              <w:spacing w:after="0" w:line="149" w:lineRule="exact"/>
              <w:rPr>
                <w:sz w:val="20"/>
                <w:szCs w:val="20"/>
                <w:color w:val="auto"/>
              </w:rPr>
            </w:pPr>
            <w:r>
              <w:rPr>
                <w:rFonts w:ascii="Arial" w:cs="Arial" w:eastAsia="Arial" w:hAnsi="Arial"/>
                <w:sz w:val="14"/>
                <w:szCs w:val="14"/>
                <w:b w:val="1"/>
                <w:bCs w:val="1"/>
                <w:color w:val="auto"/>
                <w:w w:val="84"/>
              </w:rPr>
              <w:t>Ended</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gridSpan w:val="3"/>
          </w:tcPr>
          <w:p>
            <w:pPr>
              <w:jc w:val="center"/>
              <w:ind w:right="1260"/>
              <w:spacing w:after="0" w:line="149" w:lineRule="exact"/>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6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50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As a %</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As a %</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75"/>
              </w:rPr>
              <w:t>of</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5"/>
              </w:rPr>
              <w:t>of</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Related</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Related</w:t>
            </w:r>
          </w:p>
        </w:tc>
        <w:tc>
          <w:tcPr>
            <w:tcW w:w="0" w:type="dxa"/>
            <w:vAlign w:val="bottom"/>
          </w:tcPr>
          <w:p>
            <w:pPr>
              <w:spacing w:after="0"/>
              <w:rPr>
                <w:sz w:val="1"/>
                <w:szCs w:val="1"/>
                <w:color w:val="auto"/>
              </w:rPr>
            </w:pPr>
          </w:p>
        </w:tc>
      </w:tr>
      <w:tr>
        <w:trPr>
          <w:trHeight w:val="161"/>
        </w:trPr>
        <w:tc>
          <w:tcPr>
            <w:tcW w:w="6000" w:type="dxa"/>
            <w:vAlign w:val="bottom"/>
          </w:tcPr>
          <w:p>
            <w:pPr>
              <w:spacing w:after="0"/>
              <w:rPr>
                <w:sz w:val="14"/>
                <w:szCs w:val="14"/>
                <w:color w:val="auto"/>
              </w:rPr>
            </w:pP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w w:val="79"/>
              </w:rPr>
              <w:t>Amount</w:t>
            </w:r>
          </w:p>
        </w:tc>
        <w:tc>
          <w:tcPr>
            <w:tcW w:w="7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0"/>
              </w:rPr>
              <w:t>Business</w:t>
            </w:r>
          </w:p>
        </w:tc>
        <w:tc>
          <w:tcPr>
            <w:tcW w:w="78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3"/>
              </w:rPr>
              <w:t>Amount</w:t>
            </w:r>
          </w:p>
        </w:tc>
        <w:tc>
          <w:tcPr>
            <w:tcW w:w="78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0"/>
              </w:rPr>
              <w:t>Business</w:t>
            </w:r>
          </w:p>
        </w:tc>
        <w:tc>
          <w:tcPr>
            <w:tcW w:w="0" w:type="dxa"/>
            <w:vAlign w:val="bottom"/>
          </w:tcPr>
          <w:p>
            <w:pPr>
              <w:spacing w:after="0"/>
              <w:rPr>
                <w:sz w:val="1"/>
                <w:szCs w:val="1"/>
                <w:color w:val="auto"/>
              </w:rPr>
            </w:pPr>
          </w:p>
        </w:tc>
      </w:tr>
      <w:tr>
        <w:trPr>
          <w:trHeight w:val="20"/>
        </w:trPr>
        <w:tc>
          <w:tcPr>
            <w:tcW w:w="60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Commercial</w:t>
            </w: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tcBorders>
              <w:left w:val="single" w:sz="8" w:color="CCEEFF"/>
            </w:tcBorders>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tcBorders>
              <w:left w:val="single" w:sz="8" w:color="CCEEFF"/>
            </w:tcBorders>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780" w:type="dxa"/>
            <w:vAlign w:val="bottom"/>
            <w:tcBorders>
              <w:left w:val="single" w:sz="8" w:color="CCEEFF"/>
            </w:tcBorders>
            <w:vMerge w:val="continue"/>
            <w:shd w:val="clear" w:color="auto" w:fill="CCEEFF"/>
          </w:tcPr>
          <w:p>
            <w:pPr>
              <w:spacing w:after="0"/>
              <w:rPr>
                <w:sz w:val="18"/>
                <w:szCs w:val="18"/>
                <w:color w:val="auto"/>
              </w:rPr>
            </w:pPr>
          </w:p>
        </w:tc>
        <w:tc>
          <w:tcPr>
            <w:tcW w:w="12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120"/>
              <w:spacing w:after="0"/>
              <w:rPr>
                <w:sz w:val="20"/>
                <w:szCs w:val="20"/>
                <w:color w:val="auto"/>
              </w:rPr>
            </w:pPr>
            <w:r>
              <w:rPr>
                <w:rFonts w:ascii="Arial" w:cs="Arial" w:eastAsia="Arial" w:hAnsi="Arial"/>
                <w:sz w:val="15"/>
                <w:szCs w:val="15"/>
                <w:color w:val="auto"/>
                <w:w w:val="71"/>
              </w:rPr>
              <w:t>49</w:t>
            </w:r>
          </w:p>
        </w:tc>
        <w:tc>
          <w:tcPr>
            <w:tcW w:w="780" w:type="dxa"/>
            <w:vAlign w:val="bottom"/>
            <w:tcBorders>
              <w:left w:val="single" w:sz="8" w:color="CCEEFF"/>
            </w:tcBorders>
            <w:vMerge w:val="continue"/>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7"/>
              </w:rPr>
              <w:t>3.2%</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Industrial</w:t>
            </w: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1280" w:type="dxa"/>
            <w:vAlign w:val="bottom"/>
            <w:gridSpan w:val="2"/>
          </w:tcPr>
          <w:p>
            <w:pPr>
              <w:ind w:left="1060"/>
              <w:spacing w:after="0"/>
              <w:rPr>
                <w:sz w:val="20"/>
                <w:szCs w:val="20"/>
                <w:color w:val="auto"/>
              </w:rPr>
            </w:pPr>
            <w:r>
              <w:rPr>
                <w:rFonts w:ascii="Arial" w:cs="Arial" w:eastAsia="Arial" w:hAnsi="Arial"/>
                <w:sz w:val="18"/>
                <w:szCs w:val="18"/>
                <w:color w:val="auto"/>
                <w:w w:val="79"/>
              </w:rPr>
              <w:t>2.6</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ind w:left="120"/>
              <w:spacing w:after="0"/>
              <w:rPr>
                <w:sz w:val="20"/>
                <w:szCs w:val="20"/>
                <w:color w:val="auto"/>
              </w:rPr>
            </w:pPr>
            <w:r>
              <w:rPr>
                <w:rFonts w:ascii="Arial" w:cs="Arial" w:eastAsia="Arial" w:hAnsi="Arial"/>
                <w:sz w:val="15"/>
                <w:szCs w:val="15"/>
                <w:color w:val="auto"/>
                <w:w w:val="71"/>
              </w:rPr>
              <w:t>27</w:t>
            </w:r>
          </w:p>
        </w:tc>
        <w:tc>
          <w:tcPr>
            <w:tcW w:w="1280" w:type="dxa"/>
            <w:vAlign w:val="bottom"/>
            <w:gridSpan w:val="2"/>
          </w:tcPr>
          <w:p>
            <w:pPr>
              <w:ind w:left="1060"/>
              <w:spacing w:after="0"/>
              <w:rPr>
                <w:sz w:val="20"/>
                <w:szCs w:val="20"/>
                <w:color w:val="auto"/>
              </w:rPr>
            </w:pPr>
            <w:r>
              <w:rPr>
                <w:rFonts w:ascii="Arial" w:cs="Arial" w:eastAsia="Arial" w:hAnsi="Arial"/>
                <w:sz w:val="18"/>
                <w:szCs w:val="18"/>
                <w:color w:val="auto"/>
                <w:w w:val="79"/>
              </w:rPr>
              <w:t>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80" w:type="dxa"/>
            <w:vAlign w:val="bottom"/>
            <w:tcBorders>
              <w:left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w w:val="79"/>
              </w:rPr>
              <w:t>1.6</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ind w:left="120"/>
              <w:spacing w:after="0"/>
              <w:rPr>
                <w:sz w:val="20"/>
                <w:szCs w:val="20"/>
                <w:color w:val="auto"/>
              </w:rPr>
            </w:pPr>
            <w:r>
              <w:rPr>
                <w:rFonts w:ascii="Arial" w:cs="Arial" w:eastAsia="Arial" w:hAnsi="Arial"/>
                <w:sz w:val="15"/>
                <w:szCs w:val="15"/>
                <w:color w:val="auto"/>
                <w:w w:val="71"/>
              </w:rPr>
              <w:t>19</w:t>
            </w:r>
          </w:p>
        </w:tc>
        <w:tc>
          <w:tcPr>
            <w:tcW w:w="1280" w:type="dxa"/>
            <w:vAlign w:val="bottom"/>
            <w:tcBorders>
              <w:left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w w:val="79"/>
              </w:rPr>
              <w:t>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ind w:left="120"/>
              <w:spacing w:after="0"/>
              <w:rPr>
                <w:sz w:val="20"/>
                <w:szCs w:val="20"/>
                <w:color w:val="auto"/>
              </w:rPr>
            </w:pPr>
            <w:r>
              <w:rPr>
                <w:rFonts w:ascii="Arial" w:cs="Arial" w:eastAsia="Arial" w:hAnsi="Arial"/>
                <w:sz w:val="15"/>
                <w:szCs w:val="15"/>
                <w:color w:val="auto"/>
                <w:w w:val="71"/>
              </w:rPr>
              <w:t>95</w:t>
            </w: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year-over-year yield growth was driven largely by our pricing strategy that focuses on price increases with lower rollbacks. Conversely, our revenue growth due to volume has been negatively affected by our pricing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28" w:right="239" w:bottom="1440" w:gutter="0" w:footer="0" w:header="0"/>
        </w:sectPr>
      </w:pPr>
    </w:p>
    <w:bookmarkStart w:id="43" w:name="page44"/>
    <w:bookmarkEnd w:id="43"/>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strategy. However, we have seen volume declines in the collection line of business lessen in recent quarters, particularly in the commercial and industrial businesses. Other drivers affecting the current period average yield include:</w:t>
      </w:r>
    </w:p>
    <w:p>
      <w:pPr>
        <w:spacing w:after="0" w:line="51" w:lineRule="exact"/>
        <w:rPr>
          <w:sz w:val="20"/>
          <w:szCs w:val="20"/>
          <w:color w:val="auto"/>
        </w:rPr>
      </w:pPr>
    </w:p>
    <w:p>
      <w:pPr>
        <w:jc w:val="both"/>
        <w:ind w:left="660" w:hanging="206"/>
        <w:spacing w:after="0" w:line="306"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fee instituted to help us recover a portion of the significant regulatory costs and fees, such as host fees and disposal taxes, which have not been recouped by our pricing programs. This fee contributed approximately $6 million and $17 million to our revenue growth for the three and six months ended June 30, 2015, respectively; principally in our collection business, with the most significant impact in our commercial line of business.</w:t>
      </w:r>
    </w:p>
    <w:p>
      <w:pPr>
        <w:spacing w:after="0" w:line="25" w:lineRule="exact"/>
        <w:rPr>
          <w:rFonts w:ascii="Arial" w:cs="Arial" w:eastAsia="Arial" w:hAnsi="Arial"/>
          <w:sz w:val="16"/>
          <w:szCs w:val="16"/>
          <w:color w:val="auto"/>
        </w:rPr>
      </w:pPr>
    </w:p>
    <w:p>
      <w:pPr>
        <w:ind w:left="660" w:hanging="206"/>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our residential line of business, we continue to focus on bidding on contracts that improve our yield performance and increase our overall returns.</w:t>
      </w:r>
    </w:p>
    <w:p>
      <w:pPr>
        <w:spacing w:after="0" w:line="113" w:lineRule="exact"/>
        <w:rPr>
          <w:rFonts w:ascii="Arial" w:cs="Arial" w:eastAsia="Arial" w:hAnsi="Arial"/>
          <w:sz w:val="16"/>
          <w:szCs w:val="16"/>
          <w:color w:val="auto"/>
        </w:rPr>
      </w:pPr>
    </w:p>
    <w:p>
      <w:pPr>
        <w:ind w:left="660" w:hanging="206"/>
        <w:spacing w:after="0" w:line="268"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landfill and transfer station operations also contributed approximately $4 million and $8 million to our year-over-year yield growth for the three and six months ended June 30, 2015, respectively.</w:t>
      </w:r>
    </w:p>
    <w:p>
      <w:pPr>
        <w:spacing w:after="0" w:line="5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Recycling commodities </w:t>
      </w:r>
      <w:r>
        <w:rPr>
          <w:rFonts w:ascii="Arial" w:cs="Arial" w:eastAsia="Arial" w:hAnsi="Arial"/>
          <w:sz w:val="16"/>
          <w:szCs w:val="16"/>
          <w:color w:val="auto"/>
        </w:rPr>
        <w:t>— Decreases in the prices of the recycling commodities we sell resulted in revenue declines of $40 million and $82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and six months ended June 30, 2015, respectively, compared with the same prior year period. Our year-over-year average commodity prices declined approximately 13.0% and 13.5% for the three and six months ended June 30, 2015, respectively, as compared with the same prior year period.</w:t>
      </w:r>
    </w:p>
    <w:p>
      <w:pPr>
        <w:spacing w:after="0" w:line="2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Fuel surcharges and mandated fees — </w:t>
      </w:r>
      <w:r>
        <w:rPr>
          <w:rFonts w:ascii="Arial" w:cs="Arial" w:eastAsia="Arial" w:hAnsi="Arial"/>
          <w:sz w:val="16"/>
          <w:szCs w:val="16"/>
          <w:color w:val="auto"/>
        </w:rPr>
        <w:t>These revenues, which are predominantly generated by our fuel surcharge program, decreased $45 and $81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three and six months ended June 30, 2015, respectively. These revenues fluctuate in response to changes in the national average prices for diesel fuel on which our surcharge is based. We experienced fuel price declines of approximately 27% for both the three and six months ended June 30, 2015, as compared with the prior year period, which caused a decline in our fuel surcharge revenues. The mandated fees included in this line item are primarily related to pass-through fees and taxes assessed by various state, county and municipal government agencies at our landfills and transfer stations.</w:t>
      </w:r>
    </w:p>
    <w:p>
      <w:pPr>
        <w:spacing w:after="0" w:line="3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Volume </w:t>
      </w:r>
      <w:r>
        <w:rPr>
          <w:rFonts w:ascii="Arial" w:cs="Arial" w:eastAsia="Arial" w:hAnsi="Arial"/>
          <w:sz w:val="18"/>
          <w:szCs w:val="18"/>
          <w:color w:val="auto"/>
        </w:rPr>
        <w:t>— Declines in our volumes caused our revenue to decrease $44 million, or 1.3%, and $139 million, or 2.1%, for the three and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2015, as compared with the prior year period.</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Drivers affecting the comparability of volumes for the periods presented are as follows:</w:t>
      </w:r>
    </w:p>
    <w:p>
      <w:pPr>
        <w:spacing w:after="0" w:line="90" w:lineRule="exact"/>
        <w:rPr>
          <w:sz w:val="20"/>
          <w:szCs w:val="20"/>
          <w:color w:val="auto"/>
        </w:rPr>
      </w:pPr>
    </w:p>
    <w:p>
      <w:pPr>
        <w:jc w:val="both"/>
        <w:ind w:left="660" w:hanging="206"/>
        <w:spacing w:after="0" w:line="25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collection business is the main driver of our volume decline. Our volume fluctuations are generally attributable to economic conditions, pricing changes, competition and diversion of waste by customers. Our revenue growth due to volume has been negatively affected by our pricing strategy. As a result of both the very competitive environment and our focus on reasonable returns, we continue to face challenges to keep existing contracts and to win new contracts, particularly in our residential business. However, in the current quarter our industrial line of business overcame these challenges to avoid any volume loss. Overall, although we continue to experience volume decline in our collection business, sequentially, the year-over-year volume declines are lessening.</w:t>
      </w:r>
    </w:p>
    <w:p>
      <w:pPr>
        <w:spacing w:after="0" w:line="63"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experienced revenue declines associated with the loss of certain large accounts in our WMSBS organization. However, the volume decline has lessened in the second quarter of 2015, as the impact of the loss of a large account lapsed.</w:t>
      </w:r>
    </w:p>
    <w:p>
      <w:pPr>
        <w:spacing w:after="0" w:line="50" w:lineRule="exact"/>
        <w:rPr>
          <w:rFonts w:ascii="Arial" w:cs="Arial" w:eastAsia="Arial" w:hAnsi="Arial"/>
          <w:sz w:val="18"/>
          <w:szCs w:val="18"/>
          <w:color w:val="auto"/>
        </w:rPr>
      </w:pPr>
    </w:p>
    <w:p>
      <w:pPr>
        <w:ind w:left="660" w:right="20" w:hanging="206"/>
        <w:spacing w:after="0" w:line="332"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experienced revenue declines due to lower volumes in our material recovery facilities primarily driven by the rationalization of our underperforming assets and our inability to successfully negotiate contract renewals with certain municipal customers that reflect current market conditions.</w:t>
      </w:r>
    </w:p>
    <w:p>
      <w:pPr>
        <w:spacing w:after="0" w:line="4" w:lineRule="exact"/>
        <w:rPr>
          <w:rFonts w:ascii="Arial" w:cs="Arial" w:eastAsia="Arial" w:hAnsi="Arial"/>
          <w:sz w:val="16"/>
          <w:szCs w:val="16"/>
          <w:color w:val="auto"/>
        </w:rPr>
      </w:pPr>
    </w:p>
    <w:p>
      <w:pPr>
        <w:jc w:val="both"/>
        <w:ind w:left="660" w:hanging="206"/>
        <w:spacing w:after="0" w:line="25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experienced revenue declines due to lower volumes in our ancillary services for the six months ended June 30, 2015, primarily driven by our oil and gas producing properties; whereas, for the three months ended June 30, 2015, our ancillary services revenue change due to volumes was slightly positive.</w:t>
      </w:r>
    </w:p>
    <w:p>
      <w:pPr>
        <w:spacing w:after="0" w:line="59"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experienced higher landfill volumes primarily driven by our municipal solid waste business. In addition, higher transfer station volumes helped offset our total volume decline for the three and six months ended June 30, 2015.</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44" w:name="page45"/>
    <w:bookmarkEnd w:id="44"/>
    <w:p>
      <w:pPr>
        <w:jc w:val="both"/>
        <w:ind w:firstLine="456"/>
        <w:spacing w:after="0" w:line="254"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Acquisitions and Divestitures </w:t>
      </w:r>
      <w:r>
        <w:rPr>
          <w:rFonts w:ascii="Arial" w:cs="Arial" w:eastAsia="Arial" w:hAnsi="Arial"/>
          <w:sz w:val="18"/>
          <w:szCs w:val="18"/>
          <w:color w:val="auto"/>
        </w:rPr>
        <w:t>— Revenues increased $54 million and $62 million for the three and six months ended June 30, 2015, respectively,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the prior year period due to acquisitions. This increase was principally associated with the Deffenbaugh acquisition on March 26, 2015. These revenues were more than offset by revenue decreases of $193 million and $413 million for the three and six months ended June 30, 2015, respectively, primarily due to (i) the divestiture of our Wheelabrator business in December 2014; (ii) the divestiture of our Puerto Rico operations and certain other collection and landfill assets in the second quarter of 2014 and (iii) the divestiture of certain landfill and collection operations in our Eastern Canada Area in the third quarter of 2014.</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operating expenses decreased by $138 million, or 6.0%, and $424 million, or 9.4%, for the three and six months ended June 30, 2015, respectively, as compared with the three and six months ended June 30, 2014. Our operating expenses as a percentage of revenues increased to 65.2% in the second quarter of 2015 from 64.6% in the second quarter of 2014, and decreased to 64.7% for the six months ended June 30, 2015 from 65.2% for the six months ended June 30, 2014.</w:t>
      </w:r>
    </w:p>
    <w:p>
      <w:pPr>
        <w:spacing w:after="0" w:line="62"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following table summarizes the major components of our operating expenses, including the impact of foreign currency translation, for the three and six months ended June 30 (dollars in millions), with significant changes in our operating expenses discussed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Six Months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9"/>
        </w:trPr>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Ended</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Period-to-</w:t>
            </w:r>
          </w:p>
        </w:tc>
        <w:tc>
          <w:tcPr>
            <w:tcW w:w="140" w:type="dxa"/>
            <w:vAlign w:val="bottom"/>
          </w:tcPr>
          <w:p>
            <w:pPr>
              <w:spacing w:after="0"/>
              <w:rPr>
                <w:sz w:val="12"/>
                <w:szCs w:val="12"/>
                <w:color w:val="auto"/>
              </w:rPr>
            </w:pP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Period-to-</w:t>
            </w:r>
          </w:p>
        </w:tc>
      </w:tr>
      <w:tr>
        <w:trPr>
          <w:trHeight w:val="161"/>
        </w:trPr>
        <w:tc>
          <w:tcPr>
            <w:tcW w:w="5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left="177"/>
              <w:spacing w:after="0"/>
              <w:rPr>
                <w:sz w:val="20"/>
                <w:szCs w:val="20"/>
                <w:color w:val="auto"/>
              </w:rPr>
            </w:pPr>
            <w:r>
              <w:rPr>
                <w:rFonts w:ascii="Arial" w:cs="Arial" w:eastAsia="Arial" w:hAnsi="Arial"/>
                <w:sz w:val="14"/>
                <w:szCs w:val="14"/>
                <w:b w:val="1"/>
                <w:bCs w:val="1"/>
                <w:color w:val="auto"/>
                <w:w w:val="87"/>
              </w:rPr>
              <w:t>Period</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7"/>
              </w:rPr>
              <w:t>Period</w:t>
            </w:r>
          </w:p>
        </w:tc>
      </w:tr>
      <w:tr>
        <w:trPr>
          <w:trHeight w:val="142"/>
        </w:trPr>
        <w:tc>
          <w:tcPr>
            <w:tcW w:w="5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w w:val="89"/>
              </w:rPr>
              <w:t>2015</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2014</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center"/>
              <w:ind w:left="197"/>
              <w:spacing w:after="0" w:line="142" w:lineRule="exact"/>
              <w:rPr>
                <w:sz w:val="20"/>
                <w:szCs w:val="20"/>
                <w:color w:val="auto"/>
              </w:rPr>
            </w:pPr>
            <w:r>
              <w:rPr>
                <w:rFonts w:ascii="Arial" w:cs="Arial" w:eastAsia="Arial" w:hAnsi="Arial"/>
                <w:sz w:val="14"/>
                <w:szCs w:val="14"/>
                <w:b w:val="1"/>
                <w:bCs w:val="1"/>
                <w:color w:val="auto"/>
                <w:w w:val="85"/>
              </w:rPr>
              <w:t>Change</w:t>
            </w:r>
          </w:p>
        </w:tc>
        <w:tc>
          <w:tcPr>
            <w:tcW w:w="36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260" w:type="dxa"/>
            <w:vAlign w:val="bottom"/>
            <w:tcBorders>
              <w:bottom w:val="single" w:sz="8" w:color="CCEEFF"/>
            </w:tcBorders>
          </w:tcPr>
          <w:p>
            <w:pPr>
              <w:spacing w:after="0"/>
              <w:rPr>
                <w:sz w:val="12"/>
                <w:szCs w:val="12"/>
                <w:color w:val="auto"/>
              </w:rPr>
            </w:pPr>
          </w:p>
        </w:tc>
      </w:tr>
      <w:tr>
        <w:trPr>
          <w:trHeight w:val="210"/>
        </w:trPr>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 and related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$1,204</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Transfer and disposal costs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459</w:t>
            </w:r>
          </w:p>
        </w:tc>
        <w:tc>
          <w:tcPr>
            <w:tcW w:w="500" w:type="dxa"/>
            <w:vAlign w:val="bottom"/>
          </w:tcPr>
          <w:p>
            <w:pPr>
              <w:jc w:val="right"/>
              <w:spacing w:after="0"/>
              <w:rPr>
                <w:sz w:val="20"/>
                <w:szCs w:val="20"/>
                <w:color w:val="auto"/>
              </w:rPr>
            </w:pPr>
            <w:r>
              <w:rPr>
                <w:rFonts w:ascii="Arial" w:cs="Arial" w:eastAsia="Arial" w:hAnsi="Arial"/>
                <w:sz w:val="18"/>
                <w:szCs w:val="18"/>
                <w:color w:val="auto"/>
              </w:rPr>
              <w:t>462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Maintenance and repairs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(15.7)</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499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(110)</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Subcontractor costs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(26)</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(8.4)</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547</w:t>
            </w:r>
          </w:p>
        </w:tc>
        <w:tc>
          <w:tcPr>
            <w:tcW w:w="500" w:type="dxa"/>
            <w:vAlign w:val="bottom"/>
          </w:tcPr>
          <w:p>
            <w:pPr>
              <w:jc w:val="right"/>
              <w:spacing w:after="0"/>
              <w:rPr>
                <w:sz w:val="20"/>
                <w:szCs w:val="20"/>
                <w:color w:val="auto"/>
              </w:rPr>
            </w:pPr>
            <w:r>
              <w:rPr>
                <w:rFonts w:ascii="Arial" w:cs="Arial" w:eastAsia="Arial" w:hAnsi="Arial"/>
                <w:sz w:val="18"/>
                <w:szCs w:val="18"/>
                <w:color w:val="auto"/>
              </w:rPr>
              <w:t>611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(10.5)</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(18.3)</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391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Fuel</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(47)</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(30.9)</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202</w:t>
            </w:r>
          </w:p>
        </w:tc>
        <w:tc>
          <w:tcPr>
            <w:tcW w:w="500" w:type="dxa"/>
            <w:vAlign w:val="bottom"/>
          </w:tcPr>
          <w:p>
            <w:pPr>
              <w:jc w:val="right"/>
              <w:spacing w:after="0"/>
              <w:rPr>
                <w:sz w:val="20"/>
                <w:szCs w:val="20"/>
                <w:color w:val="auto"/>
              </w:rPr>
            </w:pPr>
            <w:r>
              <w:rPr>
                <w:rFonts w:ascii="Arial" w:cs="Arial" w:eastAsia="Arial" w:hAnsi="Arial"/>
                <w:sz w:val="18"/>
                <w:szCs w:val="18"/>
                <w:color w:val="auto"/>
              </w:rPr>
              <w:t>302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(100)</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(33.1)</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Disposal and franchise fees and taxes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322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Landfill operating costs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3.1</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128</w:t>
            </w:r>
          </w:p>
        </w:tc>
        <w:tc>
          <w:tcPr>
            <w:tcW w:w="500" w:type="dxa"/>
            <w:vAlign w:val="bottom"/>
          </w:tcPr>
          <w:p>
            <w:pPr>
              <w:jc w:val="right"/>
              <w:spacing w:after="0"/>
              <w:rPr>
                <w:sz w:val="20"/>
                <w:szCs w:val="20"/>
                <w:color w:val="auto"/>
              </w:rPr>
            </w:pPr>
            <w:r>
              <w:rPr>
                <w:rFonts w:ascii="Arial" w:cs="Arial" w:eastAsia="Arial" w:hAnsi="Arial"/>
                <w:sz w:val="18"/>
                <w:szCs w:val="18"/>
                <w:color w:val="auto"/>
              </w:rPr>
              <w:t>125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Risk management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6"/>
              </w:rPr>
              <w:t>20.4</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239</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(9.1)</w:t>
            </w:r>
          </w:p>
        </w:tc>
      </w:tr>
      <w:tr>
        <w:trPr>
          <w:trHeight w:val="27"/>
        </w:trPr>
        <w:tc>
          <w:tcPr>
            <w:tcW w:w="5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5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2,163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2,301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(138)</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4,109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4,533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(424)</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r>
      <w:tr>
        <w:trPr>
          <w:trHeight w:val="20"/>
        </w:trPr>
        <w:tc>
          <w:tcPr>
            <w:tcW w:w="5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Divestitures </w:t>
      </w:r>
      <w:r>
        <w:rPr>
          <w:rFonts w:ascii="Arial" w:cs="Arial" w:eastAsia="Arial" w:hAnsi="Arial"/>
          <w:sz w:val="18"/>
          <w:szCs w:val="18"/>
          <w:color w:val="auto"/>
        </w:rPr>
        <w:t>— During 2014, we divested our Wheelabrator business, our Puerto Rico operations, and certain landfill and collection operations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Eastern Canada Area. Although these divestitures decreased costs in all operating expense categories, the most material reductions are presented in the table below for the three and six months ended June 30 (in millions):</w:t>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Maintenance and repairs</w:t>
      </w:r>
    </w:p>
    <w:p>
      <w:pPr>
        <w:spacing w:after="0" w:line="46"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Labor and related benefits</w:t>
      </w:r>
    </w:p>
    <w:p>
      <w:pPr>
        <w:spacing w:after="0" w:line="5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Costs of goods sold</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Other</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Transfer and disposal cost</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auto"/>
        </w:rPr>
        <w:t>Period-to-Period</w:t>
      </w:r>
    </w:p>
    <w:p>
      <w:pPr>
        <w:spacing w:after="0" w:line="38" w:lineRule="exact"/>
        <w:rPr>
          <w:sz w:val="20"/>
          <w:szCs w:val="20"/>
          <w:color w:val="auto"/>
        </w:rPr>
      </w:pPr>
    </w:p>
    <w:p>
      <w:pPr>
        <w:jc w:val="center"/>
        <w:ind w:right="559"/>
        <w:spacing w:after="0"/>
        <w:rPr>
          <w:sz w:val="20"/>
          <w:szCs w:val="20"/>
          <w:color w:val="auto"/>
        </w:rPr>
      </w:pPr>
      <w:r>
        <w:rPr>
          <w:rFonts w:ascii="Arial" w:cs="Arial" w:eastAsia="Arial" w:hAnsi="Arial"/>
          <w:sz w:val="14"/>
          <w:szCs w:val="14"/>
          <w:b w:val="1"/>
          <w:bCs w:val="1"/>
          <w:color w:val="auto"/>
        </w:rPr>
        <w:t>Change for the</w:t>
      </w:r>
    </w:p>
    <w:p>
      <w:pPr>
        <w:jc w:val="center"/>
        <w:ind w:right="559"/>
        <w:spacing w:after="0" w:line="223" w:lineRule="auto"/>
        <w:rPr>
          <w:sz w:val="20"/>
          <w:szCs w:val="20"/>
          <w:color w:val="auto"/>
        </w:rPr>
      </w:pPr>
      <w:r>
        <w:rPr>
          <w:rFonts w:ascii="Arial" w:cs="Arial" w:eastAsia="Arial" w:hAnsi="Arial"/>
          <w:sz w:val="14"/>
          <w:szCs w:val="14"/>
          <w:b w:val="1"/>
          <w:bCs w:val="1"/>
          <w:color w:val="auto"/>
        </w:rPr>
        <w:t>Three Months</w:t>
      </w:r>
    </w:p>
    <w:p>
      <w:pPr>
        <w:jc w:val="center"/>
        <w:ind w:right="559"/>
        <w:spacing w:after="0" w:line="222" w:lineRule="auto"/>
        <w:rPr>
          <w:sz w:val="20"/>
          <w:szCs w:val="20"/>
          <w:color w:val="auto"/>
        </w:rPr>
      </w:pPr>
      <w:r>
        <w:rPr>
          <w:rFonts w:ascii="Arial" w:cs="Arial" w:eastAsia="Arial" w:hAnsi="Arial"/>
          <w:sz w:val="14"/>
          <w:szCs w:val="14"/>
          <w:b w:val="1"/>
          <w:bCs w:val="1"/>
          <w:color w:val="auto"/>
        </w:rPr>
        <w:t>Ended</w:t>
      </w:r>
    </w:p>
    <w:p>
      <w:pPr>
        <w:jc w:val="center"/>
        <w:ind w:right="559"/>
        <w:spacing w:after="0" w:line="221" w:lineRule="auto"/>
        <w:rPr>
          <w:sz w:val="20"/>
          <w:szCs w:val="20"/>
          <w:color w:val="auto"/>
        </w:rPr>
      </w:pPr>
      <w:r>
        <w:rPr>
          <w:rFonts w:ascii="Arial" w:cs="Arial" w:eastAsia="Arial" w:hAnsi="Arial"/>
          <w:sz w:val="14"/>
          <w:szCs w:val="14"/>
          <w:b w:val="1"/>
          <w:bCs w:val="1"/>
          <w:color w:val="auto"/>
        </w:rPr>
        <w:t>June 30,</w:t>
      </w:r>
    </w:p>
    <w:p>
      <w:pPr>
        <w:jc w:val="center"/>
        <w:ind w:right="559"/>
        <w:spacing w:after="0"/>
        <w:rPr>
          <w:sz w:val="20"/>
          <w:szCs w:val="20"/>
          <w:color w:val="auto"/>
        </w:rPr>
      </w:pPr>
      <w:r>
        <w:rPr>
          <w:rFonts w:ascii="Arial" w:cs="Arial" w:eastAsia="Arial" w:hAnsi="Arial"/>
          <w:sz w:val="14"/>
          <w:szCs w:val="14"/>
          <w:b w:val="1"/>
          <w:bCs w:val="1"/>
          <w:color w:val="auto"/>
        </w:rPr>
        <w:t>2015 vs.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-7620</wp:posOffset>
            </wp:positionV>
            <wp:extent cx="550545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ind w:left="841" w:hanging="841"/>
        <w:spacing w:after="0"/>
        <w:tabs>
          <w:tab w:leader="none" w:pos="841" w:val="left"/>
        </w:tabs>
        <w:numPr>
          <w:ilvl w:val="0"/>
          <w:numId w:val="35"/>
        </w:numPr>
        <w:rPr>
          <w:rFonts w:ascii="Arial" w:cs="Arial" w:eastAsia="Arial" w:hAnsi="Arial"/>
          <w:sz w:val="16"/>
          <w:szCs w:val="16"/>
          <w:color w:val="auto"/>
        </w:rPr>
      </w:pPr>
      <w:r>
        <w:rPr>
          <w:rFonts w:ascii="Arial" w:cs="Arial" w:eastAsia="Arial" w:hAnsi="Arial"/>
          <w:sz w:val="16"/>
          <w:szCs w:val="16"/>
          <w:color w:val="auto"/>
        </w:rPr>
        <w:t>50</w:t>
      </w:r>
    </w:p>
    <w:p>
      <w:pPr>
        <w:spacing w:after="0" w:line="30" w:lineRule="exact"/>
        <w:rPr>
          <w:rFonts w:ascii="Arial" w:cs="Arial" w:eastAsia="Arial" w:hAnsi="Arial"/>
          <w:sz w:val="16"/>
          <w:szCs w:val="16"/>
          <w:color w:val="auto"/>
        </w:rPr>
      </w:pPr>
    </w:p>
    <w:p>
      <w:pPr>
        <w:ind w:left="841"/>
        <w:spacing w:after="0"/>
        <w:rPr>
          <w:rFonts w:ascii="Arial" w:cs="Arial" w:eastAsia="Arial" w:hAnsi="Arial"/>
          <w:sz w:val="16"/>
          <w:szCs w:val="16"/>
          <w:color w:val="auto"/>
        </w:rPr>
      </w:pPr>
      <w:r>
        <w:rPr>
          <w:rFonts w:ascii="Arial" w:cs="Arial" w:eastAsia="Arial" w:hAnsi="Arial"/>
          <w:sz w:val="16"/>
          <w:szCs w:val="16"/>
          <w:color w:val="auto"/>
        </w:rPr>
        <w:t>24</w:t>
      </w:r>
    </w:p>
    <w:p>
      <w:pPr>
        <w:spacing w:after="0" w:line="32" w:lineRule="exact"/>
        <w:rPr>
          <w:rFonts w:ascii="Arial" w:cs="Arial" w:eastAsia="Arial" w:hAnsi="Arial"/>
          <w:sz w:val="16"/>
          <w:szCs w:val="16"/>
          <w:color w:val="auto"/>
        </w:rPr>
      </w:pPr>
    </w:p>
    <w:p>
      <w:pPr>
        <w:ind w:left="841"/>
        <w:spacing w:after="0"/>
        <w:rPr>
          <w:rFonts w:ascii="Arial" w:cs="Arial" w:eastAsia="Arial" w:hAnsi="Arial"/>
          <w:sz w:val="16"/>
          <w:szCs w:val="16"/>
          <w:color w:val="auto"/>
        </w:rPr>
      </w:pPr>
      <w:r>
        <w:rPr>
          <w:rFonts w:ascii="Arial" w:cs="Arial" w:eastAsia="Arial" w:hAnsi="Arial"/>
          <w:sz w:val="16"/>
          <w:szCs w:val="16"/>
          <w:color w:val="auto"/>
        </w:rPr>
        <w:t>23</w:t>
      </w:r>
    </w:p>
    <w:p>
      <w:pPr>
        <w:spacing w:after="0" w:line="32" w:lineRule="exact"/>
        <w:rPr>
          <w:rFonts w:ascii="Arial" w:cs="Arial" w:eastAsia="Arial" w:hAnsi="Arial"/>
          <w:sz w:val="16"/>
          <w:szCs w:val="16"/>
          <w:color w:val="auto"/>
        </w:rPr>
      </w:pPr>
    </w:p>
    <w:p>
      <w:pPr>
        <w:ind w:left="841"/>
        <w:spacing w:after="0"/>
        <w:rPr>
          <w:rFonts w:ascii="Arial" w:cs="Arial" w:eastAsia="Arial" w:hAnsi="Arial"/>
          <w:sz w:val="16"/>
          <w:szCs w:val="16"/>
          <w:color w:val="auto"/>
        </w:rPr>
      </w:pPr>
      <w:r>
        <w:rPr>
          <w:rFonts w:ascii="Arial" w:cs="Arial" w:eastAsia="Arial" w:hAnsi="Arial"/>
          <w:sz w:val="16"/>
          <w:szCs w:val="16"/>
          <w:color w:val="auto"/>
        </w:rPr>
        <w:t>15</w:t>
      </w:r>
    </w:p>
    <w:p>
      <w:pPr>
        <w:spacing w:after="0" w:line="32" w:lineRule="exact"/>
        <w:rPr>
          <w:rFonts w:ascii="Arial" w:cs="Arial" w:eastAsia="Arial" w:hAnsi="Arial"/>
          <w:sz w:val="16"/>
          <w:szCs w:val="16"/>
          <w:color w:val="auto"/>
        </w:rPr>
      </w:pPr>
    </w:p>
    <w:p>
      <w:pPr>
        <w:ind w:left="841"/>
        <w:spacing w:after="0"/>
        <w:rPr>
          <w:rFonts w:ascii="Arial" w:cs="Arial" w:eastAsia="Arial" w:hAnsi="Arial"/>
          <w:sz w:val="16"/>
          <w:szCs w:val="16"/>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-389255</wp:posOffset>
            </wp:positionV>
            <wp:extent cx="550545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05450" cy="13716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-114935</wp:posOffset>
            </wp:positionV>
            <wp:extent cx="550545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spacing w:after="0" w:line="33" w:lineRule="exact"/>
        <w:rPr>
          <w:sz w:val="20"/>
          <w:szCs w:val="20"/>
          <w:color w:val="auto"/>
        </w:rPr>
      </w:pPr>
    </w:p>
    <w:p>
      <w:pPr>
        <w:ind w:left="761" w:hanging="761"/>
        <w:spacing w:after="0"/>
        <w:tabs>
          <w:tab w:leader="none" w:pos="761" w:val="left"/>
        </w:tabs>
        <w:numPr>
          <w:ilvl w:val="0"/>
          <w:numId w:val="36"/>
        </w:numPr>
        <w:rPr>
          <w:rFonts w:ascii="Arial" w:cs="Arial" w:eastAsia="Arial" w:hAnsi="Arial"/>
          <w:sz w:val="15"/>
          <w:szCs w:val="15"/>
          <w:color w:val="auto"/>
        </w:rPr>
      </w:pPr>
      <w:r>
        <w:rPr>
          <w:rFonts w:ascii="Arial" w:cs="Arial" w:eastAsia="Arial" w:hAnsi="Arial"/>
          <w:sz w:val="15"/>
          <w:szCs w:val="15"/>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65151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50165</wp:posOffset>
            </wp:positionV>
            <wp:extent cx="65151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Period-to-Period</w:t>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2"/>
          <w:szCs w:val="12"/>
          <w:b w:val="1"/>
          <w:bCs w:val="1"/>
          <w:color w:val="auto"/>
        </w:rPr>
        <w:t>Change for the</w:t>
      </w:r>
    </w:p>
    <w:p>
      <w:pPr>
        <w:spacing w:after="0" w:line="12"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Six Months</w:t>
      </w:r>
    </w:p>
    <w:p>
      <w:pPr>
        <w:jc w:val="center"/>
        <w:ind w:right="1460"/>
        <w:spacing w:after="0" w:line="221" w:lineRule="auto"/>
        <w:rPr>
          <w:sz w:val="20"/>
          <w:szCs w:val="20"/>
          <w:color w:val="auto"/>
        </w:rPr>
      </w:pPr>
      <w:r>
        <w:rPr>
          <w:rFonts w:ascii="Arial" w:cs="Arial" w:eastAsia="Arial" w:hAnsi="Arial"/>
          <w:sz w:val="14"/>
          <w:szCs w:val="14"/>
          <w:b w:val="1"/>
          <w:bCs w:val="1"/>
          <w:color w:val="auto"/>
        </w:rPr>
        <w:t>Ended</w:t>
      </w:r>
    </w:p>
    <w:p>
      <w:pPr>
        <w:jc w:val="center"/>
        <w:ind w:right="1460"/>
        <w:spacing w:after="0" w:line="221" w:lineRule="auto"/>
        <w:rPr>
          <w:sz w:val="20"/>
          <w:szCs w:val="20"/>
          <w:color w:val="auto"/>
        </w:rPr>
      </w:pPr>
      <w:r>
        <w:rPr>
          <w:rFonts w:ascii="Arial" w:cs="Arial" w:eastAsia="Arial" w:hAnsi="Arial"/>
          <w:sz w:val="14"/>
          <w:szCs w:val="14"/>
          <w:b w:val="1"/>
          <w:bCs w:val="1"/>
          <w:color w:val="auto"/>
        </w:rPr>
        <w:t>June 30,</w:t>
      </w:r>
    </w:p>
    <w:p>
      <w:pPr>
        <w:jc w:val="center"/>
        <w:ind w:right="1460"/>
        <w:spacing w:after="0"/>
        <w:rPr>
          <w:sz w:val="20"/>
          <w:szCs w:val="20"/>
          <w:color w:val="auto"/>
        </w:rPr>
      </w:pPr>
      <w:r>
        <w:rPr>
          <w:rFonts w:ascii="Arial" w:cs="Arial" w:eastAsia="Arial" w:hAnsi="Arial"/>
          <w:sz w:val="14"/>
          <w:szCs w:val="14"/>
          <w:b w:val="1"/>
          <w:bCs w:val="1"/>
          <w:color w:val="auto"/>
        </w:rPr>
        <w:t>2015 vs. 2014</w:t>
      </w:r>
    </w:p>
    <w:p>
      <w:pPr>
        <w:ind w:left="780" w:hanging="772"/>
        <w:spacing w:after="0"/>
        <w:tabs>
          <w:tab w:leader="none" w:pos="7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111</w:t>
      </w:r>
    </w:p>
    <w:p>
      <w:pPr>
        <w:spacing w:after="0" w:line="42" w:lineRule="exact"/>
        <w:rPr>
          <w:rFonts w:ascii="Arial" w:cs="Arial" w:eastAsia="Arial" w:hAnsi="Arial"/>
          <w:sz w:val="15"/>
          <w:szCs w:val="15"/>
          <w:color w:val="auto"/>
        </w:rPr>
      </w:pPr>
    </w:p>
    <w:p>
      <w:pPr>
        <w:ind w:left="860"/>
        <w:spacing w:after="0"/>
        <w:rPr>
          <w:rFonts w:ascii="Arial" w:cs="Arial" w:eastAsia="Arial" w:hAnsi="Arial"/>
          <w:sz w:val="15"/>
          <w:szCs w:val="15"/>
          <w:color w:val="auto"/>
        </w:rPr>
      </w:pPr>
      <w:r>
        <w:rPr>
          <w:rFonts w:ascii="Arial" w:cs="Arial" w:eastAsia="Arial" w:hAnsi="Arial"/>
          <w:sz w:val="16"/>
          <w:szCs w:val="16"/>
          <w:color w:val="auto"/>
        </w:rPr>
        <w:t>49</w:t>
      </w:r>
    </w:p>
    <w:p>
      <w:pPr>
        <w:spacing w:after="0" w:line="32" w:lineRule="exact"/>
        <w:rPr>
          <w:rFonts w:ascii="Arial" w:cs="Arial" w:eastAsia="Arial" w:hAnsi="Arial"/>
          <w:sz w:val="15"/>
          <w:szCs w:val="15"/>
          <w:color w:val="auto"/>
        </w:rPr>
      </w:pPr>
    </w:p>
    <w:p>
      <w:pPr>
        <w:ind w:left="860"/>
        <w:spacing w:after="0"/>
        <w:rPr>
          <w:rFonts w:ascii="Arial" w:cs="Arial" w:eastAsia="Arial" w:hAnsi="Arial"/>
          <w:sz w:val="15"/>
          <w:szCs w:val="15"/>
          <w:color w:val="auto"/>
        </w:rPr>
      </w:pPr>
      <w:r>
        <w:rPr>
          <w:rFonts w:ascii="Arial" w:cs="Arial" w:eastAsia="Arial" w:hAnsi="Arial"/>
          <w:sz w:val="16"/>
          <w:szCs w:val="16"/>
          <w:color w:val="auto"/>
        </w:rPr>
        <w:t>43</w:t>
      </w:r>
    </w:p>
    <w:p>
      <w:pPr>
        <w:spacing w:after="0" w:line="32" w:lineRule="exact"/>
        <w:rPr>
          <w:rFonts w:ascii="Arial" w:cs="Arial" w:eastAsia="Arial" w:hAnsi="Arial"/>
          <w:sz w:val="15"/>
          <w:szCs w:val="15"/>
          <w:color w:val="auto"/>
        </w:rPr>
      </w:pPr>
    </w:p>
    <w:p>
      <w:pPr>
        <w:ind w:left="860"/>
        <w:spacing w:after="0"/>
        <w:rPr>
          <w:rFonts w:ascii="Arial" w:cs="Arial" w:eastAsia="Arial" w:hAnsi="Arial"/>
          <w:sz w:val="15"/>
          <w:szCs w:val="15"/>
          <w:color w:val="auto"/>
        </w:rPr>
      </w:pPr>
      <w:r>
        <w:rPr>
          <w:rFonts w:ascii="Arial" w:cs="Arial" w:eastAsia="Arial" w:hAnsi="Arial"/>
          <w:sz w:val="16"/>
          <w:szCs w:val="16"/>
          <w:color w:val="auto"/>
        </w:rPr>
        <w:t>36</w:t>
      </w:r>
    </w:p>
    <w:p>
      <w:pPr>
        <w:spacing w:after="0" w:line="32" w:lineRule="exact"/>
        <w:rPr>
          <w:rFonts w:ascii="Arial" w:cs="Arial" w:eastAsia="Arial" w:hAnsi="Arial"/>
          <w:sz w:val="15"/>
          <w:szCs w:val="15"/>
          <w:color w:val="auto"/>
        </w:rPr>
      </w:pPr>
    </w:p>
    <w:p>
      <w:pPr>
        <w:ind w:left="860"/>
        <w:spacing w:after="0"/>
        <w:rPr>
          <w:rFonts w:ascii="Arial" w:cs="Arial" w:eastAsia="Arial" w:hAnsi="Arial"/>
          <w:sz w:val="15"/>
          <w:szCs w:val="15"/>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21590</wp:posOffset>
            </wp:positionV>
            <wp:extent cx="6515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33" w:lineRule="exact"/>
        <w:rPr>
          <w:sz w:val="20"/>
          <w:szCs w:val="20"/>
          <w:color w:val="auto"/>
        </w:rPr>
      </w:pPr>
    </w:p>
    <w:p>
      <w:pPr>
        <w:ind w:left="780" w:hanging="772"/>
        <w:spacing w:after="0"/>
        <w:tabs>
          <w:tab w:leader="none" w:pos="7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33020</wp:posOffset>
            </wp:positionV>
            <wp:extent cx="6515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50165</wp:posOffset>
            </wp:positionV>
            <wp:extent cx="6515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5899" w:space="720"/>
            <w:col w:w="1581" w:space="720"/>
            <w:col w:w="2500"/>
          </w:cols>
          <w:pgMar w:left="240" w:top="280" w:right="239" w:bottom="1440" w:gutter="0" w:footer="0" w:header="0"/>
          <w:type w:val="continuous"/>
        </w:sectPr>
      </w:pP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280" w:right="239" w:bottom="1440" w:gutter="0" w:footer="0" w:header="0"/>
          <w:type w:val="continuous"/>
        </w:sectPr>
      </w:pPr>
    </w:p>
    <w:bookmarkStart w:id="45" w:name="page46"/>
    <w:bookmarkEnd w:id="45"/>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Commensurately, our revenues decreased by $189 million and $407 million for the three and six months ended June 30, 2015, respectively, due to these divestitures when compared to the prior year periods.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the impact of divestitures noted above, other significant items by category of expense include:</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Labor and related benefits </w:t>
      </w:r>
      <w:r>
        <w:rPr>
          <w:rFonts w:ascii="Arial" w:cs="Arial" w:eastAsia="Arial" w:hAnsi="Arial"/>
          <w:sz w:val="18"/>
          <w:szCs w:val="18"/>
          <w:color w:val="auto"/>
        </w:rPr>
        <w:t>— In the second quarter of 2015, we recognized a $55 million charge associated with withdrawal from certain underfunded</w:t>
      </w:r>
      <w:r>
        <w:rPr>
          <w:rFonts w:ascii="Arial" w:cs="Arial" w:eastAsia="Arial" w:hAnsi="Arial"/>
          <w:sz w:val="18"/>
          <w:szCs w:val="18"/>
          <w:i w:val="1"/>
          <w:iCs w:val="1"/>
          <w:color w:val="auto"/>
        </w:rPr>
        <w:t xml:space="preserve"> </w:t>
      </w:r>
      <w:r>
        <w:rPr>
          <w:rFonts w:ascii="Arial" w:cs="Arial" w:eastAsia="Arial" w:hAnsi="Arial"/>
          <w:sz w:val="18"/>
          <w:szCs w:val="18"/>
          <w:color w:val="auto"/>
        </w:rPr>
        <w:t>multiemployer pension plans.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significant items affecting the comparability of labor and related benefits for the periods presented include:</w:t>
      </w:r>
    </w:p>
    <w:p>
      <w:pPr>
        <w:spacing w:after="0" w:line="90" w:lineRule="exact"/>
        <w:rPr>
          <w:sz w:val="20"/>
          <w:szCs w:val="20"/>
          <w:color w:val="auto"/>
        </w:rPr>
      </w:pPr>
    </w:p>
    <w:p>
      <w:pPr>
        <w:ind w:left="660" w:hanging="20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Lower headcount and contract labor due to lower volumes in our collection and recycling lines of business;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Decreased health and welfare costs, partially offset by;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Higher wages due to merit increases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Additional costs associated with the acquired operations of Deffenbaugh.</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Transfer and disposal costs — </w:t>
      </w:r>
      <w:r>
        <w:rPr>
          <w:rFonts w:ascii="Arial" w:cs="Arial" w:eastAsia="Arial" w:hAnsi="Arial"/>
          <w:sz w:val="18"/>
          <w:szCs w:val="18"/>
          <w:color w:val="auto"/>
        </w:rPr>
        <w:t>The decrease in transfer and disposal costs compared to the prior year period was primarily driven by the divestiture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discussed above. These cost decreases were offset in part by increased third party expenses previously recognized as intercompany in the prior year periods as a result of the divestiture of our Wheelabrator business in December 2014.</w:t>
      </w:r>
    </w:p>
    <w:p>
      <w:pPr>
        <w:spacing w:after="0" w:line="59"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Subcontractor costs — </w:t>
      </w:r>
      <w:r>
        <w:rPr>
          <w:rFonts w:ascii="Arial" w:cs="Arial" w:eastAsia="Arial" w:hAnsi="Arial"/>
          <w:sz w:val="18"/>
          <w:szCs w:val="18"/>
          <w:color w:val="auto"/>
        </w:rPr>
        <w:t>The decrease in subcontractor costs compared to the prior period was primarily driven by (i) volume declines related to the loss of</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large accounts in our WMSBS organization and (ii) lower costs within the landfill line of business.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Cost of goods sold — </w:t>
      </w:r>
      <w:r>
        <w:rPr>
          <w:rFonts w:ascii="Arial" w:cs="Arial" w:eastAsia="Arial" w:hAnsi="Arial"/>
          <w:sz w:val="18"/>
          <w:szCs w:val="18"/>
          <w:color w:val="auto"/>
        </w:rPr>
        <w:t>The decrease in cost of goods sold is due to the following conditions in our recycling business:</w:t>
      </w:r>
    </w:p>
    <w:p>
      <w:pPr>
        <w:spacing w:after="0" w:line="90" w:lineRule="exact"/>
        <w:rPr>
          <w:sz w:val="20"/>
          <w:szCs w:val="20"/>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Lower commodity prices;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efforts to reduce controllable recycling rebates paid to customers;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Better alignment of rebate structures to commodity prices for new recycling contracts;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Ongoing recycling business improvement efforts around inbound quality control.</w:t>
      </w:r>
    </w:p>
    <w:p>
      <w:pPr>
        <w:spacing w:after="0" w:line="9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i w:val="1"/>
          <w:iCs w:val="1"/>
          <w:color w:val="auto"/>
        </w:rPr>
        <w:t xml:space="preserve">Fuel — </w:t>
      </w:r>
      <w:r>
        <w:rPr>
          <w:rFonts w:ascii="Arial" w:cs="Arial" w:eastAsia="Arial" w:hAnsi="Arial"/>
          <w:sz w:val="18"/>
          <w:szCs w:val="18"/>
          <w:color w:val="auto"/>
        </w:rPr>
        <w:t>The decrease in fuel expense in the current period when compared to the prior period was driven by (i) lower fuel prices; (ii) lower fuel purchases</w:t>
      </w:r>
      <w:r>
        <w:rPr>
          <w:rFonts w:ascii="Arial" w:cs="Arial" w:eastAsia="Arial" w:hAnsi="Arial"/>
          <w:sz w:val="18"/>
          <w:szCs w:val="18"/>
          <w:i w:val="1"/>
          <w:iCs w:val="1"/>
          <w:color w:val="auto"/>
        </w:rPr>
        <w:t xml:space="preserve"> </w:t>
      </w:r>
      <w:r>
        <w:rPr>
          <w:rFonts w:ascii="Arial" w:cs="Arial" w:eastAsia="Arial" w:hAnsi="Arial"/>
          <w:sz w:val="18"/>
          <w:szCs w:val="18"/>
          <w:color w:val="auto"/>
        </w:rPr>
        <w:t>due to reduced collection volumes and (iii) lower costs resulting from the conversion of our fleet to CNG vehicles.</w:t>
      </w:r>
    </w:p>
    <w:p>
      <w:pPr>
        <w:spacing w:after="0" w:line="5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Risk Management </w:t>
      </w:r>
      <w:r>
        <w:rPr>
          <w:rFonts w:ascii="Arial" w:cs="Arial" w:eastAsia="Arial" w:hAnsi="Arial"/>
          <w:sz w:val="18"/>
          <w:szCs w:val="18"/>
          <w:color w:val="auto"/>
        </w:rPr>
        <w:t>— The increase in costs was primarily related to certain higher than anticipated auto and general liability claim settlements in the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 The increase in the second quarter of 2015 when compared to the prior year period is primarily due to a gain on the sale of surplus property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selling, general and administrative expenses decreased by $31 million, or 8.8%, when comparing the three months ended June 30, 2015 to the prior year period and declined $58 million, or 8.0%, when comparing the six month periods. As a percentage of revenue, our selling, general and administrative expenses decreased from 9.9% for the second quarter of 2014 to 9.7% for the second quarter of 2015, and remained flat at 10.5% for the six months ended June 30, 2015 and 2014.</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46" w:name="page47"/>
    <w:bookmarkEnd w:id="46"/>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summarizes the major components of our selling, general and administrative expenses for the three- and six-month periods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8"/>
              </w:rPr>
              <w:t>Six Months</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9"/>
        </w:trPr>
        <w:tc>
          <w:tcPr>
            <w:tcW w:w="36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tcPr>
          <w:p>
            <w:pPr>
              <w:jc w:val="center"/>
              <w:ind w:right="279"/>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156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Period-to-</w:t>
            </w:r>
          </w:p>
        </w:tc>
        <w:tc>
          <w:tcPr>
            <w:tcW w:w="360" w:type="dxa"/>
            <w:vAlign w:val="bottom"/>
          </w:tcPr>
          <w:p>
            <w:pPr>
              <w:spacing w:after="0"/>
              <w:rPr>
                <w:sz w:val="12"/>
                <w:szCs w:val="12"/>
                <w:color w:val="auto"/>
              </w:rPr>
            </w:pPr>
          </w:p>
        </w:tc>
        <w:tc>
          <w:tcPr>
            <w:tcW w:w="120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Ended</w:t>
            </w:r>
          </w:p>
        </w:tc>
        <w:tc>
          <w:tcPr>
            <w:tcW w:w="126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Period-to-</w:t>
            </w:r>
          </w:p>
        </w:tc>
      </w:tr>
      <w:tr>
        <w:trPr>
          <w:trHeight w:val="161"/>
        </w:trPr>
        <w:tc>
          <w:tcPr>
            <w:tcW w:w="3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87"/>
              </w:rPr>
              <w:t>Period</w:t>
            </w:r>
          </w:p>
        </w:tc>
        <w:tc>
          <w:tcPr>
            <w:tcW w:w="15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5"/>
              </w:rPr>
              <w:t>June 30,</w:t>
            </w:r>
          </w:p>
        </w:tc>
        <w:tc>
          <w:tcPr>
            <w:tcW w:w="720" w:type="dxa"/>
            <w:vAlign w:val="bottom"/>
            <w:gridSpan w:val="2"/>
          </w:tcPr>
          <w:p>
            <w:pPr>
              <w:jc w:val="center"/>
              <w:ind w:left="220"/>
              <w:spacing w:after="0"/>
              <w:rPr>
                <w:sz w:val="20"/>
                <w:szCs w:val="20"/>
                <w:color w:val="auto"/>
              </w:rPr>
            </w:pPr>
            <w:r>
              <w:rPr>
                <w:rFonts w:ascii="Arial" w:cs="Arial" w:eastAsia="Arial" w:hAnsi="Arial"/>
                <w:sz w:val="14"/>
                <w:szCs w:val="14"/>
                <w:b w:val="1"/>
                <w:bCs w:val="1"/>
                <w:color w:val="auto"/>
                <w:w w:val="87"/>
              </w:rPr>
              <w:t>Period</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3660" w:type="dxa"/>
            <w:vAlign w:val="bottom"/>
            <w:tcBorders>
              <w:bottom w:val="single" w:sz="8" w:color="CCEEFF"/>
            </w:tcBorders>
          </w:tcPr>
          <w:p>
            <w:pPr>
              <w:spacing w:after="0"/>
              <w:rPr>
                <w:sz w:val="12"/>
                <w:szCs w:val="12"/>
                <w:color w:val="auto"/>
              </w:rPr>
            </w:pPr>
          </w:p>
        </w:tc>
        <w:tc>
          <w:tcPr>
            <w:tcW w:w="182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4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42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46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4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42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gridSpan w:val="2"/>
          </w:tcPr>
          <w:p>
            <w:pPr>
              <w:jc w:val="center"/>
              <w:ind w:left="200"/>
              <w:spacing w:after="0" w:line="142" w:lineRule="exact"/>
              <w:rPr>
                <w:sz w:val="20"/>
                <w:szCs w:val="20"/>
                <w:color w:val="auto"/>
              </w:rPr>
            </w:pPr>
            <w:r>
              <w:rPr>
                <w:rFonts w:ascii="Arial" w:cs="Arial" w:eastAsia="Arial" w:hAnsi="Arial"/>
                <w:sz w:val="14"/>
                <w:szCs w:val="14"/>
                <w:b w:val="1"/>
                <w:bCs w:val="1"/>
                <w:color w:val="auto"/>
                <w:w w:val="85"/>
              </w:rPr>
              <w:t>Change</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r>
      <w:tr>
        <w:trPr>
          <w:trHeight w:val="210"/>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 and related benefits</w:t>
            </w:r>
          </w:p>
        </w:tc>
        <w:tc>
          <w:tcPr>
            <w:tcW w:w="18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$215</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$234</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0"/>
              </w:rPr>
              <w:t>$(19)</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$438</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$477</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$(39)</w:t>
            </w: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(8.2)%</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Professional fees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980" w:type="dxa"/>
            <w:vAlign w:val="bottom"/>
            <w:gridSpan w:val="3"/>
          </w:tcPr>
          <w:p>
            <w:pPr>
              <w:jc w:val="right"/>
              <w:ind w:right="92"/>
              <w:spacing w:after="0"/>
              <w:rPr>
                <w:sz w:val="20"/>
                <w:szCs w:val="20"/>
                <w:color w:val="auto"/>
              </w:rPr>
            </w:pPr>
            <w:r>
              <w:rPr>
                <w:rFonts w:ascii="Arial" w:cs="Arial" w:eastAsia="Arial" w:hAnsi="Arial"/>
                <w:sz w:val="18"/>
                <w:szCs w:val="18"/>
                <w:color w:val="auto"/>
              </w:rPr>
              <w:t>(4)</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(12.5)</w:t>
            </w:r>
          </w:p>
        </w:tc>
        <w:tc>
          <w:tcPr>
            <w:tcW w:w="360" w:type="dxa"/>
            <w:vAlign w:val="bottom"/>
          </w:tcPr>
          <w:p>
            <w:pPr>
              <w:jc w:val="right"/>
              <w:spacing w:after="0"/>
              <w:rPr>
                <w:sz w:val="20"/>
                <w:szCs w:val="20"/>
                <w:color w:val="auto"/>
              </w:rPr>
            </w:pPr>
            <w:r>
              <w:rPr>
                <w:rFonts w:ascii="Arial" w:cs="Arial" w:eastAsia="Arial" w:hAnsi="Arial"/>
                <w:sz w:val="18"/>
                <w:szCs w:val="18"/>
                <w:color w:val="auto"/>
              </w:rPr>
              <w:t>56</w:t>
            </w:r>
          </w:p>
        </w:tc>
        <w:tc>
          <w:tcPr>
            <w:tcW w:w="1200" w:type="dxa"/>
            <w:vAlign w:val="bottom"/>
            <w:gridSpan w:val="3"/>
          </w:tcPr>
          <w:p>
            <w:pPr>
              <w:jc w:val="right"/>
              <w:ind w:right="420"/>
              <w:spacing w:after="0"/>
              <w:rPr>
                <w:sz w:val="20"/>
                <w:szCs w:val="20"/>
                <w:color w:val="auto"/>
              </w:rPr>
            </w:pPr>
            <w:r>
              <w:rPr>
                <w:rFonts w:ascii="Arial" w:cs="Arial" w:eastAsia="Arial" w:hAnsi="Arial"/>
                <w:sz w:val="18"/>
                <w:szCs w:val="18"/>
                <w:color w:val="auto"/>
              </w:rPr>
              <w:t>58</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540" w:type="dxa"/>
            <w:vAlign w:val="bottom"/>
            <w:gridSpan w:val="2"/>
          </w:tcPr>
          <w:p>
            <w:pPr>
              <w:spacing w:after="0"/>
              <w:rPr>
                <w:sz w:val="20"/>
                <w:szCs w:val="20"/>
                <w:color w:val="auto"/>
              </w:rPr>
            </w:pPr>
            <w:r>
              <w:rPr>
                <w:rFonts w:ascii="Arial" w:cs="Arial" w:eastAsia="Arial" w:hAnsi="Arial"/>
                <w:sz w:val="18"/>
                <w:szCs w:val="18"/>
                <w:color w:val="auto"/>
              </w:rPr>
              <w:t>(3.4)</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19</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(5.3)</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Other</w:t>
            </w:r>
          </w:p>
        </w:tc>
        <w:tc>
          <w:tcPr>
            <w:tcW w:w="18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73</w:t>
            </w:r>
          </w:p>
        </w:tc>
        <w:tc>
          <w:tcPr>
            <w:tcW w:w="4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81</w:t>
            </w:r>
          </w:p>
        </w:tc>
        <w:tc>
          <w:tcPr>
            <w:tcW w:w="420" w:type="dxa"/>
            <w:vAlign w:val="bottom"/>
          </w:tcPr>
          <w:p>
            <w:pPr>
              <w:spacing w:after="0"/>
              <w:rPr>
                <w:sz w:val="18"/>
                <w:szCs w:val="18"/>
                <w:color w:val="auto"/>
              </w:rPr>
            </w:pPr>
          </w:p>
        </w:tc>
        <w:tc>
          <w:tcPr>
            <w:tcW w:w="560" w:type="dxa"/>
            <w:vAlign w:val="bottom"/>
            <w:gridSpan w:val="2"/>
          </w:tcPr>
          <w:p>
            <w:pPr>
              <w:jc w:val="right"/>
              <w:ind w:right="92"/>
              <w:spacing w:after="0"/>
              <w:rPr>
                <w:sz w:val="20"/>
                <w:szCs w:val="20"/>
                <w:color w:val="auto"/>
              </w:rPr>
            </w:pPr>
            <w:r>
              <w:rPr>
                <w:rFonts w:ascii="Arial" w:cs="Arial" w:eastAsia="Arial" w:hAnsi="Arial"/>
                <w:sz w:val="18"/>
                <w:szCs w:val="18"/>
                <w:color w:val="auto"/>
              </w:rPr>
              <w:t>(8)</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(9.9)</w:t>
            </w:r>
          </w:p>
        </w:tc>
        <w:tc>
          <w:tcPr>
            <w:tcW w:w="360" w:type="dxa"/>
            <w:vAlign w:val="bottom"/>
          </w:tcPr>
          <w:p>
            <w:pPr>
              <w:jc w:val="right"/>
              <w:spacing w:after="0"/>
              <w:rPr>
                <w:sz w:val="20"/>
                <w:szCs w:val="20"/>
                <w:color w:val="auto"/>
              </w:rPr>
            </w:pPr>
            <w:r>
              <w:rPr>
                <w:rFonts w:ascii="Arial" w:cs="Arial" w:eastAsia="Arial" w:hAnsi="Arial"/>
                <w:sz w:val="18"/>
                <w:szCs w:val="18"/>
                <w:color w:val="auto"/>
              </w:rPr>
              <w:t>158</w:t>
            </w:r>
          </w:p>
        </w:tc>
        <w:tc>
          <w:tcPr>
            <w:tcW w:w="1200" w:type="dxa"/>
            <w:vAlign w:val="bottom"/>
            <w:gridSpan w:val="3"/>
          </w:tcPr>
          <w:p>
            <w:pPr>
              <w:jc w:val="right"/>
              <w:ind w:right="420"/>
              <w:spacing w:after="0"/>
              <w:rPr>
                <w:sz w:val="20"/>
                <w:szCs w:val="20"/>
                <w:color w:val="auto"/>
              </w:rPr>
            </w:pPr>
            <w:r>
              <w:rPr>
                <w:rFonts w:ascii="Arial" w:cs="Arial" w:eastAsia="Arial" w:hAnsi="Arial"/>
                <w:sz w:val="18"/>
                <w:szCs w:val="18"/>
                <w:color w:val="auto"/>
              </w:rPr>
              <w:t>174</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540" w:type="dxa"/>
            <w:vAlign w:val="bottom"/>
            <w:gridSpan w:val="2"/>
          </w:tcPr>
          <w:p>
            <w:pPr>
              <w:spacing w:after="0"/>
              <w:rPr>
                <w:sz w:val="20"/>
                <w:szCs w:val="20"/>
                <w:color w:val="auto"/>
              </w:rPr>
            </w:pPr>
            <w:r>
              <w:rPr>
                <w:rFonts w:ascii="Arial" w:cs="Arial" w:eastAsia="Arial" w:hAnsi="Arial"/>
                <w:sz w:val="18"/>
                <w:szCs w:val="18"/>
                <w:color w:val="auto"/>
              </w:rPr>
              <w:t>(9.2)</w:t>
            </w:r>
          </w:p>
        </w:tc>
      </w:tr>
      <w:tr>
        <w:trPr>
          <w:trHeight w:val="27"/>
        </w:trPr>
        <w:tc>
          <w:tcPr>
            <w:tcW w:w="3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366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353</w:t>
            </w:r>
          </w:p>
        </w:tc>
        <w:tc>
          <w:tcPr>
            <w:tcW w:w="98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670</w:t>
            </w: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728</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(58)</w:t>
            </w: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(8.0)%</w:t>
            </w:r>
          </w:p>
        </w:tc>
      </w:tr>
      <w:tr>
        <w:trPr>
          <w:trHeight w:val="20"/>
        </w:trPr>
        <w:tc>
          <w:tcPr>
            <w:tcW w:w="3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labor and related benefits decreased as a result of both our August 2014 reorganization and our 2014 divestitures, primarily our Wheelabrator business. In addition, declines in our other expenses are primarily as a result of our continued focus on controlling costs and 2014 divestitures, partially offset by the reversal of a reserve due to a favorable litigation resolution in the second quarter of 2014.</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 summarizes the components of our depreciation and amortization expense for the three- and six-month periods ended June 30 (dollars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1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Six Months</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center"/>
              <w:ind w:right="317"/>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158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Period-to-</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jc w:val="center"/>
              <w:ind w:right="302"/>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134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Period-to-</w:t>
            </w:r>
          </w:p>
        </w:tc>
        <w:tc>
          <w:tcPr>
            <w:tcW w:w="0" w:type="dxa"/>
            <w:vAlign w:val="bottom"/>
          </w:tcPr>
          <w:p>
            <w:pPr>
              <w:spacing w:after="0"/>
              <w:rPr>
                <w:sz w:val="1"/>
                <w:szCs w:val="1"/>
                <w:color w:val="auto"/>
              </w:rPr>
            </w:pPr>
          </w:p>
        </w:tc>
      </w:tr>
      <w:tr>
        <w:trPr>
          <w:trHeight w:val="161"/>
        </w:trPr>
        <w:tc>
          <w:tcPr>
            <w:tcW w:w="5380" w:type="dxa"/>
            <w:vAlign w:val="bottom"/>
          </w:tcPr>
          <w:p>
            <w:pPr>
              <w:spacing w:after="0"/>
              <w:rPr>
                <w:sz w:val="14"/>
                <w:szCs w:val="14"/>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87"/>
              </w:rPr>
              <w:t>Period</w:t>
            </w: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42"/>
        </w:trPr>
        <w:tc>
          <w:tcPr>
            <w:tcW w:w="53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40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Change</w:t>
            </w:r>
          </w:p>
        </w:tc>
        <w:tc>
          <w:tcPr>
            <w:tcW w:w="4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42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Change</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of tangible property and equipment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$215</w:t>
            </w:r>
          </w:p>
        </w:tc>
        <w:tc>
          <w:tcPr>
            <w:tcW w:w="4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90"/>
              </w:rPr>
              <w:t>$(23)</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$378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$428</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0"/>
              </w:rPr>
              <w:t>$(50)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Amortization of landfill airspace</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980" w:type="dxa"/>
            <w:vAlign w:val="bottom"/>
            <w:gridSpan w:val="3"/>
          </w:tcPr>
          <w:p>
            <w:pPr>
              <w:jc w:val="right"/>
              <w:ind w:right="172"/>
              <w:spacing w:after="0"/>
              <w:rPr>
                <w:sz w:val="20"/>
                <w:szCs w:val="20"/>
                <w:color w:val="auto"/>
              </w:rPr>
            </w:pPr>
            <w:r>
              <w:rPr>
                <w:rFonts w:ascii="Arial" w:cs="Arial" w:eastAsia="Arial" w:hAnsi="Arial"/>
                <w:sz w:val="18"/>
                <w:szCs w:val="18"/>
                <w:color w:val="auto"/>
              </w:rPr>
              <w:t>6</w:t>
            </w:r>
          </w:p>
        </w:tc>
        <w:tc>
          <w:tcPr>
            <w:tcW w:w="520" w:type="dxa"/>
            <w:vAlign w:val="bottom"/>
          </w:tcPr>
          <w:p>
            <w:pPr>
              <w:jc w:val="right"/>
              <w:spacing w:after="0"/>
              <w:rPr>
                <w:sz w:val="20"/>
                <w:szCs w:val="20"/>
                <w:color w:val="auto"/>
              </w:rPr>
            </w:pPr>
            <w:r>
              <w:rPr>
                <w:rFonts w:ascii="Arial" w:cs="Arial" w:eastAsia="Arial" w:hAnsi="Arial"/>
                <w:sz w:val="18"/>
                <w:szCs w:val="18"/>
                <w:color w:val="auto"/>
              </w:rPr>
              <w:t>5.8</w:t>
            </w:r>
          </w:p>
        </w:tc>
        <w:tc>
          <w:tcPr>
            <w:tcW w:w="48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980" w:type="dxa"/>
            <w:vAlign w:val="bottom"/>
            <w:gridSpan w:val="3"/>
          </w:tcPr>
          <w:p>
            <w:pPr>
              <w:jc w:val="right"/>
              <w:ind w:right="152"/>
              <w:spacing w:after="0"/>
              <w:rPr>
                <w:sz w:val="20"/>
                <w:szCs w:val="20"/>
                <w:color w:val="auto"/>
              </w:rPr>
            </w:pPr>
            <w:r>
              <w:rPr>
                <w:rFonts w:ascii="Arial" w:cs="Arial" w:eastAsia="Arial" w:hAnsi="Arial"/>
                <w:sz w:val="18"/>
                <w:szCs w:val="18"/>
                <w:color w:val="auto"/>
              </w:rPr>
              <w:t>11</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98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(3)</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(5.0)%</w:t>
            </w: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line="20" w:lineRule="exact"/>
              <w:rPr>
                <w:sz w:val="1"/>
                <w:szCs w:val="1"/>
                <w:color w:val="auto"/>
              </w:rPr>
            </w:pPr>
          </w:p>
        </w:tc>
      </w:tr>
      <w:tr>
        <w:trPr>
          <w:trHeight w:val="222"/>
        </w:trPr>
        <w:tc>
          <w:tcPr>
            <w:tcW w:w="53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322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339</w:t>
            </w:r>
          </w:p>
        </w:tc>
        <w:tc>
          <w:tcPr>
            <w:tcW w:w="400" w:type="dxa"/>
            <w:vAlign w:val="bottom"/>
          </w:tcPr>
          <w:p>
            <w:pPr>
              <w:spacing w:after="0"/>
              <w:rPr>
                <w:sz w:val="19"/>
                <w:szCs w:val="19"/>
                <w:color w:val="auto"/>
              </w:rPr>
            </w:pPr>
          </w:p>
        </w:tc>
        <w:tc>
          <w:tcPr>
            <w:tcW w:w="580" w:type="dxa"/>
            <w:vAlign w:val="bottom"/>
            <w:gridSpan w:val="2"/>
          </w:tcPr>
          <w:p>
            <w:pPr>
              <w:jc w:val="right"/>
              <w:ind w:right="11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(17)</w:t>
            </w:r>
          </w:p>
        </w:tc>
        <w:tc>
          <w:tcPr>
            <w:tcW w:w="1000" w:type="dxa"/>
            <w:vAlign w:val="bottom"/>
            <w:gridSpan w:val="2"/>
            <w:vMerge w:val="continue"/>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614</w:t>
            </w: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656</w:t>
            </w:r>
          </w:p>
        </w:tc>
        <w:tc>
          <w:tcPr>
            <w:tcW w:w="980" w:type="dxa"/>
            <w:vAlign w:val="bottom"/>
            <w:gridSpan w:val="3"/>
          </w:tcPr>
          <w:p>
            <w:pPr>
              <w:jc w:val="right"/>
              <w:ind w:right="9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w:t>
            </w:r>
          </w:p>
        </w:tc>
        <w:tc>
          <w:tcPr>
            <w:tcW w:w="7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decrease in depreciation and amortization expense for the three- and six-month periods ended June 30, 2015, compared to the prior year periods is primarily due to the December 2014 sale of our Wheelabrator business as discussed further in Note 9 to the Condensed Consolidated Financial Statements.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Expense from Divestitures, Asset Impairments and Unusual Items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During the first half of 2015, we recognized net charges of $15 million, including $16 million of charges to write down or divest of certain assets in our recycling operations and a $5 million impairment of a landfill in our Western Canada Area due to revised post-closure cost estimates. Partially offsetting these charges was a $6 million gain on the sale of an oil and gas producing property in the second quarter of 2015.</w:t>
      </w:r>
    </w:p>
    <w:p>
      <w:pPr>
        <w:spacing w:after="0" w:line="2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the first half of 2014, we recognized net charges of $37 million, primarily related to a $25 million loss on the divestiture of our Puerto Rico operations and certain other collection and landfill assets as discussed further in Note 9 to the Condensed Consolidated Financial Statements and a $12 million impairment charge due to the decision to close a waste processing facility.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47" w:name="page48"/>
    <w:bookmarkEnd w:id="47"/>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Income from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income from operations for the three and six months ended June 30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Six Months</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9"/>
        </w:trPr>
        <w:tc>
          <w:tcPr>
            <w:tcW w:w="15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6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Ended</w:t>
            </w:r>
          </w:p>
        </w:tc>
        <w:tc>
          <w:tcPr>
            <w:tcW w:w="100" w:type="dxa"/>
            <w:vAlign w:val="bottom"/>
          </w:tcPr>
          <w:p>
            <w:pPr>
              <w:spacing w:after="0"/>
              <w:rPr>
                <w:sz w:val="12"/>
                <w:szCs w:val="12"/>
                <w:color w:val="auto"/>
              </w:rPr>
            </w:pPr>
          </w:p>
        </w:tc>
        <w:tc>
          <w:tcPr>
            <w:tcW w:w="144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Period-to-</w:t>
            </w:r>
          </w:p>
        </w:tc>
        <w:tc>
          <w:tcPr>
            <w:tcW w:w="100" w:type="dxa"/>
            <w:vAlign w:val="bottom"/>
          </w:tcPr>
          <w:p>
            <w:pPr>
              <w:spacing w:after="0"/>
              <w:rPr>
                <w:sz w:val="12"/>
                <w:szCs w:val="12"/>
                <w:color w:val="auto"/>
              </w:rPr>
            </w:pPr>
          </w:p>
        </w:tc>
        <w:tc>
          <w:tcPr>
            <w:tcW w:w="800" w:type="dxa"/>
            <w:vAlign w:val="bottom"/>
            <w:gridSpan w:val="4"/>
          </w:tcPr>
          <w:p>
            <w:pPr>
              <w:jc w:val="right"/>
              <w:ind w:right="60"/>
              <w:spacing w:after="0" w:line="149" w:lineRule="exact"/>
              <w:rPr>
                <w:sz w:val="20"/>
                <w:szCs w:val="20"/>
                <w:color w:val="auto"/>
              </w:rPr>
            </w:pPr>
            <w:r>
              <w:rPr>
                <w:rFonts w:ascii="Arial" w:cs="Arial" w:eastAsia="Arial" w:hAnsi="Arial"/>
                <w:sz w:val="14"/>
                <w:szCs w:val="14"/>
                <w:b w:val="1"/>
                <w:bCs w:val="1"/>
                <w:color w:val="auto"/>
              </w:rPr>
              <w:t>Ended</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Period-to-</w:t>
            </w:r>
          </w:p>
        </w:tc>
      </w:tr>
      <w:tr>
        <w:trPr>
          <w:trHeight w:val="161"/>
        </w:trPr>
        <w:tc>
          <w:tcPr>
            <w:tcW w:w="15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87"/>
              </w:rPr>
              <w:t>Period</w:t>
            </w:r>
          </w:p>
        </w:tc>
        <w:tc>
          <w:tcPr>
            <w:tcW w:w="100" w:type="dxa"/>
            <w:vAlign w:val="bottom"/>
          </w:tcPr>
          <w:p>
            <w:pPr>
              <w:spacing w:after="0"/>
              <w:rPr>
                <w:sz w:val="14"/>
                <w:szCs w:val="14"/>
                <w:color w:val="auto"/>
              </w:rPr>
            </w:pPr>
          </w:p>
        </w:tc>
        <w:tc>
          <w:tcPr>
            <w:tcW w:w="80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7"/>
              </w:rPr>
              <w:t>Period</w:t>
            </w:r>
          </w:p>
        </w:tc>
      </w:tr>
      <w:tr>
        <w:trPr>
          <w:trHeight w:val="142"/>
        </w:trPr>
        <w:tc>
          <w:tcPr>
            <w:tcW w:w="15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tcPr>
          <w:p>
            <w:pPr>
              <w:jc w:val="center"/>
              <w:ind w:right="560"/>
              <w:spacing w:after="0" w:line="142" w:lineRule="exact"/>
              <w:rPr>
                <w:sz w:val="20"/>
                <w:szCs w:val="20"/>
                <w:color w:val="auto"/>
              </w:rPr>
            </w:pPr>
            <w:r>
              <w:rPr>
                <w:rFonts w:ascii="Arial" w:cs="Arial" w:eastAsia="Arial" w:hAnsi="Arial"/>
                <w:sz w:val="14"/>
                <w:szCs w:val="14"/>
                <w:b w:val="1"/>
                <w:bCs w:val="1"/>
                <w:color w:val="auto"/>
                <w:w w:val="85"/>
              </w:rPr>
              <w:t>Change</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2015</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2014</w:t>
            </w:r>
          </w:p>
        </w:tc>
        <w:tc>
          <w:tcPr>
            <w:tcW w:w="300" w:type="dxa"/>
            <w:vAlign w:val="bottom"/>
          </w:tcPr>
          <w:p>
            <w:pPr>
              <w:spacing w:after="0"/>
              <w:rPr>
                <w:sz w:val="12"/>
                <w:szCs w:val="12"/>
                <w:color w:val="auto"/>
              </w:rPr>
            </w:pPr>
          </w:p>
        </w:tc>
        <w:tc>
          <w:tcPr>
            <w:tcW w:w="1340" w:type="dxa"/>
            <w:vAlign w:val="bottom"/>
            <w:gridSpan w:val="4"/>
          </w:tcPr>
          <w:p>
            <w:pPr>
              <w:jc w:val="center"/>
              <w:ind w:right="260"/>
              <w:spacing w:after="0" w:line="142" w:lineRule="exact"/>
              <w:rPr>
                <w:sz w:val="20"/>
                <w:szCs w:val="20"/>
                <w:color w:val="auto"/>
              </w:rPr>
            </w:pPr>
            <w:r>
              <w:rPr>
                <w:rFonts w:ascii="Arial" w:cs="Arial" w:eastAsia="Arial" w:hAnsi="Arial"/>
                <w:sz w:val="14"/>
                <w:szCs w:val="14"/>
                <w:b w:val="1"/>
                <w:bCs w:val="1"/>
                <w:color w:val="auto"/>
                <w:w w:val="85"/>
              </w:rPr>
              <w:t>Change</w:t>
            </w:r>
          </w:p>
        </w:tc>
      </w:tr>
      <w:tr>
        <w:trPr>
          <w:trHeight w:val="196"/>
        </w:trPr>
        <w:tc>
          <w:tcPr>
            <w:tcW w:w="54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Solid Waste:</w:t>
            </w: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5460" w:type="dxa"/>
            <w:vAlign w:val="bottom"/>
            <w:gridSpan w:val="2"/>
          </w:tcPr>
          <w:p>
            <w:pPr>
              <w:ind w:left="220"/>
              <w:spacing w:after="0"/>
              <w:rPr>
                <w:sz w:val="20"/>
                <w:szCs w:val="20"/>
                <w:color w:val="auto"/>
              </w:rPr>
            </w:pPr>
            <w:r>
              <w:rPr>
                <w:rFonts w:ascii="Arial" w:cs="Arial" w:eastAsia="Arial" w:hAnsi="Arial"/>
                <w:sz w:val="18"/>
                <w:szCs w:val="18"/>
                <w:color w:val="auto"/>
              </w:rPr>
              <w:t>Tier 1</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$ 215</w:t>
            </w: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$ 223</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92"/>
              <w:spacing w:after="0"/>
              <w:rPr>
                <w:sz w:val="20"/>
                <w:szCs w:val="20"/>
                <w:color w:val="auto"/>
              </w:rPr>
            </w:pPr>
            <w:r>
              <w:rPr>
                <w:rFonts w:ascii="Arial" w:cs="Arial" w:eastAsia="Arial" w:hAnsi="Arial"/>
                <w:sz w:val="18"/>
                <w:szCs w:val="18"/>
                <w:color w:val="auto"/>
              </w:rPr>
              <w:t>(8)</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426</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441</w:t>
            </w:r>
          </w:p>
        </w:tc>
        <w:tc>
          <w:tcPr>
            <w:tcW w:w="560" w:type="dxa"/>
            <w:vAlign w:val="bottom"/>
            <w:gridSpan w:val="2"/>
          </w:tcPr>
          <w:p>
            <w:pPr>
              <w:jc w:val="right"/>
              <w:ind w:right="92"/>
              <w:spacing w:after="0"/>
              <w:rPr>
                <w:sz w:val="20"/>
                <w:szCs w:val="20"/>
                <w:color w:val="auto"/>
              </w:rPr>
            </w:pPr>
            <w:r>
              <w:rPr>
                <w:rFonts w:ascii="Arial" w:cs="Arial" w:eastAsia="Arial" w:hAnsi="Arial"/>
                <w:sz w:val="18"/>
                <w:szCs w:val="18"/>
                <w:color w:val="auto"/>
                <w:w w:val="90"/>
              </w:rPr>
              <w:t>$(15)</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r>
      <w:tr>
        <w:trPr>
          <w:trHeight w:val="216"/>
        </w:trPr>
        <w:tc>
          <w:tcPr>
            <w:tcW w:w="5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Tier 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87"/>
              </w:rPr>
              <w:t>(40)</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619</w:t>
            </w:r>
          </w:p>
        </w:tc>
        <w:tc>
          <w:tcPr>
            <w:tcW w:w="5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(48)</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w:t>
            </w:r>
          </w:p>
        </w:tc>
      </w:tr>
      <w:tr>
        <w:trPr>
          <w:trHeight w:val="216"/>
        </w:trPr>
        <w:tc>
          <w:tcPr>
            <w:tcW w:w="5460" w:type="dxa"/>
            <w:vAlign w:val="bottom"/>
            <w:gridSpan w:val="2"/>
          </w:tcPr>
          <w:p>
            <w:pPr>
              <w:ind w:left="220"/>
              <w:spacing w:after="0"/>
              <w:rPr>
                <w:sz w:val="20"/>
                <w:szCs w:val="20"/>
                <w:color w:val="auto"/>
              </w:rPr>
            </w:pPr>
            <w:r>
              <w:rPr>
                <w:rFonts w:ascii="Arial" w:cs="Arial" w:eastAsia="Arial" w:hAnsi="Arial"/>
                <w:sz w:val="18"/>
                <w:szCs w:val="18"/>
                <w:color w:val="auto"/>
              </w:rPr>
              <w:t>Tier 3</w:t>
            </w:r>
          </w:p>
        </w:tc>
        <w:tc>
          <w:tcPr>
            <w:tcW w:w="420" w:type="dxa"/>
            <w:vAlign w:val="bottom"/>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92"/>
              <w:spacing w:after="0"/>
              <w:rPr>
                <w:sz w:val="20"/>
                <w:szCs w:val="20"/>
                <w:color w:val="auto"/>
              </w:rPr>
            </w:pPr>
            <w:r>
              <w:rPr>
                <w:rFonts w:ascii="Arial" w:cs="Arial" w:eastAsia="Arial" w:hAnsi="Arial"/>
                <w:sz w:val="18"/>
                <w:szCs w:val="18"/>
                <w:color w:val="auto"/>
                <w:w w:val="87"/>
              </w:rPr>
              <w:t>(29)</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273</w:t>
            </w:r>
          </w:p>
        </w:tc>
        <w:tc>
          <w:tcPr>
            <w:tcW w:w="560" w:type="dxa"/>
            <w:vAlign w:val="bottom"/>
            <w:gridSpan w:val="2"/>
          </w:tcPr>
          <w:p>
            <w:pPr>
              <w:jc w:val="right"/>
              <w:ind w:right="92"/>
              <w:spacing w:after="0"/>
              <w:rPr>
                <w:sz w:val="20"/>
                <w:szCs w:val="20"/>
                <w:color w:val="auto"/>
              </w:rPr>
            </w:pPr>
            <w:r>
              <w:rPr>
                <w:rFonts w:ascii="Arial" w:cs="Arial" w:eastAsia="Arial" w:hAnsi="Arial"/>
                <w:sz w:val="18"/>
                <w:szCs w:val="18"/>
                <w:color w:val="auto"/>
              </w:rPr>
              <w:t>(27)</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(9.9)</w:t>
            </w:r>
          </w:p>
        </w:tc>
      </w:tr>
      <w:tr>
        <w:trPr>
          <w:trHeight w:val="27"/>
        </w:trPr>
        <w:tc>
          <w:tcPr>
            <w:tcW w:w="15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54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Solid Waste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87"/>
              </w:rPr>
              <w:t>(77)</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1,333</w:t>
            </w:r>
          </w:p>
        </w:tc>
        <w:tc>
          <w:tcPr>
            <w:tcW w:w="5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(90)</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Wheelabrator</w:t>
            </w: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92"/>
              <w:spacing w:after="0"/>
              <w:rPr>
                <w:sz w:val="20"/>
                <w:szCs w:val="20"/>
                <w:color w:val="auto"/>
              </w:rPr>
            </w:pPr>
            <w:r>
              <w:rPr>
                <w:rFonts w:ascii="Arial" w:cs="Arial" w:eastAsia="Arial" w:hAnsi="Arial"/>
                <w:sz w:val="18"/>
                <w:szCs w:val="18"/>
                <w:color w:val="auto"/>
                <w:w w:val="87"/>
              </w:rPr>
              <w:t>(12)</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54</w:t>
            </w:r>
          </w:p>
        </w:tc>
        <w:tc>
          <w:tcPr>
            <w:tcW w:w="560" w:type="dxa"/>
            <w:vAlign w:val="bottom"/>
            <w:gridSpan w:val="2"/>
          </w:tcPr>
          <w:p>
            <w:pPr>
              <w:jc w:val="right"/>
              <w:ind w:right="92"/>
              <w:spacing w:after="0"/>
              <w:rPr>
                <w:sz w:val="20"/>
                <w:szCs w:val="20"/>
                <w:color w:val="auto"/>
              </w:rPr>
            </w:pPr>
            <w:r>
              <w:rPr>
                <w:rFonts w:ascii="Arial" w:cs="Arial" w:eastAsia="Arial" w:hAnsi="Arial"/>
                <w:sz w:val="18"/>
                <w:szCs w:val="18"/>
                <w:color w:val="auto"/>
              </w:rPr>
              <w:t>(53)</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12</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w:t>
            </w:r>
          </w:p>
        </w:tc>
        <w:tc>
          <w:tcPr>
            <w:tcW w:w="5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7</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c>
          <w:tcPr>
            <w:tcW w:w="460" w:type="dxa"/>
            <w:vAlign w:val="bottom"/>
            <w:gridSpan w:val="2"/>
          </w:tcPr>
          <w:p>
            <w:pPr>
              <w:jc w:val="right"/>
              <w:ind w:right="152"/>
              <w:spacing w:after="0"/>
              <w:rPr>
                <w:sz w:val="20"/>
                <w:szCs w:val="20"/>
                <w:color w:val="auto"/>
              </w:rPr>
            </w:pPr>
            <w:r>
              <w:rPr>
                <w:rFonts w:ascii="Arial" w:cs="Arial" w:eastAsia="Arial" w:hAnsi="Arial"/>
                <w:sz w:val="18"/>
                <w:szCs w:val="18"/>
                <w:color w:val="auto"/>
              </w:rPr>
              <w:t>47</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(339)</w:t>
            </w:r>
          </w:p>
        </w:tc>
        <w:tc>
          <w:tcPr>
            <w:tcW w:w="560" w:type="dxa"/>
            <w:vAlign w:val="bottom"/>
            <w:gridSpan w:val="2"/>
          </w:tcPr>
          <w:p>
            <w:pPr>
              <w:jc w:val="right"/>
              <w:ind w:right="152"/>
              <w:spacing w:after="0"/>
              <w:rPr>
                <w:sz w:val="20"/>
                <w:szCs w:val="20"/>
                <w:color w:val="auto"/>
              </w:rPr>
            </w:pPr>
            <w:r>
              <w:rPr>
                <w:rFonts w:ascii="Arial" w:cs="Arial" w:eastAsia="Arial" w:hAnsi="Arial"/>
                <w:sz w:val="18"/>
                <w:szCs w:val="18"/>
                <w:color w:val="auto"/>
              </w:rPr>
              <w:t>77</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(22.7)</w:t>
            </w:r>
          </w:p>
        </w:tc>
      </w:tr>
      <w:tr>
        <w:trPr>
          <w:trHeight w:val="27"/>
        </w:trPr>
        <w:tc>
          <w:tcPr>
            <w:tcW w:w="15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5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$ 502</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87"/>
              </w:rPr>
              <w:t>(30)</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1,001</w:t>
            </w:r>
          </w:p>
        </w:tc>
        <w:tc>
          <w:tcPr>
            <w:tcW w:w="5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(59)</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r>
      <w:tr>
        <w:trPr>
          <w:trHeight w:val="20"/>
        </w:trPr>
        <w:tc>
          <w:tcPr>
            <w:tcW w:w="15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02"/>
        </w:trPr>
        <w:tc>
          <w:tcPr>
            <w:tcW w:w="1500" w:type="dxa"/>
            <w:vAlign w:val="bottom"/>
            <w:tcBorders>
              <w:bottom w:val="single" w:sz="8" w:color="auto"/>
            </w:tcBorders>
          </w:tcPr>
          <w:p>
            <w:pPr>
              <w:spacing w:after="0"/>
              <w:rPr>
                <w:sz w:val="8"/>
                <w:szCs w:val="8"/>
                <w:color w:val="auto"/>
              </w:rPr>
            </w:pPr>
          </w:p>
        </w:tc>
        <w:tc>
          <w:tcPr>
            <w:tcW w:w="3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Percentage change does not provide a meaningful comparison.</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Solid Waste </w:t>
      </w:r>
      <w:r>
        <w:rPr>
          <w:rFonts w:ascii="Arial" w:cs="Arial" w:eastAsia="Arial" w:hAnsi="Arial"/>
          <w:sz w:val="18"/>
          <w:szCs w:val="18"/>
          <w:color w:val="auto"/>
        </w:rPr>
        <w:t>— The most significant items affecting the results of operations of our Solid Waste business during the three and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2015 as compared with the prior year periods are summarized below:</w:t>
      </w:r>
    </w:p>
    <w:p>
      <w:pPr>
        <w:spacing w:after="0" w:line="51" w:lineRule="exact"/>
        <w:rPr>
          <w:sz w:val="20"/>
          <w:szCs w:val="20"/>
          <w:color w:val="auto"/>
        </w:rPr>
      </w:pPr>
    </w:p>
    <w:p>
      <w:pPr>
        <w:ind w:left="660" w:right="20" w:hanging="206"/>
        <w:spacing w:after="0" w:line="268"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second quarter of 2015, we recognized a $55 million charge associated with withdrawal from certain underfunded multiemployer pension plans in Tiers 2 and 3;</w:t>
      </w:r>
    </w:p>
    <w:p>
      <w:pPr>
        <w:spacing w:after="0" w:line="50" w:lineRule="exact"/>
        <w:rPr>
          <w:rFonts w:ascii="Arial" w:cs="Arial" w:eastAsia="Arial" w:hAnsi="Arial"/>
          <w:sz w:val="18"/>
          <w:szCs w:val="18"/>
          <w:color w:val="auto"/>
        </w:rPr>
      </w:pPr>
    </w:p>
    <w:p>
      <w:pPr>
        <w:jc w:val="both"/>
        <w:ind w:left="660" w:hanging="206"/>
        <w:spacing w:after="0" w:line="298"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Results from our recycling business were unfavorable compared to the prior year periods principally due to (i) lower market prices for recyclable commodities; (ii) lower volumes and (iii) the impairment of various recycling assets. These unfavorable variances were partially offset by reduced costs driven, in part, by (i) increased efforts to reduce controllable recycling rebates paid to customers; (ii) better alignment of rebate structures to commodity prices for new recycling contracts and (iii) ongoing business improvement efforts around inbound quality control;</w:t>
      </w:r>
    </w:p>
    <w:p>
      <w:pPr>
        <w:spacing w:after="0" w:line="31" w:lineRule="exact"/>
        <w:rPr>
          <w:rFonts w:ascii="Arial" w:cs="Arial" w:eastAsia="Arial" w:hAnsi="Arial"/>
          <w:sz w:val="16"/>
          <w:szCs w:val="16"/>
          <w:color w:val="auto"/>
        </w:rPr>
      </w:pPr>
    </w:p>
    <w:p>
      <w:pPr>
        <w:ind w:left="660" w:hanging="206"/>
        <w:spacing w:after="0" w:line="268"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traditional solid waste business, excluding the pension charges discussed above, benefited from internal revenue growth, principally in our collection business, and the impact of lower fuel prices; offset, in part, by</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transfer of certain sales employees included in our Corporate and Other segment in the prior year periods;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unfavorable impact of foreign currency fluctuations, which affects our Canadian operations in Tiers 1 and 3;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reversal of a reserve in the second quarter of 2014 due to a favorable litigation resolution in Tier 1.</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the periods presented we sold certain businesses and assets. Although the resulting net gains and losses were not material, we had a favorable variance in Tier 1 offset by unfavorable variances in Tiers 2 and 3.</w:t>
      </w:r>
    </w:p>
    <w:p>
      <w:pPr>
        <w:spacing w:after="0" w:line="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Significant items affecting the comparability of the remaining components of our results of operations for the three and six month periods ended June 30, 2015 are summarized below:</w:t>
      </w:r>
    </w:p>
    <w:p>
      <w:pPr>
        <w:spacing w:after="0" w:line="51" w:lineRule="exact"/>
        <w:rPr>
          <w:sz w:val="20"/>
          <w:szCs w:val="20"/>
          <w:color w:val="auto"/>
        </w:rPr>
      </w:pPr>
    </w:p>
    <w:p>
      <w:pPr>
        <w:jc w:val="center"/>
        <w:ind w:right="60"/>
        <w:spacing w:after="0" w:line="440" w:lineRule="auto"/>
        <w:rPr>
          <w:sz w:val="20"/>
          <w:szCs w:val="20"/>
          <w:color w:val="auto"/>
        </w:rPr>
      </w:pPr>
      <w:r>
        <w:rPr>
          <w:rFonts w:ascii="Arial" w:cs="Arial" w:eastAsia="Arial" w:hAnsi="Arial"/>
          <w:sz w:val="18"/>
          <w:szCs w:val="18"/>
          <w:i w:val="1"/>
          <w:iCs w:val="1"/>
          <w:color w:val="auto"/>
        </w:rPr>
        <w:t xml:space="preserve">Wheelabrator </w:t>
      </w:r>
      <w:r>
        <w:rPr>
          <w:rFonts w:ascii="Arial" w:cs="Arial" w:eastAsia="Arial" w:hAnsi="Arial"/>
          <w:sz w:val="18"/>
          <w:szCs w:val="18"/>
          <w:color w:val="auto"/>
        </w:rPr>
        <w:t>— Amounts reported in 2015 reflect post-closing adjustments to the gain on the sale of our Wheelabrator business in December 2014.</w:t>
      </w:r>
      <w:r>
        <w:rPr>
          <w:rFonts w:ascii="Arial" w:cs="Arial" w:eastAsia="Arial" w:hAnsi="Arial"/>
          <w:sz w:val="18"/>
          <w:szCs w:val="18"/>
          <w:i w:val="1"/>
          <w:iCs w:val="1"/>
          <w:color w:val="auto"/>
        </w:rPr>
        <w:t xml:space="preserve"> </w:t>
      </w: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48" w:name="page49"/>
    <w:bookmarkEnd w:id="48"/>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Other </w:t>
      </w:r>
      <w:r>
        <w:rPr>
          <w:rFonts w:ascii="Arial" w:cs="Arial" w:eastAsia="Arial" w:hAnsi="Arial"/>
          <w:sz w:val="18"/>
          <w:szCs w:val="18"/>
          <w:color w:val="auto"/>
        </w:rPr>
        <w:t>— The most significant items affecting the comparability of results for the periods presented include:</w:t>
      </w:r>
    </w:p>
    <w:p>
      <w:pPr>
        <w:spacing w:after="0" w:line="90"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Impairment charges incurred in the second quarter of 2014 primarily due to the decision to close a waste processing facility;</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Lower year-to-date results in our renewable energy business due to favorable weather related pricing in the first quarter of 2014 offset, in part, by improved results in the current quarter;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favorable adjustment to accrued contingent consideration recognized in the second quarter of 2014.</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 The most significant items affecting the comparability of expenses for the periods presented include:</w:t>
      </w:r>
    </w:p>
    <w:p>
      <w:pPr>
        <w:spacing w:after="0" w:line="90"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Lower medical costs in the current year driven by lower claims and reduced headcount;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transfer of certain sales employees to our Solid Waste segment that were included in this segment in the prior year periods;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Restructuring savings related to our reorganization in the third quarter of 2014;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Increased risk management costs primarily related to certain higher than anticipated auto and general liability claim settlements in the current quarter.</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Our interest expense, net was $95 million and $199 million during the three and six months ended June 30, 2015, respectively, compared to $115 million and $236 million during the three and six months ended June 30, 2014, respectively. The year-over-year decreases are primarily attributable to the refinancing of a significant portion of our high-coupon senior notes during the first quarter of 2015. As a result of the combination of a make-whole redemption of certain senior notes, cash tender offers to purchase certain senior notes and the issuance of $1.8 billion of new senior notes, we reduced the weighted average interest rate of our senior note portfolio by 1%.</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During the first half of 2015, we refinanced a significant portion of our high-coupon senior notes. As a result of the combination of a make-whole redemption of certain senior notes, cash tender offers to purchase certain senior notes and the issuance of $1.8 billion of new senior notes, we reduced the weighted average interest rate of our senior note portfolio by 1% and extended the weighted average duration of these debt obligations by three years. Additional details related to each component of the refinancing follow:</w:t>
      </w:r>
    </w:p>
    <w:p>
      <w:pPr>
        <w:spacing w:after="0" w:line="62" w:lineRule="exact"/>
        <w:rPr>
          <w:sz w:val="20"/>
          <w:szCs w:val="20"/>
          <w:color w:val="auto"/>
        </w:rPr>
      </w:pPr>
    </w:p>
    <w:p>
      <w:pPr>
        <w:jc w:val="both"/>
        <w:ind w:left="460"/>
        <w:spacing w:after="0" w:line="298" w:lineRule="auto"/>
        <w:rPr>
          <w:sz w:val="20"/>
          <w:szCs w:val="20"/>
          <w:color w:val="auto"/>
        </w:rPr>
      </w:pPr>
      <w:r>
        <w:rPr>
          <w:rFonts w:ascii="Arial" w:cs="Arial" w:eastAsia="Arial" w:hAnsi="Arial"/>
          <w:sz w:val="16"/>
          <w:szCs w:val="16"/>
          <w:i w:val="1"/>
          <w:iCs w:val="1"/>
          <w:color w:val="auto"/>
        </w:rPr>
        <w:t xml:space="preserve">Make-Whole Redemption </w:t>
      </w:r>
      <w:r>
        <w:rPr>
          <w:rFonts w:ascii="Arial" w:cs="Arial" w:eastAsia="Arial" w:hAnsi="Arial"/>
          <w:sz w:val="16"/>
          <w:szCs w:val="16"/>
          <w:color w:val="auto"/>
        </w:rPr>
        <w:t>— In January 2015, we repaid $947 million of WM senior notes, which comprised all of the outstanding senior notes maturing in</w:t>
      </w:r>
      <w:r>
        <w:rPr>
          <w:rFonts w:ascii="Arial" w:cs="Arial" w:eastAsia="Arial" w:hAnsi="Arial"/>
          <w:sz w:val="16"/>
          <w:szCs w:val="16"/>
          <w:i w:val="1"/>
          <w:iCs w:val="1"/>
          <w:color w:val="auto"/>
        </w:rPr>
        <w:t xml:space="preserve"> </w:t>
      </w:r>
      <w:r>
        <w:rPr>
          <w:rFonts w:ascii="Arial" w:cs="Arial" w:eastAsia="Arial" w:hAnsi="Arial"/>
          <w:sz w:val="16"/>
          <w:szCs w:val="16"/>
          <w:color w:val="auto"/>
        </w:rPr>
        <w:t>2015, 2017 and 2019. The repayment of these debt balances was achieved by exercising the optional redemption provisions of the notes, which required that we pay the outstanding principal plus a make-whole premium. “Loss on early extinguishment of debt” in our Condensed Consolidated Statement of Operations includes charges of $122 million related to these redemptions for the six months ended June 30, 2015.</w:t>
      </w:r>
    </w:p>
    <w:p>
      <w:pPr>
        <w:spacing w:after="0" w:line="32" w:lineRule="exact"/>
        <w:rPr>
          <w:sz w:val="20"/>
          <w:szCs w:val="20"/>
          <w:color w:val="auto"/>
        </w:rPr>
      </w:pPr>
    </w:p>
    <w:p>
      <w:pPr>
        <w:jc w:val="both"/>
        <w:ind w:left="460"/>
        <w:spacing w:after="0" w:line="332" w:lineRule="auto"/>
        <w:rPr>
          <w:sz w:val="20"/>
          <w:szCs w:val="20"/>
          <w:color w:val="auto"/>
        </w:rPr>
      </w:pPr>
      <w:r>
        <w:rPr>
          <w:rFonts w:ascii="Arial" w:cs="Arial" w:eastAsia="Arial" w:hAnsi="Arial"/>
          <w:sz w:val="16"/>
          <w:szCs w:val="16"/>
          <w:i w:val="1"/>
          <w:iCs w:val="1"/>
          <w:color w:val="auto"/>
        </w:rPr>
        <w:t xml:space="preserve">Tender Offers </w:t>
      </w:r>
      <w:r>
        <w:rPr>
          <w:rFonts w:ascii="Arial" w:cs="Arial" w:eastAsia="Arial" w:hAnsi="Arial"/>
          <w:sz w:val="16"/>
          <w:szCs w:val="16"/>
          <w:color w:val="auto"/>
        </w:rPr>
        <w:t>— During the six months ended June 30, 2015, WM and WM Holdings made cash tender offers to purchase any and all of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senior notes. The series of notes targeted in the tenders and the amounts tendered of each series are summarized below:</w:t>
      </w:r>
    </w:p>
    <w:p>
      <w:pPr>
        <w:spacing w:after="0" w:line="4" w:lineRule="exact"/>
        <w:rPr>
          <w:sz w:val="20"/>
          <w:szCs w:val="20"/>
          <w:color w:val="auto"/>
        </w:rPr>
      </w:pPr>
    </w:p>
    <w:p>
      <w:pPr>
        <w:ind w:left="900" w:hanging="217"/>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$449 million of WM Holdings 7.10% senior notes due 2026, of which $145 million were tendered;</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$577 million of WM 7.00% senior notes due 2028, of which $182 million were tendered;</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$223 million of WM 7.375% senior notes due 2029, of which $84 million were tendered;</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$496 million of WM 7.75% senior notes due 2032, of which $286 million were tendered; and</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$600 million of WM 6.125% senior notes due 2039, of which $326 million were tendered.</w:t>
      </w:r>
    </w:p>
    <w:p>
      <w:pPr>
        <w:spacing w:after="0" w:line="90"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“Loss on early extinguishment of debt” in our Condensed Consolidated Statement of Operations includes charges of $430 million related to these tender offers for the six months ended June 30, 2015.</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49" w:name="page50"/>
    <w:bookmarkEnd w:id="49"/>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Equity in Net Losses of Unconsolidated Entities</w:t>
      </w:r>
    </w:p>
    <w:p>
      <w:pPr>
        <w:spacing w:after="0" w:line="90"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 xml:space="preserve">We recognized “Equity in net losses of unconsolidated entities” of $15 million and $23 million during the three and six months ended June 30, 2015, respectively, compared with $13 million and $22 million during the three and six months ended June 30, 2014, respectively. These losses are primarily related to our noncontrolling interests in two limited liability companies established to invest in and manage low-income housing properties and a refined coal facility, as well as (i) noncontrolling investments made to support our strategic initiatives and (ii) unconsolidated trusts for final capping, closure, post-closure or environmental obligations. The tax impacts realized as a result of our investments in low-income housing properties and the refined coal facility are discussed below in </w:t>
      </w:r>
      <w:r>
        <w:rPr>
          <w:rFonts w:ascii="Arial" w:cs="Arial" w:eastAsia="Arial" w:hAnsi="Arial"/>
          <w:sz w:val="18"/>
          <w:szCs w:val="18"/>
          <w:i w:val="1"/>
          <w:iCs w:val="1"/>
          <w:color w:val="auto"/>
        </w:rPr>
        <w:t>Provision for Income Taxes.</w:t>
      </w:r>
      <w:r>
        <w:rPr>
          <w:rFonts w:ascii="Arial" w:cs="Arial" w:eastAsia="Arial" w:hAnsi="Arial"/>
          <w:sz w:val="18"/>
          <w:szCs w:val="18"/>
          <w:color w:val="auto"/>
        </w:rPr>
        <w:t xml:space="preserve"> Refer to Notes 5 and 14 to the Condensed Consolidated Financial Statements for more information related to these investments.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recorded a provision for income taxes of $116 million during the second quarter of 2015, representing an effective income tax rate of 29.6%, compared with a provision for income taxes of $180 million during the second quarter of 2014, representing an effective income tax rate of 44.7%. Our effective income tax rate for the first half of 2015 was 14.5% compared with 37.8% for the first half of 2014.</w:t>
      </w:r>
    </w:p>
    <w:p>
      <w:pPr>
        <w:spacing w:after="0" w:line="59"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Our provision for income taxes during the second quarter of 2015 was favorably impacted by federal tax credits, revaluation of our deferred taxes and utilization of state net operating losses resulting from changes in state law and the tax implications of nontaxable post-closing adjustments related to the 2014 divestiture of our Wheelabrator business. Our provision for income taxes during the second quarter of 2014 was unfavorably impacted by the divestiture of our Puerto Rico operations and certain other collection and landfill assets. No tax benefit was recorded in connection with the $25 million loss incurred. In addition, we incurred $32 million of tax charges to repatriate accumulated cash prior to the divestment.</w:t>
      </w:r>
    </w:p>
    <w:p>
      <w:pPr>
        <w:spacing w:after="0" w:line="3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investments in low-income housing properties and the refined coal facility reduced our provision for income taxes by $13 million and $24 million for the three and six months ended June 30, 2015, respectively, and by $14 million and $25 million for the three and six months ended June 30, 2014, respectively. Refer to Note 5 to the Condensed Consolidated Financial Statements for more information related to these investments.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Net loss attributable to noncontrolling interests was $1 million and $3 million for the three and six months ended June 30, 2015, respectively, and net income attributable to noncontrolling interests was $12 million and $21 million for the three and six months ended June 30, 2014, respectively. The income for the three and six months ended June 30, 2014 was principally related to third parties’ equity interests in two limited liability companies (“LLCs”) that owned three waste-to-energy facilities operated by our Wheelabrator business. In December 2014, we purchased the noncontrolling interests in the LLCs from the third parties in anticipation of our sale of the Wheelabrator business. The LLCs were then subsequently sold as part of the divestment of our Wheelabrator business. Refer to Notes 9 and 14 to the Condensed Consolidated Financial Statements for information related to the sale of our Wheelabrator business and the consolidation of these variable interest entities, respectively.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0"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Liquidity and Capital Resources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Cash and Cash Equivalents, Restricted Trust and Escrow Accounts and Debt Obligations</w:t>
      </w:r>
    </w:p>
    <w:p>
      <w:pPr>
        <w:spacing w:after="0" w:line="9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following is a summary of our cash and cash equivalents, restricted trust and escrow accounts and debt balances at each balance sheet date (in millions):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5"/>
              </w:rPr>
              <w:t>June 30,</w:t>
            </w:r>
          </w:p>
        </w:tc>
        <w:tc>
          <w:tcPr>
            <w:tcW w:w="7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8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2015</w:t>
            </w:r>
          </w:p>
        </w:tc>
        <w:tc>
          <w:tcPr>
            <w:tcW w:w="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7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color w:val="auto"/>
              </w:rPr>
              <w:t>Restricted trust and escrow accounts:</w:t>
            </w: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Final capping, closure, post-closure and environmental remediation funds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9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Tax-exempt bond funds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20" w:type="dxa"/>
            <w:vAlign w:val="bottom"/>
          </w:tcPr>
          <w:p>
            <w:pPr>
              <w:ind w:left="440"/>
              <w:spacing w:after="0"/>
              <w:rPr>
                <w:sz w:val="20"/>
                <w:szCs w:val="20"/>
                <w:color w:val="auto"/>
              </w:rPr>
            </w:pPr>
            <w:r>
              <w:rPr>
                <w:rFonts w:ascii="Arial" w:cs="Arial" w:eastAsia="Arial" w:hAnsi="Arial"/>
                <w:sz w:val="18"/>
                <w:szCs w:val="18"/>
                <w:color w:val="auto"/>
              </w:rPr>
              <w:t>Total restricted trust and escrow accounts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102</w:t>
            </w:r>
          </w:p>
        </w:tc>
        <w:tc>
          <w:tcPr>
            <w:tcW w:w="9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Current portion</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196</w:t>
            </w:r>
          </w:p>
        </w:tc>
        <w:tc>
          <w:tcPr>
            <w:tcW w:w="9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portion</w:t>
            </w: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8,910</w:t>
            </w:r>
          </w:p>
        </w:tc>
        <w:tc>
          <w:tcPr>
            <w:tcW w:w="7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20" w:type="dxa"/>
            <w:vAlign w:val="bottom"/>
          </w:tcPr>
          <w:p>
            <w:pPr>
              <w:ind w:left="440"/>
              <w:spacing w:after="0"/>
              <w:rPr>
                <w:sz w:val="20"/>
                <w:szCs w:val="20"/>
                <w:color w:val="auto"/>
              </w:rPr>
            </w:pPr>
            <w:r>
              <w:rPr>
                <w:rFonts w:ascii="Arial" w:cs="Arial" w:eastAsia="Arial" w:hAnsi="Arial"/>
                <w:sz w:val="18"/>
                <w:szCs w:val="18"/>
                <w:color w:val="auto"/>
              </w:rPr>
              <w:t>Total debt</w:t>
            </w: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9,106</w:t>
            </w:r>
          </w:p>
        </w:tc>
        <w:tc>
          <w:tcPr>
            <w:tcW w:w="9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Increase in carrying value of debt due to hedge accounting for interest rate swaps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9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Cash and cash equivalents at December 31, 2014, included a portion of the $1.95 billion of proceeds from the divestiture of</w:t>
      </w:r>
      <w:r>
        <w:rPr>
          <w:rFonts w:ascii="Arial" w:cs="Arial" w:eastAsia="Arial" w:hAnsi="Arial"/>
          <w:sz w:val="18"/>
          <w:szCs w:val="18"/>
          <w:i w:val="1"/>
          <w:iCs w:val="1"/>
          <w:color w:val="auto"/>
        </w:rPr>
        <w:t xml:space="preserve"> </w:t>
      </w:r>
      <w:r>
        <w:rPr>
          <w:rFonts w:ascii="Arial" w:cs="Arial" w:eastAsia="Arial" w:hAnsi="Arial"/>
          <w:sz w:val="18"/>
          <w:szCs w:val="18"/>
          <w:color w:val="auto"/>
        </w:rPr>
        <w:t>our Wheelabrator business in December 2014. The decrease from December 31, 2014 to June 30, 2015 is primarily related to the use of available cash to pay premiums on the early extinguishment of debt and the acquisition of Deffenbaugh, discussed further in Notes 3 and 9, respectively, to the Condensed Consolidated Financial Statements.</w:t>
      </w:r>
    </w:p>
    <w:p>
      <w:pPr>
        <w:spacing w:after="0" w:line="6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Restricted trust and escrow accounts </w:t>
      </w:r>
      <w:r>
        <w:rPr>
          <w:rFonts w:ascii="Arial" w:cs="Arial" w:eastAsia="Arial" w:hAnsi="Arial"/>
          <w:sz w:val="16"/>
          <w:szCs w:val="16"/>
          <w:color w:val="auto"/>
        </w:rPr>
        <w:t>— The decrease in final capping, closure, post-closure and environmental remediation funds from December 31, 2014</w:t>
      </w:r>
      <w:r>
        <w:rPr>
          <w:rFonts w:ascii="Arial" w:cs="Arial" w:eastAsia="Arial" w:hAnsi="Arial"/>
          <w:sz w:val="16"/>
          <w:szCs w:val="16"/>
          <w:i w:val="1"/>
          <w:iCs w:val="1"/>
          <w:color w:val="auto"/>
        </w:rPr>
        <w:t xml:space="preserve"> </w:t>
      </w:r>
      <w:r>
        <w:rPr>
          <w:rFonts w:ascii="Arial" w:cs="Arial" w:eastAsia="Arial" w:hAnsi="Arial"/>
          <w:sz w:val="16"/>
          <w:szCs w:val="16"/>
          <w:color w:val="auto"/>
        </w:rPr>
        <w:t>to June 30, 2015 is primarily due to the closure of certain trust and escrow accounts which were converted to other forms of financial assurance. Other restricted trust and escrow accounts at December 31, 2014 included the funding of a legal settlement which was paid in full in the second quarter of 2015.</w:t>
      </w:r>
    </w:p>
    <w:p>
      <w:pPr>
        <w:spacing w:after="0" w:line="2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Debt </w:t>
      </w:r>
      <w:r>
        <w:rPr>
          <w:rFonts w:ascii="Arial" w:cs="Arial" w:eastAsia="Arial" w:hAnsi="Arial"/>
          <w:sz w:val="16"/>
          <w:szCs w:val="16"/>
          <w:color w:val="auto"/>
        </w:rPr>
        <w:t>— During the first half of 2015, we elected to refinance a significant portion of our high-coupon senior notes in order to reduce the weighted average</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rate and extend the weighted average duration of our debt balances. We achieved this with a combination of a make-whole redemption of certain senior notes, cash tender offers to purchase certain senior notes and the issuance of $1.8 billion of new senior notes consisting of:</w:t>
      </w:r>
    </w:p>
    <w:p>
      <w:pPr>
        <w:spacing w:after="0" w:line="26" w:lineRule="exact"/>
        <w:rPr>
          <w:sz w:val="20"/>
          <w:szCs w:val="20"/>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$600 million of 3.125% senior notes due March 1, 2025;</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$450 million of 3.90% senior notes due March 1, 2035;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$750 million of 4.10% senior notes due March 1, 2045.</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net proceeds from these debt issuances were $1.78 billion. The Company used the proceeds from the 2025 notes for general corporate purposes. The proceeds from the 2035 notes and the 2045 notes were used to pay the purchase price and accrued interest for the notes redeemed through the tender offers discussed above and for general corporate purposes. See Note 3 to the Condensed Consolidated Financial Statements for more information related to the debt transactions.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July 2015, we amended and restated our $2.25 billion revolving credit facility, extending the term through July 2020.</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4" w:right="239" w:bottom="1440" w:gutter="0" w:footer="0" w:header="0"/>
        </w:sectPr>
      </w:pPr>
    </w:p>
    <w:bookmarkStart w:id="51" w:name="page52"/>
    <w:bookmarkEnd w:id="51"/>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Summary of Cash Flow Activity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cash flows for the six months ended June 30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4"/>
          </w:tcPr>
          <w:p>
            <w:pPr>
              <w:jc w:val="center"/>
              <w:ind w:left="262"/>
              <w:spacing w:after="0"/>
              <w:rPr>
                <w:sz w:val="20"/>
                <w:szCs w:val="20"/>
                <w:color w:val="auto"/>
              </w:rPr>
            </w:pPr>
            <w:r>
              <w:rPr>
                <w:rFonts w:ascii="Arial" w:cs="Arial" w:eastAsia="Arial" w:hAnsi="Arial"/>
                <w:sz w:val="14"/>
                <w:szCs w:val="14"/>
                <w:b w:val="1"/>
                <w:bCs w:val="1"/>
                <w:color w:val="auto"/>
                <w:w w:val="88"/>
              </w:rPr>
              <w:t>Six Months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8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left="362"/>
              <w:spacing w:after="0"/>
              <w:rPr>
                <w:sz w:val="20"/>
                <w:szCs w:val="20"/>
                <w:color w:val="auto"/>
              </w:rPr>
            </w:pPr>
            <w:r>
              <w:rPr>
                <w:rFonts w:ascii="Arial" w:cs="Arial" w:eastAsia="Arial" w:hAnsi="Arial"/>
                <w:sz w:val="14"/>
                <w:szCs w:val="14"/>
                <w:b w:val="1"/>
                <w:bCs w:val="1"/>
                <w:color w:val="auto"/>
                <w:w w:val="85"/>
              </w:rPr>
              <w:t>June 30,</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60" w:type="dxa"/>
            <w:vAlign w:val="bottom"/>
            <w:tcBorders>
              <w:bottom w:val="single" w:sz="8" w:color="CCEEFF"/>
            </w:tcBorders>
          </w:tcPr>
          <w:p>
            <w:pPr>
              <w:spacing w:after="0"/>
              <w:rPr>
                <w:sz w:val="12"/>
                <w:szCs w:val="12"/>
                <w:color w:val="auto"/>
              </w:rPr>
            </w:pPr>
          </w:p>
        </w:tc>
        <w:tc>
          <w:tcPr>
            <w:tcW w:w="29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96"/>
              </w:rPr>
              <w:t>2015</w:t>
            </w:r>
          </w:p>
        </w:tc>
        <w:tc>
          <w:tcPr>
            <w:tcW w:w="5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29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1,315</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2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60" w:type="dxa"/>
            <w:vAlign w:val="bottom"/>
            <w:vMerge w:val="continue"/>
          </w:tcPr>
          <w:p>
            <w:pPr>
              <w:spacing w:after="0"/>
              <w:rPr>
                <w:sz w:val="18"/>
                <w:szCs w:val="18"/>
                <w:color w:val="auto"/>
              </w:rPr>
            </w:pP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72"/>
              <w:spacing w:after="0"/>
              <w:rPr>
                <w:sz w:val="20"/>
                <w:szCs w:val="20"/>
                <w:color w:val="auto"/>
              </w:rPr>
            </w:pPr>
            <w:r>
              <w:rPr>
                <w:rFonts w:ascii="Arial" w:cs="Arial" w:eastAsia="Arial" w:hAnsi="Arial"/>
                <w:sz w:val="18"/>
                <w:szCs w:val="18"/>
                <w:color w:val="auto"/>
              </w:rPr>
              <w:t>(879)</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87"/>
              </w:rPr>
              <w:t>(1,469)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Net Cash Provided by Operating Activities </w:t>
      </w:r>
      <w:r>
        <w:rPr>
          <w:rFonts w:ascii="Arial" w:cs="Arial" w:eastAsia="Arial" w:hAnsi="Arial"/>
          <w:sz w:val="16"/>
          <w:szCs w:val="16"/>
          <w:color w:val="auto"/>
        </w:rPr>
        <w:t>— The most significant items affecting the comparison of our operating cash flows for the six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2015 as compared with the six months ended June 30, 2014 are summarized below:</w:t>
      </w:r>
    </w:p>
    <w:p>
      <w:pPr>
        <w:spacing w:after="0" w:line="84" w:lineRule="exact"/>
        <w:rPr>
          <w:sz w:val="20"/>
          <w:szCs w:val="20"/>
          <w:color w:val="auto"/>
        </w:rPr>
      </w:pPr>
    </w:p>
    <w:p>
      <w:pPr>
        <w:jc w:val="both"/>
        <w:ind w:left="660" w:hanging="206"/>
        <w:spacing w:after="0" w:line="298"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Decrease in earnings </w:t>
      </w:r>
      <w:r>
        <w:rPr>
          <w:rFonts w:ascii="Arial" w:cs="Arial" w:eastAsia="Arial" w:hAnsi="Arial"/>
          <w:sz w:val="16"/>
          <w:szCs w:val="16"/>
          <w:color w:val="auto"/>
        </w:rPr>
        <w:t>— Our income from operations, excluding depreciation and amortization, decreased by $101 million on a year-over-year basis,</w:t>
      </w:r>
      <w:r>
        <w:rPr>
          <w:rFonts w:ascii="Arial" w:cs="Arial" w:eastAsia="Arial" w:hAnsi="Arial"/>
          <w:sz w:val="16"/>
          <w:szCs w:val="16"/>
          <w:i w:val="1"/>
          <w:iCs w:val="1"/>
          <w:color w:val="auto"/>
        </w:rPr>
        <w:t xml:space="preserve"> </w:t>
      </w:r>
      <w:r>
        <w:rPr>
          <w:rFonts w:ascii="Arial" w:cs="Arial" w:eastAsia="Arial" w:hAnsi="Arial"/>
          <w:sz w:val="16"/>
          <w:szCs w:val="16"/>
          <w:color w:val="auto"/>
        </w:rPr>
        <w:t>predominantly driven by the sale of our Wheelabrator business in December 2014, which has been offset in part by growth in our core business. However, our 2015 results also include the recognition of a $55 million charge associated with the withdrawal from certain underfunded multiemployer pension plans, which had no impact on our 2015 year-to-date cash provided by operating activities.</w:t>
      </w:r>
    </w:p>
    <w:p>
      <w:pPr>
        <w:spacing w:after="0" w:line="31" w:lineRule="exact"/>
        <w:rPr>
          <w:rFonts w:ascii="Arial" w:cs="Arial" w:eastAsia="Arial" w:hAnsi="Arial"/>
          <w:sz w:val="16"/>
          <w:szCs w:val="16"/>
          <w:color w:val="auto"/>
        </w:rPr>
      </w:pPr>
    </w:p>
    <w:p>
      <w:pPr>
        <w:jc w:val="both"/>
        <w:ind w:left="660" w:hanging="206"/>
        <w:spacing w:after="0" w:line="306"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Decrease in tax payments </w:t>
      </w:r>
      <w:r>
        <w:rPr>
          <w:rFonts w:ascii="Arial" w:cs="Arial" w:eastAsia="Arial" w:hAnsi="Arial"/>
          <w:sz w:val="16"/>
          <w:szCs w:val="16"/>
          <w:color w:val="auto"/>
        </w:rPr>
        <w:t>— Cash paid for income taxes, net of excess tax benefits associated with equity-based transactions, was approximately $212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lower on a year-over-year basis, largely driven by (i) lower year-over-year pre-tax earnings primarily associated with the loss on early extinguishment of debt in the first quarter of 2015 and (ii) an anticipated overpayment of taxes in 2014.</w:t>
      </w:r>
    </w:p>
    <w:p>
      <w:pPr>
        <w:spacing w:after="0" w:line="25" w:lineRule="exact"/>
        <w:rPr>
          <w:rFonts w:ascii="Arial" w:cs="Arial" w:eastAsia="Arial" w:hAnsi="Arial"/>
          <w:sz w:val="16"/>
          <w:szCs w:val="16"/>
          <w:color w:val="auto"/>
        </w:rPr>
      </w:pPr>
    </w:p>
    <w:p>
      <w:pPr>
        <w:jc w:val="both"/>
        <w:ind w:left="660" w:hanging="206"/>
        <w:spacing w:after="0" w:line="306"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Increase in bonus payments </w:t>
      </w:r>
      <w:r>
        <w:rPr>
          <w:rFonts w:ascii="Arial" w:cs="Arial" w:eastAsia="Arial" w:hAnsi="Arial"/>
          <w:sz w:val="16"/>
          <w:szCs w:val="16"/>
          <w:color w:val="auto"/>
        </w:rPr>
        <w:t>— Payments for our annual incentive plans are typically paid in the first quarter of the year based on prior year</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Our cash flow from operations were unfavorably impacted by approximately $65 million on a year-over-year basis, as the annual incentive plan payments made in the first quarter of 2015 were significantly higher than payments made in the first quarter of 2014.</w:t>
      </w:r>
    </w:p>
    <w:p>
      <w:pPr>
        <w:spacing w:after="0" w:line="25" w:lineRule="exact"/>
        <w:rPr>
          <w:rFonts w:ascii="Arial" w:cs="Arial" w:eastAsia="Arial" w:hAnsi="Arial"/>
          <w:sz w:val="16"/>
          <w:szCs w:val="16"/>
          <w:color w:val="auto"/>
        </w:rPr>
      </w:pPr>
    </w:p>
    <w:p>
      <w:pPr>
        <w:jc w:val="both"/>
        <w:ind w:left="660" w:hanging="206"/>
        <w:spacing w:after="0" w:line="306"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Forward-starting swaps </w:t>
      </w:r>
      <w:r>
        <w:rPr>
          <w:rFonts w:ascii="Arial" w:cs="Arial" w:eastAsia="Arial" w:hAnsi="Arial"/>
          <w:sz w:val="16"/>
          <w:szCs w:val="16"/>
          <w:color w:val="auto"/>
        </w:rPr>
        <w:t>— During the first quarter of 2014, the forward-starting interest rate swaps associated with the anticipated issuance of senior</w:t>
      </w:r>
      <w:r>
        <w:rPr>
          <w:rFonts w:ascii="Arial" w:cs="Arial" w:eastAsia="Arial" w:hAnsi="Arial"/>
          <w:sz w:val="16"/>
          <w:szCs w:val="16"/>
          <w:i w:val="1"/>
          <w:iCs w:val="1"/>
          <w:color w:val="auto"/>
        </w:rPr>
        <w:t xml:space="preserve"> </w:t>
      </w:r>
      <w:r>
        <w:rPr>
          <w:rFonts w:ascii="Arial" w:cs="Arial" w:eastAsia="Arial" w:hAnsi="Arial"/>
          <w:sz w:val="16"/>
          <w:szCs w:val="16"/>
          <w:color w:val="auto"/>
        </w:rPr>
        <w:t>notes in 2014 matured, and we paid cash of $36 million to settle the liabilities related to the swaps. This cash payment was classified as a change in “Accounts payable and accrued liabilities” within “Net cash provided by operating activities” in the Condensed Consolidated Statement of Cash Flows.</w:t>
      </w:r>
    </w:p>
    <w:p>
      <w:pPr>
        <w:spacing w:after="0" w:line="25" w:lineRule="exact"/>
        <w:rPr>
          <w:rFonts w:ascii="Arial" w:cs="Arial" w:eastAsia="Arial" w:hAnsi="Arial"/>
          <w:sz w:val="16"/>
          <w:szCs w:val="16"/>
          <w:color w:val="auto"/>
        </w:rPr>
      </w:pPr>
    </w:p>
    <w:p>
      <w:pPr>
        <w:jc w:val="both"/>
        <w:ind w:left="660" w:hanging="206"/>
        <w:spacing w:after="0" w:line="259"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Decrease in interest payments </w:t>
      </w:r>
      <w:r>
        <w:rPr>
          <w:rFonts w:ascii="Arial" w:cs="Arial" w:eastAsia="Arial" w:hAnsi="Arial"/>
          <w:sz w:val="18"/>
          <w:szCs w:val="18"/>
          <w:color w:val="auto"/>
        </w:rPr>
        <w:t>— Cash paid for interest decreased $34 million primarily related to the timing of interest payments on new senior notes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in the first quarter of 2015 to refinance a significant portion of our high-coupon senior notes, as discussed further in Note 3 to the Condensed Consolidated Financial Statements.</w:t>
      </w:r>
    </w:p>
    <w:p>
      <w:pPr>
        <w:spacing w:after="0" w:line="59" w:lineRule="exact"/>
        <w:rPr>
          <w:rFonts w:ascii="Arial" w:cs="Arial" w:eastAsia="Arial" w:hAnsi="Arial"/>
          <w:sz w:val="18"/>
          <w:szCs w:val="18"/>
          <w:color w:val="auto"/>
        </w:rPr>
      </w:pPr>
    </w:p>
    <w:p>
      <w:pPr>
        <w:jc w:val="both"/>
        <w:ind w:left="660" w:hanging="206"/>
        <w:spacing w:after="0" w:line="255"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Changes in assets and liabilities, net of effects from business acquisitions and divestitures — </w:t>
      </w:r>
      <w:r>
        <w:rPr>
          <w:rFonts w:ascii="Arial" w:cs="Arial" w:eastAsia="Arial" w:hAnsi="Arial"/>
          <w:sz w:val="18"/>
          <w:szCs w:val="18"/>
          <w:color w:val="auto"/>
        </w:rPr>
        <w:t>Our cash flow from operations was favorably impacted on</w:t>
      </w:r>
      <w:r>
        <w:rPr>
          <w:rFonts w:ascii="Arial" w:cs="Arial" w:eastAsia="Arial" w:hAnsi="Arial"/>
          <w:sz w:val="18"/>
          <w:szCs w:val="18"/>
          <w:i w:val="1"/>
          <w:iCs w:val="1"/>
          <w:color w:val="auto"/>
        </w:rPr>
        <w:t xml:space="preserve"> </w:t>
      </w:r>
      <w:r>
        <w:rPr>
          <w:rFonts w:ascii="Arial" w:cs="Arial" w:eastAsia="Arial" w:hAnsi="Arial"/>
          <w:sz w:val="18"/>
          <w:szCs w:val="18"/>
          <w:color w:val="auto"/>
        </w:rPr>
        <w:t>a year-over-year basis by changes in our assets and liabilities accounts, excluding the accrual of the multiemployer pension adjustment discussed above. Although the changes in our assets and liabilities may vary from year-to-year, they are typically driven by changes in accounts receivable, which are affected by both revenue changes and timing of payments received, and accounts payable changes, which are affected by both cost changes and timing of payments.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52" w:name="page53"/>
    <w:bookmarkEnd w:id="52"/>
    <w:p>
      <w:pPr>
        <w:ind w:firstLine="456"/>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Net Cash Used in Investing Activities </w:t>
      </w:r>
      <w:r>
        <w:rPr>
          <w:rFonts w:ascii="Arial" w:cs="Arial" w:eastAsia="Arial" w:hAnsi="Arial"/>
          <w:sz w:val="18"/>
          <w:szCs w:val="18"/>
          <w:color w:val="auto"/>
        </w:rPr>
        <w:t>— The most significant items included in our investing cash flows for the six-month periods ended June 30, 2015 and</w:t>
      </w:r>
      <w:r>
        <w:rPr>
          <w:rFonts w:ascii="Arial" w:cs="Arial" w:eastAsia="Arial" w:hAnsi="Arial"/>
          <w:sz w:val="18"/>
          <w:szCs w:val="18"/>
          <w:i w:val="1"/>
          <w:iCs w:val="1"/>
          <w:color w:val="auto"/>
        </w:rPr>
        <w:t xml:space="preserve"> </w:t>
      </w:r>
      <w:r>
        <w:rPr>
          <w:rFonts w:ascii="Arial" w:cs="Arial" w:eastAsia="Arial" w:hAnsi="Arial"/>
          <w:sz w:val="18"/>
          <w:szCs w:val="18"/>
          <w:color w:val="auto"/>
        </w:rPr>
        <w:t>2014 are summarized below:</w:t>
      </w:r>
    </w:p>
    <w:p>
      <w:pPr>
        <w:spacing w:after="0" w:line="51" w:lineRule="exact"/>
        <w:rPr>
          <w:sz w:val="20"/>
          <w:szCs w:val="20"/>
          <w:color w:val="auto"/>
        </w:rPr>
      </w:pPr>
    </w:p>
    <w:p>
      <w:pPr>
        <w:ind w:left="660" w:right="20" w:hanging="206"/>
        <w:spacing w:after="0" w:line="268"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Capital expenditures — </w:t>
      </w:r>
      <w:r>
        <w:rPr>
          <w:rFonts w:ascii="Arial" w:cs="Arial" w:eastAsia="Arial" w:hAnsi="Arial"/>
          <w:sz w:val="18"/>
          <w:szCs w:val="18"/>
          <w:color w:val="auto"/>
        </w:rPr>
        <w:t>We used $529 million and $474 million during the six months ended June 30, 2015 and 2014, respectively, for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w:t>
      </w:r>
    </w:p>
    <w:p>
      <w:pPr>
        <w:spacing w:after="0" w:line="50" w:lineRule="exact"/>
        <w:rPr>
          <w:rFonts w:ascii="Arial" w:cs="Arial" w:eastAsia="Arial" w:hAnsi="Arial"/>
          <w:sz w:val="18"/>
          <w:szCs w:val="18"/>
          <w:color w:val="auto"/>
        </w:rPr>
      </w:pPr>
    </w:p>
    <w:p>
      <w:pPr>
        <w:jc w:val="both"/>
        <w:ind w:left="660" w:hanging="206"/>
        <w:spacing w:after="0" w:line="259"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Acquisitions — </w:t>
      </w:r>
      <w:r>
        <w:rPr>
          <w:rFonts w:ascii="Arial" w:cs="Arial" w:eastAsia="Arial" w:hAnsi="Arial"/>
          <w:sz w:val="18"/>
          <w:szCs w:val="18"/>
          <w:color w:val="auto"/>
        </w:rPr>
        <w:t>Our spending on acquisitions was $454 million during the six months ended June 30, 2015 compared with $26 million during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2014. In 2015, our acquisitions consisted principally of the collection and disposal operations of Deffenbaugh, which is discussed in Note 9 to the Condensed Consolidated Financial Statements.</w:t>
      </w:r>
    </w:p>
    <w:p>
      <w:pPr>
        <w:spacing w:after="0" w:line="59" w:lineRule="exact"/>
        <w:rPr>
          <w:rFonts w:ascii="Arial" w:cs="Arial" w:eastAsia="Arial" w:hAnsi="Arial"/>
          <w:sz w:val="18"/>
          <w:szCs w:val="18"/>
          <w:color w:val="auto"/>
        </w:rPr>
      </w:pPr>
    </w:p>
    <w:p>
      <w:pPr>
        <w:jc w:val="both"/>
        <w:ind w:left="660" w:hanging="206"/>
        <w:spacing w:after="0" w:line="298"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Divestitures </w:t>
      </w:r>
      <w:r>
        <w:rPr>
          <w:rFonts w:ascii="Arial" w:cs="Arial" w:eastAsia="Arial" w:hAnsi="Arial"/>
          <w:sz w:val="16"/>
          <w:szCs w:val="16"/>
          <w:color w:val="auto"/>
        </w:rPr>
        <w:t>— Proceeds from divestitures of businesses and other assets (net of cash divested) was $78 million during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2015 compared with $266 million during the six months ended June 30, 2014. In the first quarter of 2014, we sold our investment in SEG and received cash proceeds of $155 million. In the second quarter of 2014, we sold our Puerto Rico operations and certain other collection and landfill assets and received proceeds from the sale of $80 million, consisting of $65 million of cash and $15 million of preferred stock.</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Net Cash Used in Financing Activities — </w:t>
      </w:r>
      <w:r>
        <w:rPr>
          <w:rFonts w:ascii="Arial" w:cs="Arial" w:eastAsia="Arial" w:hAnsi="Arial"/>
          <w:sz w:val="16"/>
          <w:szCs w:val="16"/>
          <w:color w:val="auto"/>
        </w:rPr>
        <w:t>The most significant items affecting the comparison of our financing cash flows for the six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2015 and 2014 are summarized below:</w:t>
      </w:r>
    </w:p>
    <w:p>
      <w:pPr>
        <w:spacing w:after="0" w:line="84"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 xml:space="preserve">Debt borrowings (repayments) </w:t>
      </w:r>
      <w:r>
        <w:rPr>
          <w:rFonts w:ascii="Arial" w:cs="Arial" w:eastAsia="Arial" w:hAnsi="Arial"/>
          <w:sz w:val="16"/>
          <w:szCs w:val="16"/>
          <w:color w:val="auto"/>
        </w:rPr>
        <w:t>— The following summarizes our cash borrowings and debt repayments during each period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4"/>
          </w:tcPr>
          <w:p>
            <w:pPr>
              <w:jc w:val="center"/>
              <w:ind w:left="255"/>
              <w:spacing w:after="0"/>
              <w:rPr>
                <w:sz w:val="20"/>
                <w:szCs w:val="20"/>
                <w:color w:val="auto"/>
              </w:rPr>
            </w:pPr>
            <w:r>
              <w:rPr>
                <w:rFonts w:ascii="Arial" w:cs="Arial" w:eastAsia="Arial" w:hAnsi="Arial"/>
                <w:sz w:val="14"/>
                <w:szCs w:val="14"/>
                <w:b w:val="1"/>
                <w:bCs w:val="1"/>
                <w:color w:val="auto"/>
                <w:w w:val="88"/>
              </w:rPr>
              <w:t>Six Months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2015</w:t>
            </w:r>
          </w:p>
        </w:tc>
        <w:tc>
          <w:tcPr>
            <w:tcW w:w="5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4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Borrowings: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U.S. revolving credit facility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32"/>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Canadian credit facility and term loan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Senior notes</w:t>
            </w:r>
          </w:p>
        </w:tc>
        <w:tc>
          <w:tcPr>
            <w:tcW w:w="100" w:type="dxa"/>
            <w:vAlign w:val="bottom"/>
          </w:tcPr>
          <w:p>
            <w:pPr>
              <w:spacing w:after="0"/>
              <w:rPr>
                <w:sz w:val="18"/>
                <w:szCs w:val="18"/>
                <w:color w:val="auto"/>
              </w:rPr>
            </w:pPr>
          </w:p>
        </w:tc>
        <w:tc>
          <w:tcPr>
            <w:tcW w:w="960" w:type="dxa"/>
            <w:vAlign w:val="bottom"/>
            <w:gridSpan w:val="2"/>
          </w:tcPr>
          <w:p>
            <w:pPr>
              <w:jc w:val="right"/>
              <w:ind w:right="432"/>
              <w:spacing w:after="0"/>
              <w:rPr>
                <w:sz w:val="20"/>
                <w:szCs w:val="20"/>
                <w:color w:val="auto"/>
              </w:rPr>
            </w:pPr>
            <w:r>
              <w:rPr>
                <w:rFonts w:ascii="Arial" w:cs="Arial" w:eastAsia="Arial" w:hAnsi="Arial"/>
                <w:sz w:val="18"/>
                <w:szCs w:val="18"/>
                <w:color w:val="auto"/>
                <w:w w:val="97"/>
              </w:rPr>
              <w:t>1,781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leases and other debt</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32"/>
              <w:spacing w:after="0"/>
              <w:rPr>
                <w:sz w:val="20"/>
                <w:szCs w:val="20"/>
                <w:color w:val="auto"/>
              </w:rPr>
            </w:pPr>
            <w:r>
              <w:rPr>
                <w:rFonts w:ascii="Arial" w:cs="Arial" w:eastAsia="Arial" w:hAnsi="Arial"/>
                <w:sz w:val="18"/>
                <w:szCs w:val="18"/>
                <w:color w:val="auto"/>
                <w:w w:val="97"/>
              </w:rPr>
              <w:t>1,866</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Repayments</w:t>
            </w: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U.S. revolving credit facility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32"/>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Canadian credit facility and term loan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Senior notes</w:t>
            </w:r>
          </w:p>
        </w:tc>
        <w:tc>
          <w:tcPr>
            <w:tcW w:w="100" w:type="dxa"/>
            <w:vAlign w:val="bottom"/>
          </w:tcPr>
          <w:p>
            <w:pPr>
              <w:spacing w:after="0"/>
              <w:rPr>
                <w:sz w:val="18"/>
                <w:szCs w:val="18"/>
                <w:color w:val="auto"/>
              </w:rPr>
            </w:pPr>
          </w:p>
        </w:tc>
        <w:tc>
          <w:tcPr>
            <w:tcW w:w="960" w:type="dxa"/>
            <w:vAlign w:val="bottom"/>
            <w:gridSpan w:val="2"/>
          </w:tcPr>
          <w:p>
            <w:pPr>
              <w:jc w:val="right"/>
              <w:ind w:right="372"/>
              <w:spacing w:after="0"/>
              <w:rPr>
                <w:sz w:val="20"/>
                <w:szCs w:val="20"/>
                <w:color w:val="auto"/>
              </w:rPr>
            </w:pPr>
            <w:r>
              <w:rPr>
                <w:rFonts w:ascii="Arial" w:cs="Arial" w:eastAsia="Arial" w:hAnsi="Arial"/>
                <w:sz w:val="18"/>
                <w:szCs w:val="18"/>
                <w:color w:val="auto"/>
                <w:w w:val="87"/>
              </w:rPr>
              <w:t>(1,970)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Tax-exempt bonds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Capital leases and other debt</w:t>
            </w:r>
          </w:p>
        </w:tc>
        <w:tc>
          <w:tcPr>
            <w:tcW w:w="100" w:type="dxa"/>
            <w:vAlign w:val="bottom"/>
          </w:tcPr>
          <w:p>
            <w:pPr>
              <w:spacing w:after="0"/>
              <w:rPr>
                <w:sz w:val="18"/>
                <w:szCs w:val="18"/>
                <w:color w:val="auto"/>
              </w:rPr>
            </w:pPr>
          </w:p>
        </w:tc>
        <w:tc>
          <w:tcPr>
            <w:tcW w:w="960" w:type="dxa"/>
            <w:vAlign w:val="bottom"/>
            <w:gridSpan w:val="2"/>
          </w:tcPr>
          <w:p>
            <w:pPr>
              <w:jc w:val="right"/>
              <w:ind w:right="372"/>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87"/>
              </w:rPr>
              <w:t>(2,181)</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(1,925)</w:t>
            </w: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Net repayments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72"/>
              <w:spacing w:after="0"/>
              <w:rPr>
                <w:sz w:val="20"/>
                <w:szCs w:val="20"/>
                <w:color w:val="auto"/>
              </w:rPr>
            </w:pPr>
            <w:r>
              <w:rPr>
                <w:rFonts w:ascii="Arial" w:cs="Arial" w:eastAsia="Arial" w:hAnsi="Arial"/>
                <w:sz w:val="18"/>
                <w:szCs w:val="18"/>
                <w:color w:val="auto"/>
              </w:rPr>
              <w:t>(315)</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Refer to Note 3 to the Condensed Consolidated Financial Statements for additional information related to our debt borrowings and repayments.</w:t>
      </w:r>
    </w:p>
    <w:p>
      <w:pPr>
        <w:spacing w:after="0" w:line="113" w:lineRule="exact"/>
        <w:rPr>
          <w:sz w:val="20"/>
          <w:szCs w:val="20"/>
          <w:color w:val="auto"/>
        </w:rPr>
      </w:pPr>
    </w:p>
    <w:p>
      <w:pPr>
        <w:ind w:left="660" w:hanging="206"/>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Premiums paid on early extinguishment of debt — </w:t>
      </w:r>
      <w:r>
        <w:rPr>
          <w:rFonts w:ascii="Arial" w:cs="Arial" w:eastAsia="Arial" w:hAnsi="Arial"/>
          <w:sz w:val="16"/>
          <w:szCs w:val="16"/>
          <w:color w:val="auto"/>
        </w:rPr>
        <w:t>Premiums paid on early extinguishment of debt of $555 million during the first half of 2015 relate to</w:t>
      </w:r>
    </w:p>
    <w:p>
      <w:pPr>
        <w:spacing w:after="0" w:line="38" w:lineRule="exact"/>
        <w:rPr>
          <w:rFonts w:ascii="Arial" w:cs="Arial" w:eastAsia="Arial" w:hAnsi="Arial"/>
          <w:sz w:val="16"/>
          <w:szCs w:val="16"/>
          <w:color w:val="auto"/>
        </w:rPr>
      </w:pPr>
    </w:p>
    <w:p>
      <w:pPr>
        <w:ind w:left="920" w:hanging="250"/>
        <w:spacing w:after="0"/>
        <w:tabs>
          <w:tab w:leader="none" w:pos="9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charges for make-whole premiums on certain senior notes that the Company decided to redeem in advance of their scheduled maturities and</w:t>
      </w:r>
    </w:p>
    <w:p>
      <w:pPr>
        <w:spacing w:after="0" w:line="32" w:lineRule="exact"/>
        <w:rPr>
          <w:rFonts w:ascii="Arial" w:cs="Arial" w:eastAsia="Arial" w:hAnsi="Arial"/>
          <w:sz w:val="16"/>
          <w:szCs w:val="16"/>
          <w:color w:val="auto"/>
        </w:rPr>
      </w:pPr>
    </w:p>
    <w:p>
      <w:pPr>
        <w:ind w:left="660" w:firstLine="10"/>
        <w:spacing w:after="0" w:line="261" w:lineRule="auto"/>
        <w:tabs>
          <w:tab w:leader="none" w:pos="925" w:val="left"/>
        </w:tabs>
        <w:numPr>
          <w:ilvl w:val="1"/>
          <w:numId w:val="49"/>
        </w:numPr>
        <w:rPr>
          <w:rFonts w:ascii="Arial" w:cs="Arial" w:eastAsia="Arial" w:hAnsi="Arial"/>
          <w:sz w:val="18"/>
          <w:szCs w:val="18"/>
          <w:color w:val="auto"/>
        </w:rPr>
      </w:pPr>
      <w:r>
        <w:rPr>
          <w:rFonts w:ascii="Arial" w:cs="Arial" w:eastAsia="Arial" w:hAnsi="Arial"/>
          <w:sz w:val="18"/>
          <w:szCs w:val="18"/>
          <w:color w:val="auto"/>
        </w:rPr>
        <w:t>charges related to tender offers for certain senior notes of WM and WM Holdings. See Note 3 to the Condensed Consolidated Financial Statements for further discussion of debt transactions in the first half of 2015.</w:t>
      </w:r>
    </w:p>
    <w:p>
      <w:pPr>
        <w:spacing w:after="0" w:line="56"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Dividend payments — </w:t>
      </w:r>
      <w:r>
        <w:rPr>
          <w:rFonts w:ascii="Arial" w:cs="Arial" w:eastAsia="Arial" w:hAnsi="Arial"/>
          <w:sz w:val="18"/>
          <w:szCs w:val="18"/>
          <w:color w:val="auto"/>
        </w:rPr>
        <w:t>We paid $351 million in cash dividends in the first half of 2015 compared with $349 million in the first half of 2014. The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dividend payments is primarily due to our quarterly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80" w:right="239" w:bottom="1440" w:gutter="0" w:footer="0" w:header="0"/>
        </w:sectPr>
      </w:pPr>
    </w:p>
    <w:bookmarkStart w:id="53" w:name="page54"/>
    <w:bookmarkEnd w:id="53"/>
    <w:p>
      <w:pPr>
        <w:ind w:left="6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 share dividend declared increasing from $0.375 in 2014 to $0.385 in 2015 and has been offset, in part, by a reduction in our common stock outstanding during 2015 as a result of our share repurchase program.</w:t>
      </w:r>
    </w:p>
    <w:p>
      <w:pPr>
        <w:spacing w:after="0" w:line="51" w:lineRule="exact"/>
        <w:rPr>
          <w:sz w:val="20"/>
          <w:szCs w:val="20"/>
          <w:color w:val="auto"/>
        </w:rPr>
      </w:pPr>
    </w:p>
    <w:p>
      <w:pPr>
        <w:jc w:val="both"/>
        <w:ind w:left="660" w:hanging="206"/>
        <w:spacing w:after="0" w:line="298"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Share repurchases </w:t>
      </w:r>
      <w:r>
        <w:rPr>
          <w:rFonts w:ascii="Arial" w:cs="Arial" w:eastAsia="Arial" w:hAnsi="Arial"/>
          <w:sz w:val="16"/>
          <w:szCs w:val="16"/>
          <w:color w:val="auto"/>
        </w:rPr>
        <w:t>— We announced in February 2015 that the Board of Directors has authorized up to $1 billion in future share repurchases.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second quarter of 2015, we entered into and completed an accelerated share repurchase (“ASR”) agreement and made a cash payment of $300 million for share repurchases. See Note 12 to the Condensed Consolidated Financial Statements for additional information related to this ASR agreement. We currently anticipate that we will repurchase an additional $300 million of our outstanding shares in the third quarter of 2015.</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Impacts of Income Tax Items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Cash Taxes — </w:t>
      </w:r>
      <w:r>
        <w:rPr>
          <w:rFonts w:ascii="Arial" w:cs="Arial" w:eastAsia="Arial" w:hAnsi="Arial"/>
          <w:sz w:val="16"/>
          <w:szCs w:val="16"/>
          <w:color w:val="auto"/>
        </w:rPr>
        <w:t>Our tax payments in 2015 are expected to be approximately $475 million lower than the tax payments made in 2014 primarily due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 lower pre-tax earnings due to loss on early extinguishment of debt and (ii) an anticipated overpayment of taxes in 2014.</w:t>
      </w:r>
    </w:p>
    <w:p>
      <w:pPr>
        <w:spacing w:after="0" w:line="84"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Bonus Depreciation — </w:t>
      </w:r>
      <w:r>
        <w:rPr>
          <w:rFonts w:ascii="Arial" w:cs="Arial" w:eastAsia="Arial" w:hAnsi="Arial"/>
          <w:sz w:val="16"/>
          <w:szCs w:val="16"/>
          <w:color w:val="auto"/>
        </w:rPr>
        <w:t>The Tax Increase Prevention Act of 2014 was signed into law on December 19, 2014 and included an extension for one year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bonus depreciation allowance. As a result, 50% of qualifying capital expenditures on property placed in service before January 1, 2015 were depreciated immediately. The acceleration of deductions on 2014 qualifying capital expenditures resulting from the bonus depreciation provisions had no impact on our effective income tax rate for 2014 although it reduced our cash taxes by approximately $60 million.</w:t>
      </w:r>
    </w:p>
    <w:p>
      <w:pPr>
        <w:spacing w:after="0" w:line="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Taking accelerated deductions results in increased cash taxes in subsequent periods when the deductions related to the capital expenditures would have otherwise been taken. Overall, the effect of all applicable years’ bonus depreciation programs results in increased cash taxes of approximately $90 million in 2015.</w:t>
      </w:r>
    </w:p>
    <w:p>
      <w:pPr>
        <w:spacing w:after="0" w:line="59"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i w:val="1"/>
          <w:iCs w:val="1"/>
          <w:color w:val="auto"/>
        </w:rPr>
        <w:t xml:space="preserve">Uncertain Tax Positions </w:t>
      </w:r>
      <w:r>
        <w:rPr>
          <w:rFonts w:ascii="Arial" w:cs="Arial" w:eastAsia="Arial" w:hAnsi="Arial"/>
          <w:sz w:val="18"/>
          <w:szCs w:val="18"/>
          <w:color w:val="auto"/>
        </w:rPr>
        <w:t>— We have liabilities associated with unrecognized tax benefits and related interest. These liabilities are included as a component</w:t>
      </w:r>
      <w:r>
        <w:rPr>
          <w:rFonts w:ascii="Arial" w:cs="Arial" w:eastAsia="Arial" w:hAnsi="Arial"/>
          <w:sz w:val="18"/>
          <w:szCs w:val="18"/>
          <w:i w:val="1"/>
          <w:iCs w:val="1"/>
          <w:color w:val="auto"/>
        </w:rPr>
        <w:t xml:space="preserve"> </w:t>
      </w:r>
      <w:r>
        <w:rPr>
          <w:rFonts w:ascii="Arial" w:cs="Arial" w:eastAsia="Arial" w:hAnsi="Arial"/>
          <w:sz w:val="18"/>
          <w:szCs w:val="18"/>
          <w:color w:val="auto"/>
        </w:rPr>
        <w:t>of long-term “Other liabilities” in our Condensed Consolidated Balance Sheets because the Company does not anticipate that settlement of the liabilities will require payment of cash within the next 12 months. We are not able to reasonably estimate when we would make any cash payments required to settle these liabilities, but we do not believe that the ultimate settlement of our obligations will materially affect our liquidity. We anticipate that approximately $10 million of liabilities for unrecognized tax benefits, including accrued interest, and $3 million of related tax assets may be reversed within the next 12 months. The anticipated reversals are primarily related to state tax items, none of which are material, and are expected to result from audit settlements or the expiration of the applicable statute of limitations period.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We have financial interests in unconsolidated variable interest entities as discussed in Note 14 to the Condensed Consolidated Financial Statements. Additionally, we are party to guarantee arrangements with unconsolidated entities as discussed in the </w:t>
      </w:r>
      <w:r>
        <w:rPr>
          <w:rFonts w:ascii="Arial" w:cs="Arial" w:eastAsia="Arial" w:hAnsi="Arial"/>
          <w:sz w:val="16"/>
          <w:szCs w:val="16"/>
          <w:i w:val="1"/>
          <w:iCs w:val="1"/>
          <w:color w:val="auto"/>
        </w:rPr>
        <w:t>Guarantees</w:t>
      </w:r>
      <w:r>
        <w:rPr>
          <w:rFonts w:ascii="Arial" w:cs="Arial" w:eastAsia="Arial" w:hAnsi="Arial"/>
          <w:sz w:val="16"/>
          <w:szCs w:val="16"/>
          <w:color w:val="auto"/>
        </w:rPr>
        <w:t xml:space="preserve"> section of Note 7 to the Condensed Consolidated Financial Statements. These arrangements have not materially affected our financial position, results of operations or liquidity during the six months ended June 30, 2015, nor are they expected to have a material impact on our future financial position, results of operations or liquidity.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 Pending Adoption</w:t>
      </w:r>
    </w:p>
    <w:p>
      <w:pPr>
        <w:spacing w:after="0" w:line="9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May 2014, the Financial Accounting Standards Board (“FASB”) amended authoritative guidance associated with revenue recognition. The amended guidance requires companies to recognize revenue to depict the transfer of promised goods or services to customers in an amount that reflects the consideration to which the entity expects to be entitled in exchange for those goods or services. Additionally, the amendments will require enhanced qualitative and quantitative disclosures regarding customer contracts. The amended authoritative guidance associated with revenue recognition is effective for the Company on January 1, 2018. The amended guidance may be applied retrospectively for all periods presented or retrospectively with the cumulative effect of initially applying the amended guidance recognized at the date of initial application. We are in the process of assessing the provisions of the amended guidance and have not determined whether the adoption will have a material impact on our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0"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Seasonal Trends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operating revenues tend to be somewhat higher in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w:t>
      </w:r>
    </w:p>
    <w:p>
      <w:pPr>
        <w:spacing w:after="0" w:line="59"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Service disruptions caused by severe storms, extended periods of inclement weather or climate extremes can significantly affect the operating results of the affected Areas. On the other hand, certain destructive weather conditions that tend to occur during the second half of the year, such as the hurricanes that most often impact our operations in the Southern and Eastern U.S., can actually increase our revenues in the areas affected. While weather-related and other “one-time” occurrences can boost revenues through additional work for a limited time span, as a result of significant start-up costs and other factors, such revenue sometimes generates earnings at comparatively lower margins.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While inflationary increases in costs, including the cost of diesel fuel, have affected our income from operations margins in recent years, we believe that inflation generally has not had, and in the near future is not expected to have, any material adverse effect on our results of operations. However, a portion of our collection revenues are generated under long-term agreements with price adjustments based on various indices intended to measure inflation. Additionally, management’s estimates associated with inflation have had, and will continue to have, an impact on our accounting for landfill and environmental remediation liabilities.</w:t>
      </w:r>
    </w:p>
    <w:p>
      <w:pPr>
        <w:spacing w:after="0" w:line="17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Information about market risks as of June 30, 2015, does not differ materially from that discussed under Item 7A in our Annual Report on Form 10-K for the year ended December 31, 2014.</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Controls and Procedures</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June 30, 2015 (the end of the period covered by this Quarterly Report on Form 10-Q).</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June 30, 2015. We determined that there were no changes in our internal control over financial reporting during the quarter ended June 30, 2015 that have materially affected, or are reasonably likely to materially affect, our internal control over financial reporting.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4"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II.</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Information regarding our legal proceedings can be found under the “Environmental Matters” and “Litigation” sections of Note 7,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to the Condensed Consolidated Financial Statements.</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have been no material changes from risk factors previously disclosed in our Annual Report on Form 10-K for the year ended December 31, 2014 in response to Item 1A to Part I of Form 10-K.</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common stock repurchases made during the second quarter of 2015 (shares in millions):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Total Number of</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Approximate 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Number of</w:t>
            </w:r>
          </w:p>
        </w:tc>
        <w:tc>
          <w:tcPr>
            <w:tcW w:w="20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Average</w:t>
            </w:r>
          </w:p>
        </w:tc>
        <w:tc>
          <w:tcPr>
            <w:tcW w:w="16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480" w:type="dxa"/>
            <w:vAlign w:val="bottom"/>
          </w:tcPr>
          <w:p>
            <w:pPr>
              <w:spacing w:after="0"/>
              <w:rPr>
                <w:sz w:val="12"/>
                <w:szCs w:val="12"/>
                <w:color w:val="auto"/>
              </w:rPr>
            </w:pPr>
          </w:p>
        </w:tc>
        <w:tc>
          <w:tcPr>
            <w:tcW w:w="19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Dollar Value of Shares that</w:t>
            </w:r>
          </w:p>
        </w:tc>
        <w:tc>
          <w:tcPr>
            <w:tcW w:w="0" w:type="dxa"/>
            <w:vAlign w:val="bottom"/>
          </w:tcPr>
          <w:p>
            <w:pPr>
              <w:spacing w:after="0"/>
              <w:rPr>
                <w:sz w:val="1"/>
                <w:szCs w:val="1"/>
                <w:color w:val="auto"/>
              </w:rPr>
            </w:pPr>
          </w:p>
        </w:tc>
      </w:tr>
      <w:tr>
        <w:trPr>
          <w:trHeight w:val="149"/>
        </w:trPr>
        <w:tc>
          <w:tcPr>
            <w:tcW w:w="41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Period</w:t>
            </w:r>
          </w:p>
        </w:tc>
        <w:tc>
          <w:tcPr>
            <w:tcW w:w="12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1"/>
              </w:rPr>
              <w:t>Shares</w:t>
            </w:r>
          </w:p>
        </w:tc>
        <w:tc>
          <w:tcPr>
            <w:tcW w:w="2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Paid</w:t>
            </w:r>
          </w:p>
        </w:tc>
        <w:tc>
          <w:tcPr>
            <w:tcW w:w="16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Announced Plans or</w:t>
            </w:r>
          </w:p>
        </w:tc>
        <w:tc>
          <w:tcPr>
            <w:tcW w:w="2420" w:type="dxa"/>
            <w:vAlign w:val="bottom"/>
            <w:gridSpan w:val="4"/>
          </w:tcPr>
          <w:p>
            <w:pPr>
              <w:ind w:left="480"/>
              <w:spacing w:after="0" w:line="149" w:lineRule="exact"/>
              <w:rPr>
                <w:sz w:val="20"/>
                <w:szCs w:val="20"/>
                <w:color w:val="auto"/>
              </w:rPr>
            </w:pPr>
            <w:r>
              <w:rPr>
                <w:rFonts w:ascii="Arial" w:cs="Arial" w:eastAsia="Arial" w:hAnsi="Arial"/>
                <w:sz w:val="14"/>
                <w:szCs w:val="14"/>
                <w:b w:val="1"/>
                <w:bCs w:val="1"/>
                <w:color w:val="auto"/>
                <w:w w:val="99"/>
              </w:rPr>
              <w:t>May Yet be Purchased Under</w:t>
            </w:r>
          </w:p>
        </w:tc>
        <w:tc>
          <w:tcPr>
            <w:tcW w:w="0" w:type="dxa"/>
            <w:vAlign w:val="bottom"/>
          </w:tcPr>
          <w:p>
            <w:pPr>
              <w:spacing w:after="0"/>
              <w:rPr>
                <w:sz w:val="1"/>
                <w:szCs w:val="1"/>
                <w:color w:val="auto"/>
              </w:rPr>
            </w:pPr>
          </w:p>
        </w:tc>
      </w:tr>
      <w:tr>
        <w:trPr>
          <w:trHeight w:val="148"/>
        </w:trPr>
        <w:tc>
          <w:tcPr>
            <w:tcW w:w="4120" w:type="dxa"/>
            <w:vAlign w:val="bottom"/>
            <w:gridSpan w:val="4"/>
            <w:vMerge w:val="continue"/>
          </w:tcPr>
          <w:p>
            <w:pPr>
              <w:spacing w:after="0"/>
              <w:rPr>
                <w:sz w:val="12"/>
                <w:szCs w:val="12"/>
                <w:color w:val="auto"/>
              </w:rPr>
            </w:pPr>
          </w:p>
        </w:tc>
        <w:tc>
          <w:tcPr>
            <w:tcW w:w="1200" w:type="dxa"/>
            <w:vAlign w:val="bottom"/>
            <w:gridSpan w:val="3"/>
          </w:tcPr>
          <w:p>
            <w:pPr>
              <w:jc w:val="center"/>
              <w:ind w:right="580"/>
              <w:spacing w:after="0" w:line="148" w:lineRule="exact"/>
              <w:rPr>
                <w:sz w:val="20"/>
                <w:szCs w:val="20"/>
                <w:color w:val="auto"/>
              </w:rPr>
            </w:pPr>
            <w:r>
              <w:rPr>
                <w:rFonts w:ascii="Arial" w:cs="Arial" w:eastAsia="Arial" w:hAnsi="Arial"/>
                <w:sz w:val="14"/>
                <w:szCs w:val="14"/>
                <w:b w:val="1"/>
                <w:bCs w:val="1"/>
                <w:color w:val="auto"/>
                <w:w w:val="86"/>
              </w:rPr>
              <w:t>Purchased</w:t>
            </w:r>
          </w:p>
        </w:tc>
        <w:tc>
          <w:tcPr>
            <w:tcW w:w="204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per Share</w:t>
            </w:r>
          </w:p>
        </w:tc>
        <w:tc>
          <w:tcPr>
            <w:tcW w:w="164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88"/>
              </w:rPr>
              <w:t>Programs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85"/>
              </w:rPr>
              <w:t>the Plans or Programs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April 1 — 30</w:t>
            </w:r>
          </w:p>
        </w:tc>
        <w:tc>
          <w:tcPr>
            <w:tcW w:w="620" w:type="dxa"/>
            <w:vAlign w:val="bottom"/>
            <w:shd w:val="clear" w:color="auto" w:fill="CCEEFF"/>
          </w:tcPr>
          <w:p>
            <w:pPr>
              <w:ind w:left="460"/>
              <w:spacing w:after="0" w:line="203" w:lineRule="exact"/>
              <w:rPr>
                <w:sz w:val="20"/>
                <w:szCs w:val="20"/>
                <w:color w:val="auto"/>
              </w:rPr>
            </w:pPr>
            <w:r>
              <w:rPr>
                <w:rFonts w:ascii="Arial" w:cs="Arial" w:eastAsia="Arial" w:hAnsi="Arial"/>
                <w:sz w:val="18"/>
                <w:szCs w:val="18"/>
                <w:color w:val="auto"/>
                <w:w w:val="77"/>
              </w:rPr>
              <w:t>—</w:t>
            </w:r>
          </w:p>
        </w:tc>
        <w:tc>
          <w:tcPr>
            <w:tcW w:w="580" w:type="dxa"/>
            <w:vAlign w:val="bottom"/>
            <w:gridSpan w:val="2"/>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ind w:left="980"/>
              <w:spacing w:after="0" w:line="203" w:lineRule="exact"/>
              <w:rPr>
                <w:sz w:val="20"/>
                <w:szCs w:val="20"/>
                <w:color w:val="auto"/>
              </w:rPr>
            </w:pPr>
            <w:r>
              <w:rPr>
                <w:rFonts w:ascii="Arial" w:cs="Arial" w:eastAsia="Arial" w:hAnsi="Arial"/>
                <w:sz w:val="18"/>
                <w:szCs w:val="18"/>
                <w:color w:val="auto"/>
                <w:w w:val="98"/>
              </w:rPr>
              <w:t>1 billion(a)</w:t>
            </w:r>
          </w:p>
        </w:tc>
        <w:tc>
          <w:tcPr>
            <w:tcW w:w="0" w:type="dxa"/>
            <w:vAlign w:val="bottom"/>
          </w:tcPr>
          <w:p>
            <w:pPr>
              <w:spacing w:after="0"/>
              <w:rPr>
                <w:sz w:val="1"/>
                <w:szCs w:val="1"/>
                <w:color w:val="auto"/>
              </w:rPr>
            </w:pPr>
          </w:p>
        </w:tc>
      </w:tr>
      <w:tr>
        <w:trPr>
          <w:trHeight w:val="322"/>
        </w:trPr>
        <w:tc>
          <w:tcPr>
            <w:tcW w:w="4120" w:type="dxa"/>
            <w:vAlign w:val="bottom"/>
            <w:gridSpan w:val="4"/>
          </w:tcPr>
          <w:p>
            <w:pPr>
              <w:spacing w:after="0"/>
              <w:rPr>
                <w:sz w:val="20"/>
                <w:szCs w:val="20"/>
                <w:color w:val="auto"/>
              </w:rPr>
            </w:pPr>
            <w:r>
              <w:rPr>
                <w:rFonts w:ascii="Arial" w:cs="Arial" w:eastAsia="Arial" w:hAnsi="Arial"/>
                <w:sz w:val="18"/>
                <w:szCs w:val="18"/>
                <w:color w:val="auto"/>
              </w:rPr>
              <w:t>May 1 — 31</w:t>
            </w:r>
          </w:p>
        </w:tc>
        <w:tc>
          <w:tcPr>
            <w:tcW w:w="1200" w:type="dxa"/>
            <w:vAlign w:val="bottom"/>
            <w:gridSpan w:val="3"/>
          </w:tcPr>
          <w:p>
            <w:pPr>
              <w:ind w:left="400"/>
              <w:spacing w:after="0"/>
              <w:rPr>
                <w:sz w:val="20"/>
                <w:szCs w:val="20"/>
                <w:color w:val="auto"/>
              </w:rPr>
            </w:pPr>
            <w:r>
              <w:rPr>
                <w:rFonts w:ascii="Arial" w:cs="Arial" w:eastAsia="Arial" w:hAnsi="Arial"/>
                <w:sz w:val="18"/>
                <w:szCs w:val="18"/>
                <w:color w:val="auto"/>
              </w:rPr>
              <w:t>4.2(b)</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240"/>
              <w:spacing w:after="0"/>
              <w:rPr>
                <w:sz w:val="20"/>
                <w:szCs w:val="20"/>
                <w:color w:val="auto"/>
              </w:rPr>
            </w:pPr>
            <w:r>
              <w:rPr>
                <w:rFonts w:ascii="Arial" w:cs="Arial" w:eastAsia="Arial" w:hAnsi="Arial"/>
                <w:sz w:val="18"/>
                <w:szCs w:val="18"/>
                <w:color w:val="auto"/>
                <w:w w:val="95"/>
              </w:rPr>
              <w:t>50.09(b)</w:t>
            </w: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4.2</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ind w:left="740"/>
              <w:spacing w:after="0"/>
              <w:rPr>
                <w:sz w:val="20"/>
                <w:szCs w:val="20"/>
                <w:color w:val="auto"/>
              </w:rPr>
            </w:pPr>
            <w:r>
              <w:rPr>
                <w:rFonts w:ascii="Arial" w:cs="Arial" w:eastAsia="Arial" w:hAnsi="Arial"/>
                <w:sz w:val="18"/>
                <w:szCs w:val="18"/>
                <w:color w:val="auto"/>
                <w:w w:val="98"/>
              </w:rPr>
              <w:t>700 million(b)</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1 — 30</w:t>
            </w:r>
          </w:p>
        </w:tc>
        <w:tc>
          <w:tcPr>
            <w:tcW w:w="12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1.9(b)</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w w:val="95"/>
              </w:rPr>
              <w:t>47.15(b)</w:t>
            </w: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700 million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Total</w:t>
            </w:r>
          </w:p>
        </w:tc>
        <w:tc>
          <w:tcPr>
            <w:tcW w:w="620" w:type="dxa"/>
            <w:vAlign w:val="bottom"/>
          </w:tcPr>
          <w:p>
            <w:pPr>
              <w:ind w:left="400"/>
              <w:spacing w:after="0"/>
              <w:rPr>
                <w:sz w:val="20"/>
                <w:szCs w:val="20"/>
                <w:color w:val="auto"/>
              </w:rPr>
            </w:pPr>
            <w:r>
              <w:rPr>
                <w:rFonts w:ascii="Arial" w:cs="Arial" w:eastAsia="Arial" w:hAnsi="Arial"/>
                <w:sz w:val="18"/>
                <w:szCs w:val="18"/>
                <w:color w:val="auto"/>
                <w:w w:val="79"/>
              </w:rPr>
              <w:t>6.1</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440"/>
              <w:spacing w:after="0"/>
              <w:rPr>
                <w:sz w:val="20"/>
                <w:szCs w:val="20"/>
                <w:color w:val="auto"/>
              </w:rPr>
            </w:pPr>
            <w:r>
              <w:rPr>
                <w:rFonts w:ascii="Arial" w:cs="Arial" w:eastAsia="Arial" w:hAnsi="Arial"/>
                <w:sz w:val="18"/>
                <w:szCs w:val="18"/>
                <w:color w:val="auto"/>
                <w:w w:val="97"/>
              </w:rPr>
              <w:t>49.17</w:t>
            </w: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6.1</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announced in February 2015 that the Board of Directors has authorized up to $1 billion in future share repurchases.</w:t>
      </w:r>
    </w:p>
    <w:p>
      <w:pPr>
        <w:spacing w:after="0" w:line="15" w:lineRule="exact"/>
        <w:rPr>
          <w:rFonts w:ascii="Arial" w:cs="Arial" w:eastAsia="Arial" w:hAnsi="Arial"/>
          <w:sz w:val="18"/>
          <w:szCs w:val="18"/>
          <w:color w:val="auto"/>
        </w:rPr>
      </w:pPr>
    </w:p>
    <w:p>
      <w:pPr>
        <w:jc w:val="both"/>
        <w:ind w:left="460" w:hanging="452"/>
        <w:spacing w:after="0" w:line="254"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May 2015, the Company entered into an accelerated share repurchase (“ASR”) agreement with a financial institution to repurchase an aggregate of $300 million of our common stock. At the beginning of the ASR repurchase period, we delivered the $300 million in cash and received 4.2 million shares, which represented 70% of the shares expected to be repurchased based on then-current market prices. This agreement was completed in June 2015 and we received 1.9 million additional shares.</w:t>
      </w:r>
    </w:p>
    <w:p>
      <w:pPr>
        <w:spacing w:after="0" w:line="1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Information concerning mine safety and other regulatory matters required by Section 1503(a) of the Dodd-Frank Wall Street Reform and Consumer Protection Act and Item 104 of Regulation S-K is included in Exhibit 95 to this quarterly report.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4" w:right="239" w:bottom="1440" w:gutter="0" w:footer="0" w:header="0"/>
        </w:sectPr>
      </w:pPr>
    </w:p>
    <w:bookmarkStart w:id="56" w:name="page57"/>
    <w:bookmarkEnd w:id="56"/>
    <w:p>
      <w:pPr>
        <w:spacing w:after="0"/>
        <w:tabs>
          <w:tab w:leader="none" w:pos="7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6.</w:t>
      </w:r>
      <w:r>
        <w:rPr>
          <w:sz w:val="20"/>
          <w:szCs w:val="20"/>
          <w:color w:val="auto"/>
        </w:rPr>
        <w:tab/>
      </w:r>
      <w:r>
        <w:rPr>
          <w:rFonts w:ascii="Arial" w:cs="Arial" w:eastAsia="Arial" w:hAnsi="Arial"/>
          <w:sz w:val="15"/>
          <w:szCs w:val="15"/>
          <w:b w:val="1"/>
          <w:bCs w:val="1"/>
          <w:i w:val="1"/>
          <w:iCs w:val="1"/>
          <w:color w:val="auto"/>
        </w:rPr>
        <w:t>Exhibits.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0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36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0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360" w:type="dxa"/>
            <w:vAlign w:val="bottom"/>
          </w:tcPr>
          <w:p>
            <w:pPr>
              <w:spacing w:after="0"/>
              <w:rPr>
                <w:sz w:val="14"/>
                <w:szCs w:val="14"/>
                <w:color w:val="auto"/>
              </w:rPr>
            </w:pPr>
          </w:p>
        </w:tc>
      </w:tr>
      <w:tr>
        <w:trPr>
          <w:trHeight w:val="316"/>
        </w:trPr>
        <w:tc>
          <w:tcPr>
            <w:tcW w:w="320" w:type="dxa"/>
            <w:vAlign w:val="bottom"/>
          </w:tcPr>
          <w:p>
            <w:pPr>
              <w:spacing w:after="0"/>
              <w:rPr>
                <w:sz w:val="20"/>
                <w:szCs w:val="20"/>
                <w:color w:val="auto"/>
              </w:rPr>
            </w:pPr>
            <w:r>
              <w:rPr>
                <w:rFonts w:ascii="Arial" w:cs="Arial" w:eastAsia="Arial" w:hAnsi="Arial"/>
                <w:sz w:val="18"/>
                <w:szCs w:val="18"/>
                <w:color w:val="auto"/>
                <w:w w:val="85"/>
              </w:rPr>
              <w:t>10.1</w:t>
            </w:r>
          </w:p>
        </w:tc>
        <w:tc>
          <w:tcPr>
            <w:tcW w:w="440" w:type="dxa"/>
            <w:vAlign w:val="bottom"/>
          </w:tcPr>
          <w:p>
            <w:pPr>
              <w:spacing w:after="0"/>
              <w:rPr>
                <w:sz w:val="24"/>
                <w:szCs w:val="24"/>
                <w:color w:val="auto"/>
              </w:rPr>
            </w:pPr>
          </w:p>
        </w:tc>
        <w:tc>
          <w:tcPr>
            <w:tcW w:w="10640" w:type="dxa"/>
            <w:vAlign w:val="bottom"/>
            <w:gridSpan w:val="4"/>
          </w:tcPr>
          <w:p>
            <w:pPr>
              <w:ind w:left="760"/>
              <w:spacing w:after="0"/>
              <w:rPr>
                <w:sz w:val="20"/>
                <w:szCs w:val="20"/>
                <w:color w:val="auto"/>
              </w:rPr>
            </w:pPr>
            <w:r>
              <w:rPr>
                <w:rFonts w:ascii="Arial" w:cs="Arial" w:eastAsia="Arial" w:hAnsi="Arial"/>
                <w:sz w:val="18"/>
                <w:szCs w:val="18"/>
                <w:color w:val="auto"/>
                <w:w w:val="91"/>
              </w:rPr>
              <w:t>—   Waste Management, Inc. Employee Stock Purchase Plan [incorporated by reference to Exhibit 10.1 to Current Report on Form 8-K</w:t>
            </w:r>
          </w:p>
        </w:tc>
      </w:tr>
      <w:tr>
        <w:trPr>
          <w:trHeight w:val="222"/>
        </w:trPr>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580" w:type="dxa"/>
            <w:vAlign w:val="bottom"/>
            <w:gridSpan w:val="3"/>
          </w:tcPr>
          <w:p>
            <w:pPr>
              <w:ind w:left="140"/>
              <w:spacing w:after="0"/>
              <w:rPr>
                <w:sz w:val="20"/>
                <w:szCs w:val="20"/>
                <w:color w:val="auto"/>
              </w:rPr>
            </w:pPr>
            <w:r>
              <w:rPr>
                <w:rFonts w:ascii="Arial" w:cs="Arial" w:eastAsia="Arial" w:hAnsi="Arial"/>
                <w:sz w:val="18"/>
                <w:szCs w:val="18"/>
                <w:color w:val="auto"/>
              </w:rPr>
              <w:t>filed May 15, 2015].</w:t>
            </w:r>
          </w:p>
        </w:tc>
      </w:tr>
      <w:tr>
        <w:trPr>
          <w:trHeight w:val="318"/>
        </w:trPr>
        <w:tc>
          <w:tcPr>
            <w:tcW w:w="320" w:type="dxa"/>
            <w:vAlign w:val="bottom"/>
          </w:tcPr>
          <w:p>
            <w:pPr>
              <w:spacing w:after="0"/>
              <w:rPr>
                <w:sz w:val="20"/>
                <w:szCs w:val="20"/>
                <w:color w:val="auto"/>
              </w:rPr>
            </w:pPr>
            <w:r>
              <w:rPr>
                <w:rFonts w:ascii="Arial" w:cs="Arial" w:eastAsia="Arial" w:hAnsi="Arial"/>
                <w:sz w:val="18"/>
                <w:szCs w:val="18"/>
                <w:color w:val="auto"/>
                <w:w w:val="85"/>
              </w:rPr>
              <w:t>31.1</w:t>
            </w:r>
          </w:p>
        </w:tc>
        <w:tc>
          <w:tcPr>
            <w:tcW w:w="440" w:type="dxa"/>
            <w:vAlign w:val="bottom"/>
          </w:tcPr>
          <w:p>
            <w:pPr>
              <w:spacing w:after="0"/>
              <w:rPr>
                <w:sz w:val="24"/>
                <w:szCs w:val="24"/>
                <w:color w:val="auto"/>
              </w:rPr>
            </w:pPr>
          </w:p>
        </w:tc>
        <w:tc>
          <w:tcPr>
            <w:tcW w:w="10640" w:type="dxa"/>
            <w:vAlign w:val="bottom"/>
            <w:gridSpan w:val="4"/>
          </w:tcPr>
          <w:p>
            <w:pPr>
              <w:ind w:left="760"/>
              <w:spacing w:after="0"/>
              <w:rPr>
                <w:sz w:val="20"/>
                <w:szCs w:val="20"/>
                <w:color w:val="auto"/>
              </w:rPr>
            </w:pPr>
            <w:r>
              <w:rPr>
                <w:rFonts w:ascii="Arial" w:cs="Arial" w:eastAsia="Arial" w:hAnsi="Arial"/>
                <w:sz w:val="18"/>
                <w:szCs w:val="18"/>
                <w:color w:val="auto"/>
                <w:w w:val="89"/>
              </w:rPr>
              <w:t>—   Certification Pursuant to Rules 13a-14(a) and 15d-14(a) under the Securities Exchange Act of 1934, as amended, of David P. Steiner,</w:t>
            </w:r>
          </w:p>
        </w:tc>
      </w:tr>
      <w:tr>
        <w:trPr>
          <w:trHeight w:val="222"/>
        </w:trPr>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580" w:type="dxa"/>
            <w:vAlign w:val="bottom"/>
            <w:gridSpan w:val="3"/>
          </w:tcPr>
          <w:p>
            <w:pPr>
              <w:ind w:left="140"/>
              <w:spacing w:after="0"/>
              <w:rPr>
                <w:sz w:val="20"/>
                <w:szCs w:val="20"/>
                <w:color w:val="auto"/>
              </w:rPr>
            </w:pPr>
            <w:r>
              <w:rPr>
                <w:rFonts w:ascii="Arial" w:cs="Arial" w:eastAsia="Arial" w:hAnsi="Arial"/>
                <w:sz w:val="18"/>
                <w:szCs w:val="18"/>
                <w:color w:val="auto"/>
              </w:rPr>
              <w:t>President and Chief Executive Officer.</w:t>
            </w:r>
          </w:p>
        </w:tc>
      </w:tr>
      <w:tr>
        <w:trPr>
          <w:trHeight w:val="318"/>
        </w:trPr>
        <w:tc>
          <w:tcPr>
            <w:tcW w:w="320" w:type="dxa"/>
            <w:vAlign w:val="bottom"/>
          </w:tcPr>
          <w:p>
            <w:pPr>
              <w:spacing w:after="0"/>
              <w:rPr>
                <w:sz w:val="20"/>
                <w:szCs w:val="20"/>
                <w:color w:val="auto"/>
              </w:rPr>
            </w:pPr>
            <w:r>
              <w:rPr>
                <w:rFonts w:ascii="Arial" w:cs="Arial" w:eastAsia="Arial" w:hAnsi="Arial"/>
                <w:sz w:val="18"/>
                <w:szCs w:val="18"/>
                <w:color w:val="auto"/>
                <w:w w:val="85"/>
              </w:rPr>
              <w:t>31.2</w:t>
            </w:r>
          </w:p>
        </w:tc>
        <w:tc>
          <w:tcPr>
            <w:tcW w:w="440" w:type="dxa"/>
            <w:vAlign w:val="bottom"/>
          </w:tcPr>
          <w:p>
            <w:pPr>
              <w:spacing w:after="0"/>
              <w:rPr>
                <w:sz w:val="24"/>
                <w:szCs w:val="24"/>
                <w:color w:val="auto"/>
              </w:rPr>
            </w:pPr>
          </w:p>
        </w:tc>
        <w:tc>
          <w:tcPr>
            <w:tcW w:w="10640" w:type="dxa"/>
            <w:vAlign w:val="bottom"/>
            <w:gridSpan w:val="4"/>
          </w:tcPr>
          <w:p>
            <w:pPr>
              <w:ind w:left="760"/>
              <w:spacing w:after="0"/>
              <w:rPr>
                <w:sz w:val="20"/>
                <w:szCs w:val="20"/>
                <w:color w:val="auto"/>
              </w:rPr>
            </w:pPr>
            <w:r>
              <w:rPr>
                <w:rFonts w:ascii="Arial" w:cs="Arial" w:eastAsia="Arial" w:hAnsi="Arial"/>
                <w:sz w:val="18"/>
                <w:szCs w:val="18"/>
                <w:color w:val="auto"/>
                <w:w w:val="88"/>
              </w:rPr>
              <w:t>—   Certification Pursuant to Rules 13a-14(a) and 15d-14(a) under the Securities Exchange Act of 1934, as amended, of James C. Fish, Jr.,</w:t>
            </w:r>
          </w:p>
        </w:tc>
      </w:tr>
      <w:tr>
        <w:trPr>
          <w:trHeight w:val="222"/>
        </w:trPr>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580" w:type="dxa"/>
            <w:vAlign w:val="bottom"/>
            <w:gridSpan w:val="3"/>
          </w:tcPr>
          <w:p>
            <w:pPr>
              <w:ind w:left="140"/>
              <w:spacing w:after="0"/>
              <w:rPr>
                <w:sz w:val="20"/>
                <w:szCs w:val="20"/>
                <w:color w:val="auto"/>
              </w:rPr>
            </w:pPr>
            <w:r>
              <w:rPr>
                <w:rFonts w:ascii="Arial" w:cs="Arial" w:eastAsia="Arial" w:hAnsi="Arial"/>
                <w:sz w:val="18"/>
                <w:szCs w:val="18"/>
                <w:color w:val="auto"/>
              </w:rPr>
              <w:t>Executive Vice President and Chief Financial Officer.</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w w:val="85"/>
              </w:rPr>
              <w:t>32.1</w:t>
            </w:r>
          </w:p>
        </w:tc>
        <w:tc>
          <w:tcPr>
            <w:tcW w:w="440" w:type="dxa"/>
            <w:vAlign w:val="bottom"/>
          </w:tcPr>
          <w:p>
            <w:pPr>
              <w:spacing w:after="0"/>
              <w:rPr>
                <w:sz w:val="24"/>
                <w:szCs w:val="24"/>
                <w:color w:val="auto"/>
              </w:rPr>
            </w:pPr>
          </w:p>
        </w:tc>
        <w:tc>
          <w:tcPr>
            <w:tcW w:w="10640" w:type="dxa"/>
            <w:vAlign w:val="bottom"/>
            <w:gridSpan w:val="4"/>
          </w:tcPr>
          <w:p>
            <w:pPr>
              <w:ind w:left="760"/>
              <w:spacing w:after="0"/>
              <w:rPr>
                <w:sz w:val="20"/>
                <w:szCs w:val="20"/>
                <w:color w:val="auto"/>
              </w:rPr>
            </w:pPr>
            <w:r>
              <w:rPr>
                <w:rFonts w:ascii="Arial" w:cs="Arial" w:eastAsia="Arial" w:hAnsi="Arial"/>
                <w:sz w:val="18"/>
                <w:szCs w:val="18"/>
                <w:color w:val="auto"/>
              </w:rPr>
              <w:t>—   Certification Pursuant to 18 U.S.C. §1350 of David P. Steiner, President and Chief Executive Officer.</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w w:val="85"/>
              </w:rPr>
              <w:t>32.2</w:t>
            </w:r>
          </w:p>
        </w:tc>
        <w:tc>
          <w:tcPr>
            <w:tcW w:w="440" w:type="dxa"/>
            <w:vAlign w:val="bottom"/>
          </w:tcPr>
          <w:p>
            <w:pPr>
              <w:spacing w:after="0"/>
              <w:rPr>
                <w:sz w:val="24"/>
                <w:szCs w:val="24"/>
                <w:color w:val="auto"/>
              </w:rPr>
            </w:pPr>
          </w:p>
        </w:tc>
        <w:tc>
          <w:tcPr>
            <w:tcW w:w="10640" w:type="dxa"/>
            <w:vAlign w:val="bottom"/>
            <w:gridSpan w:val="4"/>
          </w:tcPr>
          <w:p>
            <w:pPr>
              <w:ind w:left="760"/>
              <w:spacing w:after="0"/>
              <w:rPr>
                <w:sz w:val="20"/>
                <w:szCs w:val="20"/>
                <w:color w:val="auto"/>
              </w:rPr>
            </w:pPr>
            <w:r>
              <w:rPr>
                <w:rFonts w:ascii="Arial" w:cs="Arial" w:eastAsia="Arial" w:hAnsi="Arial"/>
                <w:sz w:val="18"/>
                <w:szCs w:val="18"/>
                <w:color w:val="auto"/>
              </w:rPr>
              <w:t>—   Certification Pursuant to 18 U.S.C. §1350 of James C. Fish, Jr., Executive Vice President and Chief Financial Officer.</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95</w:t>
            </w:r>
          </w:p>
        </w:tc>
        <w:tc>
          <w:tcPr>
            <w:tcW w:w="440" w:type="dxa"/>
            <w:vAlign w:val="bottom"/>
          </w:tcPr>
          <w:p>
            <w:pPr>
              <w:spacing w:after="0"/>
              <w:rPr>
                <w:sz w:val="24"/>
                <w:szCs w:val="24"/>
                <w:color w:val="auto"/>
              </w:rPr>
            </w:pPr>
          </w:p>
        </w:tc>
        <w:tc>
          <w:tcPr>
            <w:tcW w:w="1060" w:type="dxa"/>
            <w:vAlign w:val="bottom"/>
          </w:tcPr>
          <w:p>
            <w:pPr>
              <w:ind w:left="760"/>
              <w:spacing w:after="0"/>
              <w:rPr>
                <w:sz w:val="20"/>
                <w:szCs w:val="20"/>
                <w:color w:val="auto"/>
              </w:rPr>
            </w:pPr>
            <w:r>
              <w:rPr>
                <w:rFonts w:ascii="Arial" w:cs="Arial" w:eastAsia="Arial" w:hAnsi="Arial"/>
                <w:sz w:val="18"/>
                <w:szCs w:val="18"/>
                <w:color w:val="auto"/>
              </w:rPr>
              <w:t>—</w:t>
            </w:r>
          </w:p>
        </w:tc>
        <w:tc>
          <w:tcPr>
            <w:tcW w:w="9580" w:type="dxa"/>
            <w:vAlign w:val="bottom"/>
            <w:gridSpan w:val="3"/>
          </w:tcPr>
          <w:p>
            <w:pPr>
              <w:ind w:left="140"/>
              <w:spacing w:after="0"/>
              <w:rPr>
                <w:sz w:val="20"/>
                <w:szCs w:val="20"/>
                <w:color w:val="auto"/>
              </w:rPr>
            </w:pPr>
            <w:r>
              <w:rPr>
                <w:rFonts w:ascii="Arial" w:cs="Arial" w:eastAsia="Arial" w:hAnsi="Arial"/>
                <w:sz w:val="18"/>
                <w:szCs w:val="18"/>
                <w:color w:val="auto"/>
              </w:rPr>
              <w:t>Mine Safety Disclosures.</w:t>
            </w: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60" w:type="dxa"/>
            <w:vAlign w:val="bottom"/>
          </w:tcPr>
          <w:p>
            <w:pPr>
              <w:ind w:left="760"/>
              <w:spacing w:after="0"/>
              <w:rPr>
                <w:sz w:val="20"/>
                <w:szCs w:val="20"/>
                <w:color w:val="auto"/>
              </w:rPr>
            </w:pPr>
            <w:r>
              <w:rPr>
                <w:rFonts w:ascii="Arial" w:cs="Arial" w:eastAsia="Arial" w:hAnsi="Arial"/>
                <w:sz w:val="18"/>
                <w:szCs w:val="18"/>
                <w:color w:val="auto"/>
              </w:rPr>
              <w:t>—</w:t>
            </w:r>
          </w:p>
        </w:tc>
        <w:tc>
          <w:tcPr>
            <w:tcW w:w="9580" w:type="dxa"/>
            <w:vAlign w:val="bottom"/>
            <w:gridSpan w:val="3"/>
          </w:tcPr>
          <w:p>
            <w:pPr>
              <w:ind w:left="140"/>
              <w:spacing w:after="0"/>
              <w:rPr>
                <w:sz w:val="20"/>
                <w:szCs w:val="20"/>
                <w:color w:val="auto"/>
              </w:rPr>
            </w:pPr>
            <w:r>
              <w:rPr>
                <w:rFonts w:ascii="Arial" w:cs="Arial" w:eastAsia="Arial" w:hAnsi="Arial"/>
                <w:sz w:val="18"/>
                <w:szCs w:val="18"/>
                <w:color w:val="auto"/>
              </w:rPr>
              <w:t>XBRL Instance Document.</w:t>
            </w: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640" w:type="dxa"/>
            <w:vAlign w:val="bottom"/>
            <w:gridSpan w:val="4"/>
          </w:tcPr>
          <w:p>
            <w:pPr>
              <w:ind w:left="760"/>
              <w:spacing w:after="0"/>
              <w:rPr>
                <w:sz w:val="20"/>
                <w:szCs w:val="20"/>
                <w:color w:val="auto"/>
              </w:rPr>
            </w:pPr>
            <w:r>
              <w:rPr>
                <w:rFonts w:ascii="Arial" w:cs="Arial" w:eastAsia="Arial" w:hAnsi="Arial"/>
                <w:sz w:val="18"/>
                <w:szCs w:val="18"/>
                <w:color w:val="auto"/>
              </w:rPr>
              <w:t>—   XBRL Taxonomy Extension Schema Document.</w:t>
            </w: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640" w:type="dxa"/>
            <w:vAlign w:val="bottom"/>
            <w:gridSpan w:val="4"/>
          </w:tcPr>
          <w:p>
            <w:pPr>
              <w:ind w:left="76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640" w:type="dxa"/>
            <w:vAlign w:val="bottom"/>
            <w:gridSpan w:val="4"/>
          </w:tcPr>
          <w:p>
            <w:pPr>
              <w:ind w:left="760"/>
              <w:spacing w:after="0"/>
              <w:rPr>
                <w:sz w:val="20"/>
                <w:szCs w:val="20"/>
                <w:color w:val="auto"/>
              </w:rPr>
            </w:pPr>
            <w:r>
              <w:rPr>
                <w:rFonts w:ascii="Arial" w:cs="Arial" w:eastAsia="Arial" w:hAnsi="Arial"/>
                <w:sz w:val="18"/>
                <w:szCs w:val="18"/>
                <w:color w:val="auto"/>
              </w:rPr>
              <w:t>—   XBRL Taxonomy Extension Definition Linkbase Document.</w:t>
            </w: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w w:val="93"/>
              </w:rPr>
              <w:t>0101.LAB</w:t>
            </w:r>
          </w:p>
        </w:tc>
        <w:tc>
          <w:tcPr>
            <w:tcW w:w="10640" w:type="dxa"/>
            <w:vAlign w:val="bottom"/>
            <w:gridSpan w:val="4"/>
          </w:tcPr>
          <w:p>
            <w:pPr>
              <w:ind w:left="760"/>
              <w:spacing w:after="0"/>
              <w:rPr>
                <w:sz w:val="20"/>
                <w:szCs w:val="20"/>
                <w:color w:val="auto"/>
              </w:rPr>
            </w:pPr>
            <w:r>
              <w:rPr>
                <w:rFonts w:ascii="Arial" w:cs="Arial" w:eastAsia="Arial" w:hAnsi="Arial"/>
                <w:sz w:val="18"/>
                <w:szCs w:val="18"/>
                <w:color w:val="auto"/>
              </w:rPr>
              <w:t>—   XBRL Taxonomy Extension Labels Linkbase Document.</w:t>
            </w: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640" w:type="dxa"/>
            <w:vAlign w:val="bottom"/>
            <w:gridSpan w:val="4"/>
          </w:tcPr>
          <w:p>
            <w:pPr>
              <w:ind w:left="760"/>
              <w:spacing w:after="0"/>
              <w:rPr>
                <w:sz w:val="20"/>
                <w:szCs w:val="20"/>
                <w:color w:val="auto"/>
              </w:rPr>
            </w:pPr>
            <w:r>
              <w:rPr>
                <w:rFonts w:ascii="Arial" w:cs="Arial" w:eastAsia="Arial" w:hAnsi="Arial"/>
                <w:sz w:val="18"/>
                <w:szCs w:val="18"/>
                <w:color w:val="auto"/>
              </w:rPr>
              <w:t>—   XBRL Taxonomy Extension Presentation Linkbase Document.</w:t>
            </w:r>
          </w:p>
        </w:tc>
      </w:tr>
      <w:tr>
        <w:trPr>
          <w:trHeight w:val="365"/>
        </w:trPr>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520" w:type="dxa"/>
            <w:vAlign w:val="bottom"/>
          </w:tcPr>
          <w:p>
            <w:pPr>
              <w:ind w:left="3800"/>
              <w:spacing w:after="0"/>
              <w:rPr>
                <w:sz w:val="20"/>
                <w:szCs w:val="20"/>
                <w:color w:val="auto"/>
              </w:rPr>
            </w:pPr>
            <w:r>
              <w:rPr>
                <w:rFonts w:ascii="Arial" w:cs="Arial" w:eastAsia="Arial" w:hAnsi="Arial"/>
                <w:sz w:val="18"/>
                <w:szCs w:val="18"/>
                <w:color w:val="auto"/>
              </w:rPr>
              <w:t>57</w:t>
            </w:r>
          </w:p>
        </w:tc>
        <w:tc>
          <w:tcPr>
            <w:tcW w:w="700" w:type="dxa"/>
            <w:vAlign w:val="bottom"/>
          </w:tcPr>
          <w:p>
            <w:pPr>
              <w:spacing w:after="0"/>
              <w:rPr>
                <w:sz w:val="24"/>
                <w:szCs w:val="24"/>
                <w:color w:val="auto"/>
              </w:rPr>
            </w:pPr>
          </w:p>
        </w:tc>
        <w:tc>
          <w:tcPr>
            <w:tcW w:w="4360" w:type="dxa"/>
            <w:vAlign w:val="bottom"/>
          </w:tcPr>
          <w:p>
            <w:pPr>
              <w:spacing w:after="0"/>
              <w:rPr>
                <w:sz w:val="24"/>
                <w:szCs w:val="24"/>
                <w:color w:val="auto"/>
              </w:rPr>
            </w:pPr>
          </w:p>
        </w:tc>
      </w:tr>
    </w:tbl>
    <w:p>
      <w:pPr>
        <w:sectPr>
          <w:pgSz w:w="11900" w:h="16838" w:orient="portrait"/>
          <w:cols w:equalWidth="0" w:num="1">
            <w:col w:w="11400"/>
          </w:cols>
          <w:pgMar w:left="240" w:top="274" w:right="25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6860"/>
        <w:spacing w:after="0"/>
        <w:tabs>
          <w:tab w:leader="none" w:pos="8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James C. Fish, Jr.</w:t>
      </w:r>
    </w:p>
    <w:p>
      <w:pPr>
        <w:spacing w:after="0" w:line="15"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(Principal Financial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6860"/>
        <w:spacing w:after="0"/>
        <w:tabs>
          <w:tab w:leader="none" w:pos="8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DON P.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Don P. Carpenter</w:t>
      </w:r>
    </w:p>
    <w:p>
      <w:pPr>
        <w:spacing w:after="0" w:line="15"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Vice President and</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(Principal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July 23, 2015</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74"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David P. Steiner, certify that: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 have reviewed this report on Form 10-Q of Waste Management, Inc.;</w:t>
      </w:r>
    </w:p>
    <w:p>
      <w:pPr>
        <w:spacing w:after="0" w:line="225" w:lineRule="exact"/>
        <w:rPr>
          <w:sz w:val="20"/>
          <w:szCs w:val="20"/>
          <w:color w:val="auto"/>
        </w:rPr>
      </w:pPr>
    </w:p>
    <w:p>
      <w:pPr>
        <w:ind w:right="300" w:firstLine="464"/>
        <w:spacing w:after="0" w:line="342" w:lineRule="auto"/>
        <w:tabs>
          <w:tab w:leader="none" w:pos="646"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464"/>
        <w:spacing w:after="0" w:line="277" w:lineRule="auto"/>
        <w:tabs>
          <w:tab w:leader="none" w:pos="697"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40" w:firstLine="464"/>
        <w:spacing w:after="0" w:line="264" w:lineRule="auto"/>
        <w:tabs>
          <w:tab w:leader="none" w:pos="67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73" w:lineRule="exact"/>
        <w:rPr>
          <w:rFonts w:ascii="Arial" w:cs="Arial" w:eastAsia="Arial" w:hAnsi="Arial"/>
          <w:sz w:val="18"/>
          <w:szCs w:val="18"/>
          <w:color w:val="auto"/>
        </w:rPr>
      </w:pPr>
    </w:p>
    <w:p>
      <w:pPr>
        <w:ind w:left="460" w:right="80" w:firstLine="443"/>
        <w:spacing w:after="0" w:line="264" w:lineRule="auto"/>
        <w:tabs>
          <w:tab w:leader="none" w:pos="1118"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08"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600" w:firstLine="443"/>
        <w:spacing w:after="0" w:line="342" w:lineRule="auto"/>
        <w:tabs>
          <w:tab w:leader="none" w:pos="1108"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60" w:right="80" w:firstLine="443"/>
        <w:spacing w:after="0" w:line="264" w:lineRule="auto"/>
        <w:tabs>
          <w:tab w:leader="none" w:pos="1118"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464"/>
        <w:spacing w:after="0" w:line="277" w:lineRule="auto"/>
        <w:tabs>
          <w:tab w:leader="none" w:pos="62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2" w:lineRule="exact"/>
        <w:rPr>
          <w:rFonts w:ascii="Arial" w:cs="Arial" w:eastAsia="Arial" w:hAnsi="Arial"/>
          <w:sz w:val="18"/>
          <w:szCs w:val="18"/>
          <w:color w:val="auto"/>
        </w:rPr>
      </w:pPr>
    </w:p>
    <w:p>
      <w:pPr>
        <w:ind w:left="460" w:right="740" w:firstLine="443"/>
        <w:spacing w:after="0" w:line="308" w:lineRule="auto"/>
        <w:tabs>
          <w:tab w:leader="none" w:pos="1118" w:val="left"/>
        </w:tabs>
        <w:numPr>
          <w:ilvl w:val="1"/>
          <w:numId w:val="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60" w:right="520" w:firstLine="443"/>
        <w:spacing w:after="0" w:line="277" w:lineRule="auto"/>
        <w:tabs>
          <w:tab w:leader="none" w:pos="1108"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P. STEINER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23, 2015</w:t>
      </w:r>
    </w:p>
    <w:p>
      <w:pPr>
        <w:sectPr>
          <w:pgSz w:w="11900" w:h="16838" w:orient="portrait"/>
          <w:cols w:equalWidth="0" w:num="1">
            <w:col w:w="11420"/>
          </w:cols>
          <w:pgMar w:left="240" w:top="12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James C. Fish, Jr., certify that: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 have reviewed this report on Form 10-Q of Waste Management, Inc.;</w:t>
      </w:r>
    </w:p>
    <w:p>
      <w:pPr>
        <w:spacing w:after="0" w:line="225" w:lineRule="exact"/>
        <w:rPr>
          <w:sz w:val="20"/>
          <w:szCs w:val="20"/>
          <w:color w:val="auto"/>
        </w:rPr>
      </w:pPr>
    </w:p>
    <w:p>
      <w:pPr>
        <w:ind w:right="300" w:firstLine="464"/>
        <w:spacing w:after="0" w:line="342" w:lineRule="auto"/>
        <w:tabs>
          <w:tab w:leader="none" w:pos="646"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464"/>
        <w:spacing w:after="0" w:line="277" w:lineRule="auto"/>
        <w:tabs>
          <w:tab w:leader="none" w:pos="697"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40" w:firstLine="464"/>
        <w:spacing w:after="0" w:line="264" w:lineRule="auto"/>
        <w:tabs>
          <w:tab w:leader="none" w:pos="67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73" w:lineRule="exact"/>
        <w:rPr>
          <w:rFonts w:ascii="Arial" w:cs="Arial" w:eastAsia="Arial" w:hAnsi="Arial"/>
          <w:sz w:val="18"/>
          <w:szCs w:val="18"/>
          <w:color w:val="auto"/>
        </w:rPr>
      </w:pPr>
    </w:p>
    <w:p>
      <w:pPr>
        <w:ind w:left="460" w:right="80" w:firstLine="443"/>
        <w:spacing w:after="0" w:line="264" w:lineRule="auto"/>
        <w:tabs>
          <w:tab w:leader="none" w:pos="111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0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600" w:firstLine="443"/>
        <w:spacing w:after="0" w:line="342" w:lineRule="auto"/>
        <w:tabs>
          <w:tab w:leader="none" w:pos="1108"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60" w:right="80" w:firstLine="443"/>
        <w:spacing w:after="0" w:line="264" w:lineRule="auto"/>
        <w:tabs>
          <w:tab w:leader="none" w:pos="111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464"/>
        <w:spacing w:after="0" w:line="277" w:lineRule="auto"/>
        <w:tabs>
          <w:tab w:leader="none" w:pos="62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2" w:lineRule="exact"/>
        <w:rPr>
          <w:rFonts w:ascii="Arial" w:cs="Arial" w:eastAsia="Arial" w:hAnsi="Arial"/>
          <w:sz w:val="18"/>
          <w:szCs w:val="18"/>
          <w:color w:val="auto"/>
        </w:rPr>
      </w:pPr>
    </w:p>
    <w:p>
      <w:pPr>
        <w:ind w:left="460" w:right="740" w:firstLine="443"/>
        <w:spacing w:after="0" w:line="308" w:lineRule="auto"/>
        <w:tabs>
          <w:tab w:leader="none" w:pos="1118" w:val="left"/>
        </w:tabs>
        <w:numPr>
          <w:ilvl w:val="1"/>
          <w:numId w:val="5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60" w:right="520" w:firstLine="443"/>
        <w:spacing w:after="0" w:line="277" w:lineRule="auto"/>
        <w:tabs>
          <w:tab w:leader="none" w:pos="1108"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C. FISH, JR.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23, 2015</w:t>
      </w:r>
    </w:p>
    <w:p>
      <w:pPr>
        <w:sectPr>
          <w:pgSz w:w="11900" w:h="16838" w:orient="portrait"/>
          <w:cols w:equalWidth="0" w:num="1">
            <w:col w:w="11420"/>
          </w:cols>
          <w:pgMar w:left="240" w:top="12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June 30, 2015 as filed with the Securities and Exchange Commission on the date hereof (the “Report”), I, David P. Steiner, Chief Executive Officer of the Company, certify, pursuant to 18 U.S.C. § 1350, as adopted pursuant to § 906 of the Sarbanes-Oxley Act of 2002, that:</w:t>
      </w:r>
    </w:p>
    <w:p>
      <w:pPr>
        <w:spacing w:after="0" w:line="73" w:lineRule="exact"/>
        <w:rPr>
          <w:sz w:val="20"/>
          <w:szCs w:val="20"/>
          <w:color w:val="auto"/>
        </w:rPr>
      </w:pPr>
    </w:p>
    <w:p>
      <w:pPr>
        <w:ind w:left="1160" w:hanging="257"/>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60" w:right="600" w:firstLine="443"/>
        <w:spacing w:after="0" w:line="277" w:lineRule="auto"/>
        <w:tabs>
          <w:tab w:leader="none" w:pos="1153"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P. Steiner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July 23, 2015</w:t>
      </w:r>
    </w:p>
    <w:p>
      <w:pPr>
        <w:sectPr>
          <w:pgSz w:w="11900" w:h="16838" w:orient="portrait"/>
          <w:cols w:equalWidth="0" w:num="1">
            <w:col w:w="11420"/>
          </w:cols>
          <w:pgMar w:left="240" w:top="12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June 30, 2015 as filed with the Securities and Exchange Commission on the date hereof (the “Report”), I, James C. Fish, Jr., Chief Financial Officer of the Company, certify, pursuant to 18 U.S.C. § 1350, as adopted pursuant to § 906 of the Sarbanes-Oxley Act of 2002, that:</w:t>
      </w:r>
    </w:p>
    <w:p>
      <w:pPr>
        <w:spacing w:after="0" w:line="73" w:lineRule="exact"/>
        <w:rPr>
          <w:sz w:val="20"/>
          <w:szCs w:val="20"/>
          <w:color w:val="auto"/>
        </w:rPr>
      </w:pPr>
    </w:p>
    <w:p>
      <w:pPr>
        <w:ind w:left="1160" w:hanging="257"/>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60" w:right="600" w:firstLine="443"/>
        <w:spacing w:after="0" w:line="277" w:lineRule="auto"/>
        <w:tabs>
          <w:tab w:leader="none" w:pos="1153"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James C. Fish, Jr.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July 23, 2015</w:t>
      </w:r>
    </w:p>
    <w:p>
      <w:pPr>
        <w:sectPr>
          <w:pgSz w:w="11900" w:h="16838" w:orient="portrait"/>
          <w:cols w:equalWidth="0" w:num="1">
            <w:col w:w="11420"/>
          </w:cols>
          <w:pgMar w:left="240" w:top="12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29" w:lineRule="exact"/>
        <w:rPr>
          <w:sz w:val="20"/>
          <w:szCs w:val="20"/>
          <w:color w:val="auto"/>
        </w:rPr>
      </w:pPr>
    </w:p>
    <w:p>
      <w:pPr>
        <w:jc w:val="both"/>
        <w:ind w:right="560" w:firstLine="456"/>
        <w:spacing w:after="0" w:line="264" w:lineRule="auto"/>
        <w:rPr>
          <w:sz w:val="20"/>
          <w:szCs w:val="20"/>
          <w:color w:val="auto"/>
        </w:rPr>
      </w:pPr>
      <w:r>
        <w:rPr>
          <w:rFonts w:ascii="Arial" w:cs="Arial" w:eastAsia="Arial" w:hAnsi="Arial"/>
          <w:sz w:val="18"/>
          <w:szCs w:val="18"/>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8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During the quarter ended June 30, 2015,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178"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In addition, during the quarter ended June 30, 2015,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1."/>
      <w:numFmt w:val="decimal"/>
      <w:start w:val="1"/>
    </w:lvl>
  </w:abstractNum>
  <w:abstractNum w:abstractNumId="3">
    <w:nsid w:val="3A95F874"/>
    <w:multiLevelType w:val="hybridMultilevel"/>
    <w:lvl w:ilvl="0">
      <w:lvlJc w:val="left"/>
      <w:lvlText w:val="%1."/>
      <w:numFmt w:val="decimal"/>
      <w:start w:val="2"/>
    </w:lvl>
  </w:abstractNum>
  <w:abstractNum w:abstractNumId="4">
    <w:nsid w:val="8138641"/>
    <w:multiLevelType w:val="hybridMultilevel"/>
    <w:lvl w:ilvl="0">
      <w:lvlJc w:val="left"/>
      <w:lvlText w:val="(%1)"/>
      <w:numFmt w:val="lowerLetter"/>
      <w:start w:val="1"/>
    </w:lvl>
  </w:abstractNum>
  <w:abstractNum w:abstractNumId="5">
    <w:nsid w:val="1E7FF521"/>
    <w:multiLevelType w:val="hybridMultilevel"/>
    <w:lvl w:ilvl="0">
      <w:lvlJc w:val="left"/>
      <w:lvlText w:val="%1."/>
      <w:numFmt w:val="decimal"/>
      <w:start w:val="3"/>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1."/>
      <w:numFmt w:val="decimal"/>
      <w:start w:val="4"/>
    </w:lvl>
  </w:abstractNum>
  <w:abstractNum w:abstractNumId="9">
    <w:nsid w:val="22221A70"/>
    <w:multiLevelType w:val="hybridMultilevel"/>
    <w:lvl w:ilvl="0">
      <w:lvlJc w:val="left"/>
      <w:lvlText w:val="%1."/>
      <w:numFmt w:val="decimal"/>
      <w:start w:val="5"/>
    </w:lvl>
  </w:abstractNum>
  <w:abstractNum w:abstractNumId="10">
    <w:nsid w:val="4516DDE9"/>
    <w:multiLevelType w:val="hybridMultilevel"/>
    <w:lvl w:ilvl="0">
      <w:lvlJc w:val="left"/>
      <w:lvlText w:val="%1."/>
      <w:numFmt w:val="decimal"/>
      <w:start w:val="6"/>
    </w:lvl>
  </w:abstractNum>
  <w:abstractNum w:abstractNumId="11">
    <w:nsid w:val="3006C83E"/>
    <w:multiLevelType w:val="hybridMultilevel"/>
    <w:lvl w:ilvl="0">
      <w:lvlJc w:val="left"/>
      <w:lvlText w:val="%1."/>
      <w:numFmt w:val="decimal"/>
      <w:start w:val="7"/>
    </w:lvl>
  </w:abstractNum>
  <w:abstractNum w:abstractNumId="12">
    <w:nsid w:val="614FD4A1"/>
    <w:multiLevelType w:val="hybridMultilevel"/>
    <w:lvl w:ilvl="0">
      <w:lvlJc w:val="left"/>
      <w:lvlText w:val="(%1)"/>
      <w:numFmt w:val="lowerRoman"/>
      <w:start w:val="2"/>
    </w:lvl>
  </w:abstractNum>
  <w:abstractNum w:abstractNumId="13">
    <w:nsid w:val="419AC241"/>
    <w:multiLevelType w:val="hybridMultilevel"/>
    <w:lvl w:ilvl="0">
      <w:lvlJc w:val="left"/>
      <w:lvlText w:val="%1."/>
      <w:numFmt w:val="decimal"/>
      <w:start w:val="8"/>
    </w:lvl>
  </w:abstractNum>
  <w:abstractNum w:abstractNumId="14">
    <w:nsid w:val="5577F8E1"/>
    <w:multiLevelType w:val="hybridMultilevel"/>
    <w:lvl w:ilvl="0">
      <w:lvlJc w:val="left"/>
      <w:lvlText w:val="%1."/>
      <w:numFmt w:val="decimal"/>
      <w:start w:val="9"/>
    </w:lvl>
  </w:abstractNum>
  <w:abstractNum w:abstractNumId="15">
    <w:nsid w:val="440BADFC"/>
    <w:multiLevelType w:val="hybridMultilevel"/>
    <w:lvl w:ilvl="0">
      <w:lvlJc w:val="left"/>
      <w:lvlText w:val="%1."/>
      <w:numFmt w:val="decimal"/>
      <w:start w:val="10"/>
    </w:lvl>
  </w:abstractNum>
  <w:abstractNum w:abstractNumId="16">
    <w:nsid w:val="5072367"/>
    <w:multiLevelType w:val="hybridMultilevel"/>
    <w:lvl w:ilvl="0">
      <w:lvlJc w:val="left"/>
      <w:lvlText w:val="%1."/>
      <w:numFmt w:val="decimal"/>
      <w:start w:val="11"/>
    </w:lvl>
  </w:abstractNum>
  <w:abstractNum w:abstractNumId="17">
    <w:nsid w:val="3804823E"/>
    <w:multiLevelType w:val="hybridMultilevel"/>
    <w:lvl w:ilvl="0">
      <w:lvlJc w:val="left"/>
      <w:lvlText w:val="(%1)"/>
      <w:numFmt w:val="lowerLetter"/>
      <w:start w:val="1"/>
    </w:lvl>
  </w:abstractNum>
  <w:abstractNum w:abstractNumId="18">
    <w:nsid w:val="77465F01"/>
    <w:multiLevelType w:val="hybridMultilevel"/>
    <w:lvl w:ilvl="0">
      <w:lvlJc w:val="left"/>
      <w:lvlText w:val="%1."/>
      <w:numFmt w:val="decimal"/>
      <w:start w:val="3"/>
    </w:lvl>
  </w:abstractNum>
  <w:abstractNum w:abstractNumId="19">
    <w:nsid w:val="7724C67E"/>
    <w:multiLevelType w:val="hybridMultilevel"/>
    <w:lvl w:ilvl="0">
      <w:lvlJc w:val="left"/>
      <w:lvlText w:val="%1."/>
      <w:numFmt w:val="decimal"/>
      <w:start w:val="14"/>
    </w:lvl>
  </w:abstractNum>
  <w:abstractNum w:abstractNumId="20">
    <w:nsid w:val="5C482A97"/>
    <w:multiLevelType w:val="hybridMultilevel"/>
    <w:lvl w:ilvl="0">
      <w:lvlJc w:val="left"/>
      <w:lvlText w:val="%1."/>
      <w:numFmt w:val="decimal"/>
      <w:start w:val="15"/>
    </w:lvl>
  </w:abstractNum>
  <w:abstractNum w:abstractNumId="21">
    <w:nsid w:val="2463B9EA"/>
    <w:multiLevelType w:val="hybridMultilevel"/>
    <w:lvl w:ilvl="0">
      <w:lvlJc w:val="left"/>
      <w:lvlText w:val="%1."/>
      <w:numFmt w:val="decimal"/>
      <w:start w:val="16"/>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1)"/>
      <w:numFmt w:val="lowerLetter"/>
      <w:start w:val="1"/>
    </w:lvl>
  </w:abstractNum>
  <w:abstractNum w:abstractNumId="31">
    <w:nsid w:val="1D4ED43B"/>
    <w:multiLevelType w:val="hybridMultilevel"/>
    <w:lvl w:ilvl="0">
      <w:lvlJc w:val="left"/>
      <w:lvlText w:val="(%1)"/>
      <w:numFmt w:val="lowerRoman"/>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lvl w:ilvl="1">
      <w:lvlJc w:val="left"/>
      <w:lvlText w:val="(%2)"/>
      <w:numFmt w:val="lowerRoman"/>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1)"/>
      <w:numFmt w:val="lowerLetter"/>
      <w:start w:val="1"/>
    </w:lvl>
  </w:abstractNum>
  <w:abstractNum w:abstractNumId="51">
    <w:nsid w:val="520EEDD1"/>
    <w:multiLevelType w:val="hybridMultilevel"/>
    <w:lvl w:ilvl="0">
      <w:lvlJc w:val="left"/>
      <w:lvlText w:val="%1."/>
      <w:numFmt w:val="lowerRoman"/>
      <w:start w:val="2"/>
    </w:lvl>
    <w:lvl w:ilvl="1">
      <w:lvlJc w:val="left"/>
      <w:lvlText w:val="%2."/>
      <w:numFmt w:val="upperLetter"/>
      <w:start w:val="1"/>
    </w:lvl>
  </w:abstractNum>
  <w:abstractNum w:abstractNumId="52">
    <w:nsid w:val="374A3FE6"/>
    <w:multiLevelType w:val="hybridMultilevel"/>
    <w:lvl w:ilvl="0">
      <w:lvlJc w:val="left"/>
      <w:lvlText w:val="%1."/>
      <w:numFmt w:val="lowerRoman"/>
      <w:start w:val="2"/>
    </w:lvl>
    <w:lvl w:ilvl="1">
      <w:lvlJc w:val="left"/>
      <w:lvlText w:val="%2."/>
      <w:numFmt w:val="upp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2019-12-06T02:23:09Z</dcterms:created>
  <dcterms:modified xsi:type="dcterms:W3CDTF">2019-12-06T02:23:09Z</dcterms:modified>
</cp:coreProperties>
</file>