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47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DeRueda Patrick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20" w:type="dxa"/>
            <w:vAlign w:val="bottom"/>
            <w:tcBorders>
              <w:top w:val="single" w:sz="8" w:color="0000EE"/>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03/01/2005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(Last)</w:t>
            </w:r>
          </w:p>
        </w:tc>
        <w:tc>
          <w:tcPr>
            <w:tcW w:w="720" w:type="dxa"/>
            <w:vAlign w:val="bottom"/>
          </w:tcPr>
          <w:p>
            <w:pPr>
              <w:ind w:left="2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w w:val="94"/>
              </w:rPr>
              <w:t>1001 FANNIN</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SUITE 4000</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HOUSTON</w:t>
            </w:r>
          </w:p>
        </w:tc>
        <w:tc>
          <w:tcPr>
            <w:tcW w:w="720" w:type="dxa"/>
            <w:vAlign w:val="bottom"/>
          </w:tcPr>
          <w:p>
            <w:pPr>
              <w:ind w:left="20"/>
              <w:spacing w:after="0"/>
              <w:rPr>
                <w:sz w:val="20"/>
                <w:szCs w:val="20"/>
                <w:color w:val="auto"/>
              </w:rPr>
            </w:pPr>
            <w:r>
              <w:rPr>
                <w:rFonts w:ascii="Arial" w:cs="Arial" w:eastAsia="Arial" w:hAnsi="Arial"/>
                <w:sz w:val="18"/>
                <w:szCs w:val="18"/>
                <w:color w:val="0000FF"/>
              </w:rPr>
              <w:t>TX</w:t>
            </w:r>
          </w:p>
        </w:tc>
        <w:tc>
          <w:tcPr>
            <w:tcW w:w="1420" w:type="dxa"/>
            <w:vAlign w:val="bottom"/>
          </w:tcPr>
          <w:p>
            <w:pPr>
              <w:ind w:left="380"/>
              <w:spacing w:after="0"/>
              <w:rPr>
                <w:sz w:val="20"/>
                <w:szCs w:val="20"/>
                <w:color w:val="auto"/>
              </w:rPr>
            </w:pPr>
            <w:r>
              <w:rPr>
                <w:rFonts w:ascii="Arial" w:cs="Arial" w:eastAsia="Arial" w:hAnsi="Arial"/>
                <w:sz w:val="18"/>
                <w:szCs w:val="18"/>
                <w:color w:val="0000FF"/>
              </w:rPr>
              <w:t>77002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6"/>
        <w:spacing w:after="0"/>
        <w:rPr>
          <w:sz w:val="20"/>
          <w:szCs w:val="20"/>
          <w:color w:val="auto"/>
        </w:rPr>
      </w:pPr>
      <w:r>
        <w:rPr>
          <w:rFonts w:ascii="Arial" w:cs="Arial" w:eastAsia="Arial" w:hAnsi="Arial"/>
          <w:sz w:val="18"/>
          <w:szCs w:val="18"/>
          <w:color w:val="0000FF"/>
        </w:rPr>
        <w:t>President, Recycle America</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660"/>
              <w:spacing w:after="0"/>
              <w:rPr>
                <w:sz w:val="20"/>
                <w:szCs w:val="20"/>
                <w:color w:val="auto"/>
              </w:rPr>
            </w:pPr>
            <w:r>
              <w:rPr>
                <w:rFonts w:ascii="Arial" w:cs="Arial" w:eastAsia="Arial" w:hAnsi="Arial"/>
                <w:sz w:val="18"/>
                <w:szCs w:val="18"/>
                <w:color w:val="0000FF"/>
              </w:rPr>
              <w:t>8,085</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03/07/2003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03/07/2012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3,500</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27.88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03/06/2004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03/06/2013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7,000</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19.61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03/04/2005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03/04/2014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5,500</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29.24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(3)</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01/28/2003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01/28/2012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3,500</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29.64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585 shares of restricted stock units granted on January 27, 2005, and 7,500 shares of restricted stock units granted on March 1, 2005, pursuant to the Waste Management, Inc. 2004 Stock Incentive Plan. The restricted stock units vest in four equal annual installments beginning on the first anniversary of the date of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Stock option granted pursuant to Waste Management, Inc. 2000 Stock Incentive Plan. Stock option vests in 25% annual increments, commencing on the first anniversary of the date of grant.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Stock option granted pursuant to Waste Management, Inc. 1993 Stock Incentive Plan. Stock option vests in 25% annual increments, commencing on the first anniversary of the date of grant.</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6"/>
              </w:rPr>
              <w:t>Patrick J. DeRueda</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03/09/2005</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20130"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2019-12-16T05:34:05Z</dcterms:created>
  <dcterms:modified xsi:type="dcterms:W3CDTF">2019-12-16T05:34:05Z</dcterms:modified>
</cp:coreProperties>
</file>