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778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640" w:type="dxa"/>
            <w:vAlign w:val="bottom"/>
          </w:tcPr>
          <w:p>
            <w:pPr>
              <w:spacing w:after="0"/>
              <w:rPr>
                <w:sz w:val="18"/>
                <w:szCs w:val="18"/>
                <w:color w:val="auto"/>
              </w:rPr>
            </w:pPr>
          </w:p>
        </w:tc>
        <w:tc>
          <w:tcPr>
            <w:tcW w:w="7780" w:type="dxa"/>
            <w:vAlign w:val="bottom"/>
          </w:tcPr>
          <w:p>
            <w:pPr>
              <w:jc w:val="right"/>
              <w:spacing w:after="0"/>
              <w:rPr>
                <w:sz w:val="20"/>
                <w:szCs w:val="20"/>
                <w:color w:val="auto"/>
              </w:rPr>
            </w:pPr>
            <w:r>
              <w:rPr>
                <w:rFonts w:ascii="Arial" w:cs="Arial" w:eastAsia="Arial" w:hAnsi="Arial"/>
                <w:sz w:val="18"/>
                <w:szCs w:val="18"/>
                <w:color w:val="auto"/>
              </w:rPr>
              <w:t>Issuer Free Writing Prospectus dated November 12, 2009 relating to the</w:t>
            </w:r>
          </w:p>
        </w:tc>
      </w:tr>
      <w:tr>
        <w:trPr>
          <w:trHeight w:val="216"/>
        </w:trPr>
        <w:tc>
          <w:tcPr>
            <w:tcW w:w="3640" w:type="dxa"/>
            <w:vAlign w:val="bottom"/>
          </w:tcPr>
          <w:p>
            <w:pPr>
              <w:spacing w:after="0"/>
              <w:rPr>
                <w:sz w:val="18"/>
                <w:szCs w:val="18"/>
                <w:color w:val="auto"/>
              </w:rPr>
            </w:pPr>
          </w:p>
        </w:tc>
        <w:tc>
          <w:tcPr>
            <w:tcW w:w="778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November 12, 2009</w:t>
            </w:r>
          </w:p>
        </w:tc>
      </w:tr>
      <w:tr>
        <w:trPr>
          <w:trHeight w:val="216"/>
        </w:trPr>
        <w:tc>
          <w:tcPr>
            <w:tcW w:w="3640" w:type="dxa"/>
            <w:vAlign w:val="bottom"/>
          </w:tcPr>
          <w:p>
            <w:pPr>
              <w:spacing w:after="0"/>
              <w:rPr>
                <w:sz w:val="18"/>
                <w:szCs w:val="18"/>
                <w:color w:val="auto"/>
              </w:rPr>
            </w:pPr>
          </w:p>
        </w:tc>
        <w:tc>
          <w:tcPr>
            <w:tcW w:w="7780" w:type="dxa"/>
            <w:vAlign w:val="bottom"/>
          </w:tcPr>
          <w:p>
            <w:pPr>
              <w:jc w:val="right"/>
              <w:spacing w:after="0"/>
              <w:rPr>
                <w:sz w:val="20"/>
                <w:szCs w:val="20"/>
                <w:color w:val="auto"/>
              </w:rPr>
            </w:pPr>
            <w:r>
              <w:rPr>
                <w:rFonts w:ascii="Arial" w:cs="Arial" w:eastAsia="Arial" w:hAnsi="Arial"/>
                <w:sz w:val="18"/>
                <w:szCs w:val="18"/>
                <w:color w:val="auto"/>
              </w:rPr>
              <w:t>to Prospectus dated September 22, 2009</w:t>
            </w:r>
          </w:p>
        </w:tc>
      </w:tr>
      <w:tr>
        <w:trPr>
          <w:trHeight w:val="230"/>
        </w:trPr>
        <w:tc>
          <w:tcPr>
            <w:tcW w:w="3640" w:type="dxa"/>
            <w:vAlign w:val="bottom"/>
          </w:tcPr>
          <w:p>
            <w:pPr>
              <w:spacing w:after="0"/>
              <w:rPr>
                <w:sz w:val="20"/>
                <w:szCs w:val="20"/>
                <w:color w:val="auto"/>
              </w:rPr>
            </w:pPr>
          </w:p>
        </w:tc>
        <w:tc>
          <w:tcPr>
            <w:tcW w:w="7780" w:type="dxa"/>
            <w:vAlign w:val="bottom"/>
          </w:tcPr>
          <w:p>
            <w:pPr>
              <w:jc w:val="right"/>
              <w:spacing w:after="0"/>
              <w:rPr>
                <w:sz w:val="20"/>
                <w:szCs w:val="20"/>
                <w:color w:val="auto"/>
              </w:rPr>
            </w:pPr>
            <w:r>
              <w:rPr>
                <w:rFonts w:ascii="Arial" w:cs="Arial" w:eastAsia="Arial" w:hAnsi="Arial"/>
                <w:sz w:val="18"/>
                <w:szCs w:val="18"/>
                <w:color w:val="auto"/>
              </w:rPr>
              <w:t>Registration Statement No. 333-162059</w:t>
            </w:r>
          </w:p>
        </w:tc>
      </w:tr>
      <w:tr>
        <w:trPr>
          <w:trHeight w:val="522"/>
        </w:trPr>
        <w:tc>
          <w:tcPr>
            <w:tcW w:w="3640" w:type="dxa"/>
            <w:vAlign w:val="bottom"/>
          </w:tcPr>
          <w:p>
            <w:pPr>
              <w:spacing w:after="0"/>
              <w:rPr>
                <w:sz w:val="24"/>
                <w:szCs w:val="24"/>
                <w:color w:val="auto"/>
              </w:rPr>
            </w:pPr>
          </w:p>
        </w:tc>
        <w:tc>
          <w:tcPr>
            <w:tcW w:w="7780" w:type="dxa"/>
            <w:vAlign w:val="bottom"/>
          </w:tcPr>
          <w:p>
            <w:pPr>
              <w:ind w:left="1100"/>
              <w:spacing w:after="0"/>
              <w:rPr>
                <w:sz w:val="20"/>
                <w:szCs w:val="20"/>
                <w:color w:val="auto"/>
              </w:rPr>
            </w:pPr>
            <w:r>
              <w:rPr>
                <w:rFonts w:ascii="Arial" w:cs="Arial" w:eastAsia="Arial" w:hAnsi="Arial"/>
                <w:sz w:val="18"/>
                <w:szCs w:val="18"/>
                <w:b w:val="1"/>
                <w:bCs w:val="1"/>
                <w:color w:val="auto"/>
              </w:rPr>
              <w:t>Final Pricing Term Sheet</w:t>
            </w:r>
          </w:p>
        </w:tc>
      </w:tr>
      <w:tr>
        <w:trPr>
          <w:trHeight w:val="234"/>
        </w:trPr>
        <w:tc>
          <w:tcPr>
            <w:tcW w:w="3640" w:type="dxa"/>
            <w:vAlign w:val="bottom"/>
          </w:tcPr>
          <w:p>
            <w:pPr>
              <w:spacing w:after="0"/>
              <w:rPr>
                <w:sz w:val="20"/>
                <w:szCs w:val="20"/>
                <w:color w:val="auto"/>
              </w:rPr>
            </w:pPr>
          </w:p>
        </w:tc>
        <w:tc>
          <w:tcPr>
            <w:tcW w:w="7780" w:type="dxa"/>
            <w:vAlign w:val="bottom"/>
          </w:tcPr>
          <w:p>
            <w:pPr>
              <w:ind w:left="900"/>
              <w:spacing w:after="0"/>
              <w:rPr>
                <w:sz w:val="20"/>
                <w:szCs w:val="20"/>
                <w:color w:val="auto"/>
              </w:rPr>
            </w:pPr>
            <w:r>
              <w:rPr>
                <w:rFonts w:ascii="Arial" w:cs="Arial" w:eastAsia="Arial" w:hAnsi="Arial"/>
                <w:sz w:val="18"/>
                <w:szCs w:val="18"/>
                <w:b w:val="1"/>
                <w:bCs w:val="1"/>
                <w:color w:val="auto"/>
              </w:rPr>
              <w:t>6.125% Senior Notes due 2039</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Issuer:</w:t>
            </w:r>
          </w:p>
        </w:tc>
        <w:tc>
          <w:tcPr>
            <w:tcW w:w="7780" w:type="dxa"/>
            <w:vAlign w:val="bottom"/>
          </w:tcPr>
          <w:p>
            <w:pPr>
              <w:ind w:left="1160"/>
              <w:spacing w:after="0"/>
              <w:rPr>
                <w:sz w:val="20"/>
                <w:szCs w:val="20"/>
                <w:color w:val="auto"/>
              </w:rPr>
            </w:pPr>
            <w:r>
              <w:rPr>
                <w:rFonts w:ascii="Arial" w:cs="Arial" w:eastAsia="Arial" w:hAnsi="Arial"/>
                <w:sz w:val="18"/>
                <w:szCs w:val="18"/>
                <w:color w:val="auto"/>
              </w:rPr>
              <w:t>Waste Management,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Guarantor:</w:t>
            </w:r>
          </w:p>
        </w:tc>
        <w:tc>
          <w:tcPr>
            <w:tcW w:w="7780" w:type="dxa"/>
            <w:vAlign w:val="bottom"/>
          </w:tcPr>
          <w:p>
            <w:pPr>
              <w:ind w:left="1160"/>
              <w:spacing w:after="0"/>
              <w:rPr>
                <w:sz w:val="20"/>
                <w:szCs w:val="20"/>
                <w:color w:val="auto"/>
              </w:rPr>
            </w:pPr>
            <w:r>
              <w:rPr>
                <w:rFonts w:ascii="Arial" w:cs="Arial" w:eastAsia="Arial" w:hAnsi="Arial"/>
                <w:sz w:val="18"/>
                <w:szCs w:val="18"/>
                <w:color w:val="auto"/>
              </w:rPr>
              <w:t>Waste Management Holdings,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Size:</w:t>
            </w:r>
          </w:p>
        </w:tc>
        <w:tc>
          <w:tcPr>
            <w:tcW w:w="7780" w:type="dxa"/>
            <w:vAlign w:val="bottom"/>
          </w:tcPr>
          <w:p>
            <w:pPr>
              <w:ind w:left="1160"/>
              <w:spacing w:after="0"/>
              <w:rPr>
                <w:sz w:val="20"/>
                <w:szCs w:val="20"/>
                <w:color w:val="auto"/>
              </w:rPr>
            </w:pPr>
            <w:r>
              <w:rPr>
                <w:rFonts w:ascii="Arial" w:cs="Arial" w:eastAsia="Arial" w:hAnsi="Arial"/>
                <w:sz w:val="18"/>
                <w:szCs w:val="18"/>
                <w:color w:val="auto"/>
              </w:rPr>
              <w:t>$600,000,000</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Maturity:</w:t>
            </w:r>
          </w:p>
        </w:tc>
        <w:tc>
          <w:tcPr>
            <w:tcW w:w="7780" w:type="dxa"/>
            <w:vAlign w:val="bottom"/>
          </w:tcPr>
          <w:p>
            <w:pPr>
              <w:ind w:left="1160"/>
              <w:spacing w:after="0"/>
              <w:rPr>
                <w:sz w:val="20"/>
                <w:szCs w:val="20"/>
                <w:color w:val="auto"/>
              </w:rPr>
            </w:pPr>
            <w:r>
              <w:rPr>
                <w:rFonts w:ascii="Arial" w:cs="Arial" w:eastAsia="Arial" w:hAnsi="Arial"/>
                <w:sz w:val="18"/>
                <w:szCs w:val="18"/>
                <w:color w:val="auto"/>
              </w:rPr>
              <w:t>November 30, 2039</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Coupon:</w:t>
            </w:r>
          </w:p>
        </w:tc>
        <w:tc>
          <w:tcPr>
            <w:tcW w:w="7780" w:type="dxa"/>
            <w:vAlign w:val="bottom"/>
          </w:tcPr>
          <w:p>
            <w:pPr>
              <w:ind w:left="1160"/>
              <w:spacing w:after="0"/>
              <w:rPr>
                <w:sz w:val="20"/>
                <w:szCs w:val="20"/>
                <w:color w:val="auto"/>
              </w:rPr>
            </w:pPr>
            <w:r>
              <w:rPr>
                <w:rFonts w:ascii="Arial" w:cs="Arial" w:eastAsia="Arial" w:hAnsi="Arial"/>
                <w:sz w:val="18"/>
                <w:szCs w:val="18"/>
                <w:color w:val="auto"/>
              </w:rPr>
              <w:t>6.125%</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Price to Public:</w:t>
            </w:r>
          </w:p>
        </w:tc>
        <w:tc>
          <w:tcPr>
            <w:tcW w:w="7780" w:type="dxa"/>
            <w:vAlign w:val="bottom"/>
          </w:tcPr>
          <w:p>
            <w:pPr>
              <w:ind w:left="1160"/>
              <w:spacing w:after="0"/>
              <w:rPr>
                <w:sz w:val="20"/>
                <w:szCs w:val="20"/>
                <w:color w:val="auto"/>
              </w:rPr>
            </w:pPr>
            <w:r>
              <w:rPr>
                <w:rFonts w:ascii="Arial" w:cs="Arial" w:eastAsia="Arial" w:hAnsi="Arial"/>
                <w:sz w:val="18"/>
                <w:szCs w:val="18"/>
                <w:color w:val="auto"/>
              </w:rPr>
              <w:t>99.466% of face amount</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Underwriting discount:</w:t>
            </w:r>
          </w:p>
        </w:tc>
        <w:tc>
          <w:tcPr>
            <w:tcW w:w="7780" w:type="dxa"/>
            <w:vAlign w:val="bottom"/>
          </w:tcPr>
          <w:p>
            <w:pPr>
              <w:ind w:left="1160"/>
              <w:spacing w:after="0"/>
              <w:rPr>
                <w:sz w:val="20"/>
                <w:szCs w:val="20"/>
                <w:color w:val="auto"/>
              </w:rPr>
            </w:pPr>
            <w:r>
              <w:rPr>
                <w:rFonts w:ascii="Arial" w:cs="Arial" w:eastAsia="Arial" w:hAnsi="Arial"/>
                <w:sz w:val="18"/>
                <w:szCs w:val="18"/>
                <w:color w:val="auto"/>
              </w:rPr>
              <w:t>0.875%</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Yield to maturity:</w:t>
            </w:r>
          </w:p>
        </w:tc>
        <w:tc>
          <w:tcPr>
            <w:tcW w:w="7780" w:type="dxa"/>
            <w:vAlign w:val="bottom"/>
          </w:tcPr>
          <w:p>
            <w:pPr>
              <w:ind w:left="1160"/>
              <w:spacing w:after="0"/>
              <w:rPr>
                <w:sz w:val="20"/>
                <w:szCs w:val="20"/>
                <w:color w:val="auto"/>
              </w:rPr>
            </w:pPr>
            <w:r>
              <w:rPr>
                <w:rFonts w:ascii="Arial" w:cs="Arial" w:eastAsia="Arial" w:hAnsi="Arial"/>
                <w:sz w:val="18"/>
                <w:szCs w:val="18"/>
                <w:color w:val="auto"/>
              </w:rPr>
              <w:t>6.164%</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7780" w:type="dxa"/>
            <w:vAlign w:val="bottom"/>
          </w:tcPr>
          <w:p>
            <w:pPr>
              <w:ind w:left="1160"/>
              <w:spacing w:after="0"/>
              <w:rPr>
                <w:sz w:val="20"/>
                <w:szCs w:val="20"/>
                <w:color w:val="auto"/>
              </w:rPr>
            </w:pPr>
            <w:r>
              <w:rPr>
                <w:rFonts w:ascii="Arial" w:cs="Arial" w:eastAsia="Arial" w:hAnsi="Arial"/>
                <w:sz w:val="18"/>
                <w:szCs w:val="18"/>
                <w:color w:val="auto"/>
              </w:rPr>
              <w:t>1.750%</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Benchmark Treasury:</w:t>
            </w:r>
          </w:p>
        </w:tc>
        <w:tc>
          <w:tcPr>
            <w:tcW w:w="7780" w:type="dxa"/>
            <w:vAlign w:val="bottom"/>
          </w:tcPr>
          <w:p>
            <w:pPr>
              <w:ind w:left="1160"/>
              <w:spacing w:after="0"/>
              <w:rPr>
                <w:sz w:val="20"/>
                <w:szCs w:val="20"/>
                <w:color w:val="auto"/>
              </w:rPr>
            </w:pPr>
            <w:r>
              <w:rPr>
                <w:rFonts w:ascii="Arial" w:cs="Arial" w:eastAsia="Arial" w:hAnsi="Arial"/>
                <w:sz w:val="18"/>
                <w:szCs w:val="18"/>
                <w:color w:val="auto"/>
              </w:rPr>
              <w:t>4.250% due 05/15/2039</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7780" w:type="dxa"/>
            <w:vAlign w:val="bottom"/>
          </w:tcPr>
          <w:p>
            <w:pPr>
              <w:ind w:left="1160"/>
              <w:spacing w:after="0"/>
              <w:rPr>
                <w:sz w:val="20"/>
                <w:szCs w:val="20"/>
                <w:color w:val="auto"/>
              </w:rPr>
            </w:pPr>
            <w:r>
              <w:rPr>
                <w:rFonts w:ascii="Arial" w:cs="Arial" w:eastAsia="Arial" w:hAnsi="Arial"/>
                <w:sz w:val="18"/>
                <w:szCs w:val="18"/>
                <w:color w:val="auto"/>
              </w:rPr>
              <w:t>97 - 10 + 4.414%</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7780" w:type="dxa"/>
            <w:vAlign w:val="bottom"/>
          </w:tcPr>
          <w:p>
            <w:pPr>
              <w:ind w:left="1160"/>
              <w:spacing w:after="0"/>
              <w:rPr>
                <w:sz w:val="20"/>
                <w:szCs w:val="20"/>
                <w:color w:val="auto"/>
              </w:rPr>
            </w:pPr>
            <w:r>
              <w:rPr>
                <w:rFonts w:ascii="Arial" w:cs="Arial" w:eastAsia="Arial" w:hAnsi="Arial"/>
                <w:sz w:val="18"/>
                <w:szCs w:val="18"/>
                <w:color w:val="auto"/>
              </w:rPr>
              <w:t>Semi-annually on November 30 and May 30, commencing May 30, 2010.</w:t>
            </w:r>
          </w:p>
        </w:tc>
      </w:tr>
      <w:tr>
        <w:trPr>
          <w:trHeight w:val="418"/>
        </w:trPr>
        <w:tc>
          <w:tcPr>
            <w:tcW w:w="3640" w:type="dxa"/>
            <w:vAlign w:val="bottom"/>
          </w:tcPr>
          <w:p>
            <w:pPr>
              <w:spacing w:after="0"/>
              <w:rPr>
                <w:sz w:val="20"/>
                <w:szCs w:val="20"/>
                <w:color w:val="auto"/>
              </w:rPr>
            </w:pPr>
            <w:r>
              <w:rPr>
                <w:rFonts w:ascii="Arial" w:cs="Arial" w:eastAsia="Arial" w:hAnsi="Arial"/>
                <w:sz w:val="18"/>
                <w:szCs w:val="18"/>
                <w:color w:val="auto"/>
              </w:rPr>
              <w:t>Redemption Provisions:</w:t>
            </w:r>
          </w:p>
        </w:tc>
        <w:tc>
          <w:tcPr>
            <w:tcW w:w="7780" w:type="dxa"/>
            <w:vAlign w:val="bottom"/>
          </w:tcPr>
          <w:p>
            <w:pPr>
              <w:spacing w:after="0"/>
              <w:rPr>
                <w:sz w:val="24"/>
                <w:szCs w:val="24"/>
                <w:color w:val="auto"/>
              </w:rPr>
            </w:pPr>
          </w:p>
        </w:tc>
      </w:tr>
      <w:tr>
        <w:trPr>
          <w:trHeight w:val="216"/>
        </w:trPr>
        <w:tc>
          <w:tcPr>
            <w:tcW w:w="3640" w:type="dxa"/>
            <w:vAlign w:val="bottom"/>
          </w:tcPr>
          <w:p>
            <w:pPr>
              <w:ind w:left="140"/>
              <w:spacing w:after="0"/>
              <w:rPr>
                <w:sz w:val="20"/>
                <w:szCs w:val="20"/>
                <w:color w:val="auto"/>
              </w:rPr>
            </w:pPr>
            <w:r>
              <w:rPr>
                <w:rFonts w:ascii="Arial" w:cs="Arial" w:eastAsia="Arial" w:hAnsi="Arial"/>
                <w:sz w:val="18"/>
                <w:szCs w:val="18"/>
                <w:color w:val="auto"/>
              </w:rPr>
              <w:t>Optional Redemption:</w:t>
            </w:r>
          </w:p>
        </w:tc>
        <w:tc>
          <w:tcPr>
            <w:tcW w:w="7780" w:type="dxa"/>
            <w:vAlign w:val="bottom"/>
          </w:tcPr>
          <w:p>
            <w:pPr>
              <w:ind w:left="1160"/>
              <w:spacing w:after="0"/>
              <w:rPr>
                <w:sz w:val="20"/>
                <w:szCs w:val="20"/>
                <w:color w:val="auto"/>
              </w:rPr>
            </w:pPr>
            <w:r>
              <w:rPr>
                <w:rFonts w:ascii="Arial" w:cs="Arial" w:eastAsia="Arial" w:hAnsi="Arial"/>
                <w:sz w:val="18"/>
                <w:szCs w:val="18"/>
                <w:color w:val="auto"/>
                <w:w w:val="93"/>
              </w:rPr>
              <w:t>At any time for an amount equal to the greater of (1) 100% of the principal amount of the</w:t>
            </w:r>
          </w:p>
        </w:tc>
      </w:tr>
      <w:tr>
        <w:trPr>
          <w:trHeight w:val="216"/>
        </w:trPr>
        <w:tc>
          <w:tcPr>
            <w:tcW w:w="3640" w:type="dxa"/>
            <w:vAlign w:val="bottom"/>
          </w:tcPr>
          <w:p>
            <w:pPr>
              <w:spacing w:after="0"/>
              <w:rPr>
                <w:sz w:val="18"/>
                <w:szCs w:val="18"/>
                <w:color w:val="auto"/>
              </w:rPr>
            </w:pPr>
          </w:p>
        </w:tc>
        <w:tc>
          <w:tcPr>
            <w:tcW w:w="7780" w:type="dxa"/>
            <w:vAlign w:val="bottom"/>
          </w:tcPr>
          <w:p>
            <w:pPr>
              <w:ind w:left="1160"/>
              <w:spacing w:after="0"/>
              <w:rPr>
                <w:sz w:val="20"/>
                <w:szCs w:val="20"/>
                <w:color w:val="auto"/>
              </w:rPr>
            </w:pPr>
            <w:r>
              <w:rPr>
                <w:rFonts w:ascii="Arial" w:cs="Arial" w:eastAsia="Arial" w:hAnsi="Arial"/>
                <w:sz w:val="18"/>
                <w:szCs w:val="18"/>
                <w:color w:val="auto"/>
                <w:w w:val="89"/>
              </w:rPr>
              <w:t>notes redeemed and repaid, or (2) the sum of the present values of the remaining scheduled</w:t>
            </w:r>
          </w:p>
        </w:tc>
      </w:tr>
      <w:tr>
        <w:trPr>
          <w:trHeight w:val="216"/>
        </w:trPr>
        <w:tc>
          <w:tcPr>
            <w:tcW w:w="3640" w:type="dxa"/>
            <w:vAlign w:val="bottom"/>
          </w:tcPr>
          <w:p>
            <w:pPr>
              <w:spacing w:after="0"/>
              <w:rPr>
                <w:sz w:val="18"/>
                <w:szCs w:val="18"/>
                <w:color w:val="auto"/>
              </w:rPr>
            </w:pPr>
          </w:p>
        </w:tc>
        <w:tc>
          <w:tcPr>
            <w:tcW w:w="7780" w:type="dxa"/>
            <w:vAlign w:val="bottom"/>
          </w:tcPr>
          <w:p>
            <w:pPr>
              <w:ind w:left="1160"/>
              <w:spacing w:after="0"/>
              <w:rPr>
                <w:sz w:val="20"/>
                <w:szCs w:val="20"/>
                <w:color w:val="auto"/>
              </w:rPr>
            </w:pPr>
            <w:r>
              <w:rPr>
                <w:rFonts w:ascii="Arial" w:cs="Arial" w:eastAsia="Arial" w:hAnsi="Arial"/>
                <w:sz w:val="18"/>
                <w:szCs w:val="18"/>
                <w:color w:val="auto"/>
                <w:w w:val="92"/>
              </w:rPr>
              <w:t>payments of principal and interest on such notes discounted to the redemption date at the</w:t>
            </w:r>
          </w:p>
        </w:tc>
      </w:tr>
      <w:tr>
        <w:trPr>
          <w:trHeight w:val="230"/>
        </w:trPr>
        <w:tc>
          <w:tcPr>
            <w:tcW w:w="3640" w:type="dxa"/>
            <w:vAlign w:val="bottom"/>
          </w:tcPr>
          <w:p>
            <w:pPr>
              <w:spacing w:after="0"/>
              <w:rPr>
                <w:sz w:val="20"/>
                <w:szCs w:val="20"/>
                <w:color w:val="auto"/>
              </w:rPr>
            </w:pPr>
          </w:p>
        </w:tc>
        <w:tc>
          <w:tcPr>
            <w:tcW w:w="7780" w:type="dxa"/>
            <w:vAlign w:val="bottom"/>
          </w:tcPr>
          <w:p>
            <w:pPr>
              <w:ind w:left="1160"/>
              <w:spacing w:after="0"/>
              <w:rPr>
                <w:sz w:val="20"/>
                <w:szCs w:val="20"/>
                <w:color w:val="auto"/>
              </w:rPr>
            </w:pPr>
            <w:r>
              <w:rPr>
                <w:rFonts w:ascii="Arial" w:cs="Arial" w:eastAsia="Arial" w:hAnsi="Arial"/>
                <w:sz w:val="18"/>
                <w:szCs w:val="18"/>
                <w:color w:val="auto"/>
              </w:rPr>
              <w:t>applicable Treasury Yield plus 30 basis points.</w:t>
            </w:r>
          </w:p>
        </w:tc>
      </w:tr>
      <w:tr>
        <w:trPr>
          <w:trHeight w:val="418"/>
        </w:trPr>
        <w:tc>
          <w:tcPr>
            <w:tcW w:w="3640" w:type="dxa"/>
            <w:vAlign w:val="bottom"/>
          </w:tcPr>
          <w:p>
            <w:pPr>
              <w:ind w:left="140"/>
              <w:spacing w:after="0"/>
              <w:rPr>
                <w:sz w:val="20"/>
                <w:szCs w:val="20"/>
                <w:color w:val="auto"/>
              </w:rPr>
            </w:pPr>
            <w:r>
              <w:rPr>
                <w:rFonts w:ascii="Arial" w:cs="Arial" w:eastAsia="Arial" w:hAnsi="Arial"/>
                <w:sz w:val="18"/>
                <w:szCs w:val="18"/>
                <w:color w:val="auto"/>
              </w:rPr>
              <w:t>Change of Control Put:</w:t>
            </w:r>
          </w:p>
        </w:tc>
        <w:tc>
          <w:tcPr>
            <w:tcW w:w="7780" w:type="dxa"/>
            <w:vAlign w:val="bottom"/>
          </w:tcPr>
          <w:p>
            <w:pPr>
              <w:ind w:left="1160"/>
              <w:spacing w:after="0"/>
              <w:rPr>
                <w:sz w:val="20"/>
                <w:szCs w:val="20"/>
                <w:color w:val="auto"/>
              </w:rPr>
            </w:pPr>
            <w:r>
              <w:rPr>
                <w:rFonts w:ascii="Arial" w:cs="Arial" w:eastAsia="Arial" w:hAnsi="Arial"/>
                <w:sz w:val="18"/>
                <w:szCs w:val="18"/>
                <w:color w:val="auto"/>
                <w:w w:val="92"/>
              </w:rPr>
              <w:t>A put right upon the occurrence of a change of control triggering event as described in the</w:t>
            </w:r>
          </w:p>
        </w:tc>
      </w:tr>
      <w:tr>
        <w:trPr>
          <w:trHeight w:val="230"/>
        </w:trPr>
        <w:tc>
          <w:tcPr>
            <w:tcW w:w="3640" w:type="dxa"/>
            <w:vAlign w:val="bottom"/>
          </w:tcPr>
          <w:p>
            <w:pPr>
              <w:spacing w:after="0"/>
              <w:rPr>
                <w:sz w:val="20"/>
                <w:szCs w:val="20"/>
                <w:color w:val="auto"/>
              </w:rPr>
            </w:pPr>
          </w:p>
        </w:tc>
        <w:tc>
          <w:tcPr>
            <w:tcW w:w="7780" w:type="dxa"/>
            <w:vAlign w:val="bottom"/>
          </w:tcPr>
          <w:p>
            <w:pPr>
              <w:ind w:left="1160"/>
              <w:spacing w:after="0"/>
              <w:rPr>
                <w:sz w:val="20"/>
                <w:szCs w:val="20"/>
                <w:color w:val="auto"/>
              </w:rPr>
            </w:pPr>
            <w:r>
              <w:rPr>
                <w:rFonts w:ascii="Arial" w:cs="Arial" w:eastAsia="Arial" w:hAnsi="Arial"/>
                <w:sz w:val="18"/>
                <w:szCs w:val="18"/>
                <w:color w:val="auto"/>
              </w:rPr>
              <w:t>Preliminary Prospectus Supplement dated November 12, 2009.</w:t>
            </w:r>
          </w:p>
        </w:tc>
      </w:tr>
      <w:tr>
        <w:trPr>
          <w:trHeight w:val="618"/>
        </w:trPr>
        <w:tc>
          <w:tcPr>
            <w:tcW w:w="3640" w:type="dxa"/>
            <w:vAlign w:val="bottom"/>
            <w:tcBorders>
              <w:bottom w:val="single" w:sz="8" w:color="808080"/>
            </w:tcBorders>
          </w:tcPr>
          <w:p>
            <w:pPr>
              <w:spacing w:after="0"/>
              <w:rPr>
                <w:sz w:val="24"/>
                <w:szCs w:val="24"/>
                <w:color w:val="auto"/>
              </w:rPr>
            </w:pPr>
          </w:p>
        </w:tc>
        <w:tc>
          <w:tcPr>
            <w:tcW w:w="77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T+3; November 17, 2009</w:t>
      </w:r>
    </w:p>
    <w:p>
      <w:pPr>
        <w:spacing w:after="0" w:line="154" w:lineRule="exact"/>
        <w:rPr>
          <w:sz w:val="20"/>
          <w:szCs w:val="20"/>
          <w:color w:val="auto"/>
        </w:rPr>
      </w:pPr>
    </w:p>
    <w:p>
      <w:pPr>
        <w:sectPr>
          <w:pgSz w:w="11900" w:h="16838" w:orient="portrait"/>
          <w:cols w:equalWidth="0" w:num="2">
            <w:col w:w="4080" w:space="720"/>
            <w:col w:w="6620"/>
          </w:cols>
          <w:pgMar w:left="240" w:top="1152" w:right="239" w:bottom="1440" w:gutter="0" w:footer="0" w:header="0"/>
        </w:sectPr>
      </w:pPr>
    </w:p>
    <w:p>
      <w:pPr>
        <w:spacing w:after="0"/>
        <w:rPr>
          <w:sz w:val="20"/>
          <w:szCs w:val="20"/>
          <w:color w:val="auto"/>
        </w:rPr>
      </w:pPr>
      <w:r>
        <w:rPr>
          <w:rFonts w:ascii="Arial" w:cs="Arial" w:eastAsia="Arial" w:hAnsi="Arial"/>
          <w:sz w:val="16"/>
          <w:szCs w:val="16"/>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94106LAV1</w:t>
      </w:r>
    </w:p>
    <w:p>
      <w:pPr>
        <w:spacing w:after="0" w:line="154" w:lineRule="exact"/>
        <w:rPr>
          <w:sz w:val="20"/>
          <w:szCs w:val="20"/>
          <w:color w:val="auto"/>
        </w:rPr>
      </w:pPr>
    </w:p>
    <w:p>
      <w:pPr>
        <w:sectPr>
          <w:pgSz w:w="11900" w:h="16838" w:orient="portrait"/>
          <w:cols w:equalWidth="0" w:num="2">
            <w:col w:w="4080" w:space="720"/>
            <w:col w:w="6620"/>
          </w:cols>
          <w:pgMar w:left="240" w:top="1152" w:right="239" w:bottom="1440" w:gutter="0" w:footer="0" w:header="0"/>
          <w:type w:val="continuous"/>
        </w:sectPr>
      </w:pPr>
    </w:p>
    <w:p>
      <w:pPr>
        <w:spacing w:after="0"/>
        <w:rPr>
          <w:sz w:val="20"/>
          <w:szCs w:val="20"/>
          <w:color w:val="auto"/>
        </w:rPr>
      </w:pPr>
      <w:r>
        <w:rPr>
          <w:rFonts w:ascii="Arial" w:cs="Arial" w:eastAsia="Arial" w:hAnsi="Arial"/>
          <w:sz w:val="16"/>
          <w:szCs w:val="16"/>
          <w:color w:val="auto"/>
        </w:rPr>
        <w:t>Joint Book-Running and</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BNP Paribas Securities Corp.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J.P. Morgan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Wells Fargo Securities, LLC</w:t>
      </w:r>
    </w:p>
    <w:p>
      <w:pPr>
        <w:spacing w:after="0" w:line="128" w:lineRule="exact"/>
        <w:rPr>
          <w:sz w:val="20"/>
          <w:szCs w:val="20"/>
          <w:color w:val="auto"/>
        </w:rPr>
      </w:pPr>
    </w:p>
    <w:p>
      <w:pPr>
        <w:sectPr>
          <w:pgSz w:w="11900" w:h="16838" w:orient="portrait"/>
          <w:cols w:equalWidth="0" w:num="2">
            <w:col w:w="4080" w:space="720"/>
            <w:col w:w="6620"/>
          </w:cols>
          <w:pgMar w:left="240" w:top="1152"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Calyon Securities (USA)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Daiwa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Mitsubishi UFJ Securities (USA),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Keegan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116" w:lineRule="exact"/>
        <w:rPr>
          <w:sz w:val="20"/>
          <w:szCs w:val="20"/>
          <w:color w:val="auto"/>
        </w:rPr>
      </w:pPr>
    </w:p>
    <w:p>
      <w:pPr>
        <w:sectPr>
          <w:pgSz w:w="11900" w:h="16838" w:orient="portrait"/>
          <w:cols w:equalWidth="0" w:num="2">
            <w:col w:w="4080" w:space="720"/>
            <w:col w:w="6620"/>
          </w:cols>
          <w:pgMar w:left="240" w:top="1152" w:right="239" w:bottom="1440" w:gutter="0" w:footer="0" w:header="0"/>
          <w:type w:val="continuous"/>
        </w:sectPr>
      </w:pPr>
    </w:p>
    <w:p>
      <w:pPr>
        <w:spacing w:after="0"/>
        <w:rPr>
          <w:sz w:val="20"/>
          <w:szCs w:val="20"/>
          <w:color w:val="auto"/>
        </w:rPr>
      </w:pPr>
      <w:r>
        <w:rPr>
          <w:rFonts w:ascii="Arial" w:cs="Arial" w:eastAsia="Arial" w:hAnsi="Arial"/>
          <w:sz w:val="16"/>
          <w:szCs w:val="16"/>
          <w:color w:val="auto"/>
        </w:rPr>
        <w:t>Anticipated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Baa3 (Stable)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BBB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BBB (Stable)</w:t>
      </w:r>
    </w:p>
    <w:p>
      <w:pPr>
        <w:spacing w:after="0" w:line="103" w:lineRule="exact"/>
        <w:rPr>
          <w:sz w:val="20"/>
          <w:szCs w:val="20"/>
          <w:color w:val="auto"/>
        </w:rPr>
      </w:pPr>
    </w:p>
    <w:p>
      <w:pPr>
        <w:sectPr>
          <w:pgSz w:w="11900" w:h="16838" w:orient="portrait"/>
          <w:cols w:equalWidth="0" w:num="2">
            <w:col w:w="4080" w:space="720"/>
            <w:col w:w="6620"/>
          </w:cols>
          <w:pgMar w:left="240" w:top="1152" w:right="239" w:bottom="1440" w:gutter="0" w:footer="0" w:header="0"/>
          <w:type w:val="continuous"/>
        </w:sect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J.P. Morgan Securities Inc. collect at 1-212-834-4533</w:t>
      </w:r>
      <w:r>
        <w:rPr>
          <w:rFonts w:ascii="Arial" w:cs="Arial" w:eastAsia="Arial" w:hAnsi="Arial"/>
          <w:sz w:val="16"/>
          <w:szCs w:val="16"/>
          <w:color w:val="auto"/>
        </w:rPr>
        <w:t>;</w:t>
      </w:r>
      <w:r>
        <w:rPr>
          <w:rFonts w:ascii="Arial" w:cs="Arial" w:eastAsia="Arial" w:hAnsi="Arial"/>
          <w:sz w:val="16"/>
          <w:szCs w:val="16"/>
          <w:b w:val="1"/>
          <w:bCs w:val="1"/>
          <w:color w:val="auto"/>
        </w:rPr>
        <w:t xml:space="preserve"> Wells Fargo Securities, LLC toll-free at 1-800-326-5897; BNP Paribas Securities Corp. toll-free at 1-800-854-5674; or Scotia Capital (USA) Inc. toll-free at 1-800-372-3930.</w:t>
      </w:r>
    </w:p>
    <w:p>
      <w:pPr>
        <w:spacing w:after="0" w:line="5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sectPr>
      <w:pgSz w:w="11900" w:h="16838" w:orient="portrait"/>
      <w:cols w:equalWidth="0" w:num="1">
        <w:col w:w="11420"/>
      </w:cols>
      <w:pgMar w:left="240" w:top="115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2019-12-10T07:11:17Z</dcterms:created>
  <dcterms:modified xsi:type="dcterms:W3CDTF">2019-12-10T07:11:17Z</dcterms:modified>
</cp:coreProperties>
</file>