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333-184157</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82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Title of Each Class of</w:t>
            </w:r>
          </w:p>
        </w:tc>
        <w:tc>
          <w:tcPr>
            <w:tcW w:w="1600" w:type="dxa"/>
            <w:vAlign w:val="bottom"/>
            <w:tcBorders>
              <w:right w:val="single" w:sz="8" w:color="auto"/>
            </w:tcBorders>
          </w:tcPr>
          <w:p>
            <w:pPr>
              <w:spacing w:after="0"/>
              <w:rPr>
                <w:sz w:val="9"/>
                <w:szCs w:val="9"/>
                <w:color w:val="auto"/>
              </w:rPr>
            </w:pPr>
          </w:p>
        </w:tc>
        <w:tc>
          <w:tcPr>
            <w:tcW w:w="1560" w:type="dxa"/>
            <w:vAlign w:val="bottom"/>
          </w:tcPr>
          <w:p>
            <w:pPr>
              <w:spacing w:after="0"/>
              <w:rPr>
                <w:sz w:val="9"/>
                <w:szCs w:val="9"/>
                <w:color w:val="auto"/>
              </w:rPr>
            </w:pPr>
          </w:p>
        </w:tc>
      </w:tr>
      <w:tr>
        <w:trPr>
          <w:trHeight w:val="185"/>
        </w:trPr>
        <w:tc>
          <w:tcPr>
            <w:tcW w:w="20" w:type="dxa"/>
            <w:vAlign w:val="bottom"/>
          </w:tcPr>
          <w:p>
            <w:pPr>
              <w:spacing w:after="0"/>
              <w:rPr>
                <w:sz w:val="16"/>
                <w:szCs w:val="16"/>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b w:val="1"/>
                <w:bCs w:val="1"/>
                <w:color w:val="auto"/>
              </w:rPr>
              <w:t>Offering Price</w:t>
            </w:r>
          </w:p>
        </w:tc>
        <w:tc>
          <w:tcPr>
            <w:tcW w:w="15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3.125% Senior Notes due 2025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$600,000,000</w:t>
            </w:r>
          </w:p>
        </w:tc>
        <w:tc>
          <w:tcPr>
            <w:tcW w:w="15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$69,720</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Guarantee of 2025 Notes(2)</w:t>
            </w:r>
          </w:p>
        </w:tc>
        <w:tc>
          <w:tcPr>
            <w:tcW w:w="16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3.900% Senior Notes due 2035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$450,000,000</w:t>
            </w:r>
          </w:p>
        </w:tc>
        <w:tc>
          <w:tcPr>
            <w:tcW w:w="15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$52,290</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Guarantee of 2035 Notes(2)</w:t>
            </w:r>
          </w:p>
        </w:tc>
        <w:tc>
          <w:tcPr>
            <w:tcW w:w="16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4.100% Senior Notes due 2045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$750,000,000</w:t>
            </w:r>
          </w:p>
        </w:tc>
        <w:tc>
          <w:tcPr>
            <w:tcW w:w="15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$87,150</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Guarantee of 2045 Notes(2)</w:t>
            </w:r>
          </w:p>
        </w:tc>
        <w:tc>
          <w:tcPr>
            <w:tcW w:w="16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$1,800,000,000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$209,160</w:t>
            </w:r>
          </w:p>
        </w:tc>
      </w:tr>
      <w:tr>
        <w:trPr>
          <w:trHeight w:val="20"/>
        </w:trPr>
        <w:tc>
          <w:tcPr>
            <w:tcW w:w="82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   Calculated in accordance with Rule 457(r) of the Securities Act of 1933, as amended.</w:t>
            </w:r>
          </w:p>
        </w:tc>
        <w:tc>
          <w:tcPr>
            <w:tcW w:w="16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(2)   Pursuant to Rule 457(n), no separate fee for the guarantee is payable.</w:t>
            </w: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28,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$1,800,000,000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159385</wp:posOffset>
            </wp:positionV>
            <wp:extent cx="1414780"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2800" w:right="2780"/>
        <w:spacing w:after="0" w:line="421" w:lineRule="auto"/>
        <w:rPr>
          <w:sz w:val="20"/>
          <w:szCs w:val="20"/>
          <w:color w:val="auto"/>
        </w:rPr>
      </w:pPr>
      <w:r>
        <w:rPr>
          <w:rFonts w:ascii="Arial" w:cs="Arial" w:eastAsia="Arial" w:hAnsi="Arial"/>
          <w:sz w:val="28"/>
          <w:szCs w:val="28"/>
          <w:color w:val="auto"/>
        </w:rPr>
        <w:t>$600,000,000 3.125% Senior Notes due 2025 $450,000,000 3.900% Senior Notes due 2035 $750,000,000 4.100% Senior Notes due 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67310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offering $600,000,000 of our 3.125% senior notes due 2025, $450,000,000 of our 3.900% senior notes due 2035 and</w:t>
      </w:r>
    </w:p>
    <w:p>
      <w:pPr>
        <w:spacing w:after="0" w:line="234" w:lineRule="auto"/>
        <w:rPr>
          <w:sz w:val="20"/>
          <w:szCs w:val="20"/>
          <w:color w:val="auto"/>
        </w:rPr>
      </w:pPr>
      <w:r>
        <w:rPr>
          <w:rFonts w:ascii="Arial" w:cs="Arial" w:eastAsia="Arial" w:hAnsi="Arial"/>
          <w:sz w:val="18"/>
          <w:szCs w:val="18"/>
          <w:color w:val="auto"/>
        </w:rPr>
        <w:t>$750,000,000 of our 4.100% senior notes due 2045. Interest on the notes of each series will accrue from February 26, 2015 and will be</w:t>
      </w:r>
    </w:p>
    <w:p>
      <w:pPr>
        <w:spacing w:after="0" w:line="235" w:lineRule="auto"/>
        <w:rPr>
          <w:sz w:val="20"/>
          <w:szCs w:val="20"/>
          <w:color w:val="auto"/>
        </w:rPr>
      </w:pPr>
      <w:r>
        <w:rPr>
          <w:rFonts w:ascii="Arial" w:cs="Arial" w:eastAsia="Arial" w:hAnsi="Arial"/>
          <w:sz w:val="18"/>
          <w:szCs w:val="18"/>
          <w:color w:val="auto"/>
        </w:rPr>
        <w:t>payable on March 1 and September 1 of each year, beginning September 1, 2015. The 2025 notes will mature on March 1, 2025, the 2035</w:t>
      </w:r>
    </w:p>
    <w:p>
      <w:pPr>
        <w:spacing w:after="0" w:line="235" w:lineRule="auto"/>
        <w:rPr>
          <w:sz w:val="20"/>
          <w:szCs w:val="20"/>
          <w:color w:val="auto"/>
        </w:rPr>
      </w:pPr>
      <w:r>
        <w:rPr>
          <w:rFonts w:ascii="Arial" w:cs="Arial" w:eastAsia="Arial" w:hAnsi="Arial"/>
          <w:sz w:val="18"/>
          <w:szCs w:val="18"/>
          <w:color w:val="auto"/>
        </w:rPr>
        <w:t>notes will mature on March 1, 2035 and the 2045 notes will mature on March 1, 2045. We use the term “notes” to refer to each series of notes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collectively.</w:t>
      </w:r>
    </w:p>
    <w:p>
      <w:pPr>
        <w:spacing w:after="0" w:line="212" w:lineRule="exact"/>
        <w:rPr>
          <w:sz w:val="20"/>
          <w:szCs w:val="20"/>
          <w:color w:val="auto"/>
        </w:rPr>
      </w:pPr>
    </w:p>
    <w:p>
      <w:pPr>
        <w:jc w:val="both"/>
        <w:ind w:right="20" w:firstLine="456"/>
        <w:spacing w:after="0"/>
        <w:rPr>
          <w:sz w:val="20"/>
          <w:szCs w:val="20"/>
          <w:color w:val="auto"/>
        </w:rPr>
      </w:pPr>
      <w:r>
        <w:rPr>
          <w:rFonts w:ascii="Arial" w:cs="Arial" w:eastAsia="Arial" w:hAnsi="Arial"/>
          <w:sz w:val="18"/>
          <w:szCs w:val="18"/>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203" w:lineRule="exact"/>
        <w:rPr>
          <w:sz w:val="20"/>
          <w:szCs w:val="20"/>
          <w:color w:val="auto"/>
        </w:rPr>
      </w:pPr>
    </w:p>
    <w:p>
      <w:pPr>
        <w:jc w:val="both"/>
        <w:ind w:right="360" w:firstLine="456"/>
        <w:spacing w:after="0"/>
        <w:rPr>
          <w:sz w:val="20"/>
          <w:szCs w:val="20"/>
          <w:color w:val="auto"/>
        </w:rPr>
      </w:pPr>
      <w:r>
        <w:rPr>
          <w:rFonts w:ascii="Arial" w:cs="Arial" w:eastAsia="Arial" w:hAnsi="Arial"/>
          <w:sz w:val="18"/>
          <w:szCs w:val="18"/>
          <w:color w:val="auto"/>
        </w:rPr>
        <w:t>We may redeem each series of notes, in whole or in part, at any time at the redemption prices described beginning on page S-14. If a change of control triggering event as described beginning on page S-17 occurs, we may be required to offer to purchase the notes of each series from holders.</w:t>
      </w:r>
    </w:p>
    <w:p>
      <w:pPr>
        <w:spacing w:after="0" w:line="181"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See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S-7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234950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2160" w:type="dxa"/>
            <w:vAlign w:val="bottom"/>
            <w:gridSpan w:val="6"/>
          </w:tcPr>
          <w:p>
            <w:pPr>
              <w:ind w:left="560"/>
              <w:spacing w:after="0"/>
              <w:rPr>
                <w:sz w:val="20"/>
                <w:szCs w:val="20"/>
                <w:color w:val="auto"/>
              </w:rPr>
            </w:pPr>
            <w:r>
              <w:rPr>
                <w:rFonts w:ascii="Arial" w:cs="Arial" w:eastAsia="Arial" w:hAnsi="Arial"/>
                <w:sz w:val="14"/>
                <w:szCs w:val="14"/>
                <w:b w:val="1"/>
                <w:bCs w:val="1"/>
                <w:color w:val="auto"/>
              </w:rPr>
              <w:t>2025 Notes</w:t>
            </w:r>
          </w:p>
        </w:tc>
        <w:tc>
          <w:tcPr>
            <w:tcW w:w="21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2035 Notes</w:t>
            </w:r>
          </w:p>
        </w:tc>
        <w:tc>
          <w:tcPr>
            <w:tcW w:w="1900" w:type="dxa"/>
            <w:vAlign w:val="bottom"/>
            <w:gridSpan w:val="5"/>
          </w:tcPr>
          <w:p>
            <w:pPr>
              <w:ind w:left="560"/>
              <w:spacing w:after="0"/>
              <w:rPr>
                <w:sz w:val="20"/>
                <w:szCs w:val="20"/>
                <w:color w:val="auto"/>
              </w:rPr>
            </w:pPr>
            <w:r>
              <w:rPr>
                <w:rFonts w:ascii="Arial" w:cs="Arial" w:eastAsia="Arial" w:hAnsi="Arial"/>
                <w:sz w:val="14"/>
                <w:szCs w:val="14"/>
                <w:b w:val="1"/>
                <w:bCs w:val="1"/>
                <w:color w:val="auto"/>
              </w:rPr>
              <w:t>2045 Notes</w:t>
            </w:r>
          </w:p>
        </w:tc>
        <w:tc>
          <w:tcPr>
            <w:tcW w:w="0" w:type="dxa"/>
            <w:vAlign w:val="bottom"/>
          </w:tcPr>
          <w:p>
            <w:pPr>
              <w:spacing w:after="0"/>
              <w:rPr>
                <w:sz w:val="1"/>
                <w:szCs w:val="1"/>
                <w:color w:val="auto"/>
              </w:rPr>
            </w:pPr>
          </w:p>
        </w:tc>
      </w:tr>
      <w:tr>
        <w:trPr>
          <w:trHeight w:val="156"/>
        </w:trPr>
        <w:tc>
          <w:tcPr>
            <w:tcW w:w="5120" w:type="dxa"/>
            <w:vAlign w:val="bottom"/>
            <w:vMerge w:val="restart"/>
          </w:tcPr>
          <w:p>
            <w:pPr>
              <w:spacing w:after="0"/>
              <w:rPr>
                <w:sz w:val="20"/>
                <w:szCs w:val="20"/>
                <w:color w:val="auto"/>
              </w:rPr>
            </w:pPr>
            <w:r>
              <w:rPr>
                <w:rFonts w:ascii="Arial" w:cs="Arial" w:eastAsia="Arial" w:hAnsi="Arial"/>
                <w:sz w:val="14"/>
                <w:szCs w:val="14"/>
                <w:color w:val="auto"/>
              </w:rPr>
              <w:t>Public Offering Price(1)</w:t>
            </w:r>
          </w:p>
        </w:tc>
        <w:tc>
          <w:tcPr>
            <w:tcW w:w="8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7"/>
              </w:rPr>
              <w:t>Per Note</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6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Per Note</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Per Note</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20" w:type="dxa"/>
            <w:vAlign w:val="bottom"/>
            <w:vMerge w:val="continue"/>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99.574%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597,444,000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99.834%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449,253,000</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99.794%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748,455,000</w:t>
            </w:r>
          </w:p>
        </w:tc>
        <w:tc>
          <w:tcPr>
            <w:tcW w:w="0" w:type="dxa"/>
            <w:vAlign w:val="bottom"/>
          </w:tcPr>
          <w:p>
            <w:pPr>
              <w:spacing w:after="0"/>
              <w:rPr>
                <w:sz w:val="1"/>
                <w:szCs w:val="1"/>
                <w:color w:val="auto"/>
              </w:rPr>
            </w:pPr>
          </w:p>
        </w:tc>
      </w:tr>
      <w:tr>
        <w:trPr>
          <w:trHeight w:val="162"/>
        </w:trPr>
        <w:tc>
          <w:tcPr>
            <w:tcW w:w="5120" w:type="dxa"/>
            <w:vAlign w:val="bottom"/>
          </w:tcPr>
          <w:p>
            <w:pPr>
              <w:spacing w:after="0"/>
              <w:rPr>
                <w:sz w:val="20"/>
                <w:szCs w:val="20"/>
                <w:color w:val="auto"/>
              </w:rPr>
            </w:pPr>
            <w:r>
              <w:rPr>
                <w:rFonts w:ascii="Arial" w:cs="Arial" w:eastAsia="Arial" w:hAnsi="Arial"/>
                <w:sz w:val="14"/>
                <w:szCs w:val="14"/>
                <w:color w:val="auto"/>
              </w:rPr>
              <w:t>Underwriting Discount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0.650%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3,900,000</w:t>
            </w:r>
          </w:p>
        </w:tc>
        <w:tc>
          <w:tcPr>
            <w:tcW w:w="2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0.875%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3,937,500</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0.875%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6,562,500</w:t>
            </w:r>
          </w:p>
        </w:tc>
        <w:tc>
          <w:tcPr>
            <w:tcW w:w="0" w:type="dxa"/>
            <w:vAlign w:val="bottom"/>
          </w:tcPr>
          <w:p>
            <w:pPr>
              <w:spacing w:after="0"/>
              <w:rPr>
                <w:sz w:val="1"/>
                <w:szCs w:val="1"/>
                <w:color w:val="auto"/>
              </w:rPr>
            </w:pPr>
          </w:p>
        </w:tc>
      </w:tr>
      <w:tr>
        <w:trPr>
          <w:trHeight w:val="172"/>
        </w:trPr>
        <w:tc>
          <w:tcPr>
            <w:tcW w:w="5120" w:type="dxa"/>
            <w:vAlign w:val="bottom"/>
          </w:tcPr>
          <w:p>
            <w:pPr>
              <w:spacing w:after="0"/>
              <w:rPr>
                <w:sz w:val="20"/>
                <w:szCs w:val="20"/>
                <w:color w:val="auto"/>
              </w:rPr>
            </w:pPr>
            <w:r>
              <w:rPr>
                <w:rFonts w:ascii="Arial" w:cs="Arial" w:eastAsia="Arial" w:hAnsi="Arial"/>
                <w:sz w:val="14"/>
                <w:szCs w:val="14"/>
                <w:color w:val="auto"/>
              </w:rPr>
              <w:t>Proceeds to Us (excluding expenses)</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98.924%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593,544,000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98.959%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445,315,500</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98.919%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741,892,500</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from February 26, 2015 if delivery occurs after that date.</w:t>
      </w:r>
    </w:p>
    <w:p>
      <w:pPr>
        <w:spacing w:after="0" w:line="21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212" w:lineRule="exact"/>
        <w:rPr>
          <w:sz w:val="20"/>
          <w:szCs w:val="20"/>
          <w:color w:val="auto"/>
        </w:rPr>
      </w:pPr>
    </w:p>
    <w:p>
      <w:pPr>
        <w:ind w:right="260" w:firstLine="456"/>
        <w:spacing w:after="0"/>
        <w:rPr>
          <w:sz w:val="20"/>
          <w:szCs w:val="20"/>
          <w:color w:val="auto"/>
        </w:rPr>
      </w:pPr>
      <w:r>
        <w:rPr>
          <w:rFonts w:ascii="Arial" w:cs="Arial" w:eastAsia="Arial" w:hAnsi="Arial"/>
          <w:sz w:val="18"/>
          <w:szCs w:val="18"/>
          <w:color w:val="auto"/>
        </w:rPr>
        <w:t>The underwriters expect to deliver the notes to investors on or about February 26, 2015 only in book-entry form through the facilities of The Depository Trust Company and its participants, including Clearstream Banking, société anonyme, and Euroclear Bank S.A./N.V., as operator of the Euroclear System.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40" w:type="dxa"/>
            <w:vAlign w:val="bottom"/>
            <w:gridSpan w:val="2"/>
          </w:tcPr>
          <w:p>
            <w:pPr>
              <w:jc w:val="center"/>
              <w:ind w:left="780"/>
              <w:spacing w:after="0"/>
              <w:rPr>
                <w:sz w:val="20"/>
                <w:szCs w:val="20"/>
                <w:color w:val="auto"/>
              </w:rPr>
            </w:pPr>
            <w:r>
              <w:rPr>
                <w:rFonts w:ascii="Arial" w:cs="Arial" w:eastAsia="Arial" w:hAnsi="Arial"/>
                <w:sz w:val="18"/>
                <w:szCs w:val="18"/>
                <w:b w:val="1"/>
                <w:bCs w:val="1"/>
                <w:color w:val="auto"/>
              </w:rPr>
              <w:t>Joint Book-Running Managers</w:t>
            </w:r>
          </w:p>
        </w:tc>
        <w:tc>
          <w:tcPr>
            <w:tcW w:w="16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1"/>
        </w:trPr>
        <w:tc>
          <w:tcPr>
            <w:tcW w:w="2200" w:type="dxa"/>
            <w:vAlign w:val="bottom"/>
          </w:tcPr>
          <w:p>
            <w:pPr>
              <w:spacing w:after="0"/>
              <w:rPr>
                <w:sz w:val="20"/>
                <w:szCs w:val="20"/>
                <w:color w:val="auto"/>
              </w:rPr>
            </w:pPr>
            <w:r>
              <w:rPr>
                <w:rFonts w:ascii="Arial" w:cs="Arial" w:eastAsia="Arial" w:hAnsi="Arial"/>
                <w:sz w:val="22"/>
                <w:szCs w:val="22"/>
                <w:b w:val="1"/>
                <w:bCs w:val="1"/>
                <w:color w:val="auto"/>
              </w:rPr>
              <w:t>Credit Suisse</w:t>
            </w:r>
          </w:p>
        </w:tc>
        <w:tc>
          <w:tcPr>
            <w:tcW w:w="500" w:type="dxa"/>
            <w:vAlign w:val="bottom"/>
          </w:tcPr>
          <w:p>
            <w:pPr>
              <w:spacing w:after="0"/>
              <w:rPr>
                <w:sz w:val="24"/>
                <w:szCs w:val="24"/>
                <w:color w:val="auto"/>
              </w:rPr>
            </w:pPr>
          </w:p>
        </w:tc>
        <w:tc>
          <w:tcPr>
            <w:tcW w:w="2960" w:type="dxa"/>
            <w:vAlign w:val="bottom"/>
          </w:tcPr>
          <w:p>
            <w:pPr>
              <w:ind w:left="120"/>
              <w:spacing w:after="0"/>
              <w:rPr>
                <w:sz w:val="20"/>
                <w:szCs w:val="20"/>
                <w:color w:val="auto"/>
              </w:rPr>
            </w:pPr>
            <w:r>
              <w:rPr>
                <w:rFonts w:ascii="Arial" w:cs="Arial" w:eastAsia="Arial" w:hAnsi="Arial"/>
                <w:sz w:val="22"/>
                <w:szCs w:val="22"/>
                <w:b w:val="1"/>
                <w:bCs w:val="1"/>
                <w:color w:val="auto"/>
              </w:rPr>
              <w:t>Deutsche Bank Securities</w:t>
            </w:r>
          </w:p>
        </w:tc>
        <w:tc>
          <w:tcPr>
            <w:tcW w:w="3840" w:type="dxa"/>
            <w:vAlign w:val="bottom"/>
            <w:gridSpan w:val="2"/>
          </w:tcPr>
          <w:p>
            <w:pPr>
              <w:ind w:left="1080"/>
              <w:spacing w:after="0"/>
              <w:rPr>
                <w:sz w:val="20"/>
                <w:szCs w:val="20"/>
                <w:color w:val="auto"/>
              </w:rPr>
            </w:pPr>
            <w:r>
              <w:rPr>
                <w:rFonts w:ascii="Arial" w:cs="Arial" w:eastAsia="Arial" w:hAnsi="Arial"/>
                <w:sz w:val="22"/>
                <w:szCs w:val="22"/>
                <w:b w:val="1"/>
                <w:bCs w:val="1"/>
                <w:color w:val="auto"/>
              </w:rPr>
              <w:t>Goldman, Sachs &amp; Co.</w:t>
            </w:r>
          </w:p>
        </w:tc>
        <w:tc>
          <w:tcPr>
            <w:tcW w:w="1920" w:type="dxa"/>
            <w:vAlign w:val="bottom"/>
          </w:tcPr>
          <w:p>
            <w:pPr>
              <w:jc w:val="right"/>
              <w:spacing w:after="0"/>
              <w:rPr>
                <w:sz w:val="20"/>
                <w:szCs w:val="20"/>
                <w:color w:val="auto"/>
              </w:rPr>
            </w:pPr>
            <w:r>
              <w:rPr>
                <w:rFonts w:ascii="Arial" w:cs="Arial" w:eastAsia="Arial" w:hAnsi="Arial"/>
                <w:sz w:val="22"/>
                <w:szCs w:val="22"/>
                <w:b w:val="1"/>
                <w:bCs w:val="1"/>
                <w:color w:val="auto"/>
              </w:rPr>
              <w:t>J.P. Morgan</w:t>
            </w:r>
          </w:p>
        </w:tc>
      </w:tr>
      <w:tr>
        <w:trPr>
          <w:trHeight w:val="355"/>
        </w:trPr>
        <w:tc>
          <w:tcPr>
            <w:tcW w:w="2200" w:type="dxa"/>
            <w:vAlign w:val="bottom"/>
          </w:tcPr>
          <w:p>
            <w:pPr>
              <w:spacing w:after="0"/>
              <w:rPr>
                <w:sz w:val="20"/>
                <w:szCs w:val="20"/>
                <w:color w:val="auto"/>
              </w:rPr>
            </w:pPr>
            <w:r>
              <w:rPr>
                <w:rFonts w:ascii="Arial" w:cs="Arial" w:eastAsia="Arial" w:hAnsi="Arial"/>
                <w:sz w:val="18"/>
                <w:szCs w:val="18"/>
                <w:b w:val="1"/>
                <w:bCs w:val="1"/>
                <w:color w:val="auto"/>
              </w:rPr>
              <w:t>Barclays</w:t>
            </w:r>
          </w:p>
        </w:tc>
        <w:tc>
          <w:tcPr>
            <w:tcW w:w="500" w:type="dxa"/>
            <w:vAlign w:val="bottom"/>
          </w:tcPr>
          <w:p>
            <w:pPr>
              <w:spacing w:after="0"/>
              <w:rPr>
                <w:sz w:val="24"/>
                <w:szCs w:val="24"/>
                <w:color w:val="auto"/>
              </w:rPr>
            </w:pPr>
          </w:p>
        </w:tc>
        <w:tc>
          <w:tcPr>
            <w:tcW w:w="2960" w:type="dxa"/>
            <w:vAlign w:val="bottom"/>
          </w:tcPr>
          <w:p>
            <w:pPr>
              <w:jc w:val="center"/>
              <w:ind w:right="560"/>
              <w:spacing w:after="0"/>
              <w:rPr>
                <w:sz w:val="20"/>
                <w:szCs w:val="20"/>
                <w:color w:val="auto"/>
              </w:rPr>
            </w:pPr>
            <w:r>
              <w:rPr>
                <w:rFonts w:ascii="Arial" w:cs="Arial" w:eastAsia="Arial" w:hAnsi="Arial"/>
                <w:sz w:val="18"/>
                <w:szCs w:val="18"/>
                <w:b w:val="1"/>
                <w:bCs w:val="1"/>
                <w:color w:val="auto"/>
                <w:w w:val="98"/>
              </w:rPr>
              <w:t>BofA Merrill Lynch</w:t>
            </w:r>
          </w:p>
        </w:tc>
        <w:tc>
          <w:tcPr>
            <w:tcW w:w="2180" w:type="dxa"/>
            <w:vAlign w:val="bottom"/>
          </w:tcPr>
          <w:p>
            <w:pPr>
              <w:ind w:left="1180"/>
              <w:spacing w:after="0"/>
              <w:rPr>
                <w:sz w:val="20"/>
                <w:szCs w:val="20"/>
                <w:color w:val="auto"/>
              </w:rPr>
            </w:pPr>
            <w:r>
              <w:rPr>
                <w:rFonts w:ascii="Arial" w:cs="Arial" w:eastAsia="Arial" w:hAnsi="Arial"/>
                <w:sz w:val="18"/>
                <w:szCs w:val="18"/>
                <w:b w:val="1"/>
                <w:bCs w:val="1"/>
                <w:color w:val="auto"/>
              </w:rPr>
              <w:t>RBS</w:t>
            </w:r>
          </w:p>
        </w:tc>
        <w:tc>
          <w:tcPr>
            <w:tcW w:w="16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w w:val="98"/>
              </w:rPr>
              <w:t>Wells Fargo Securities</w:t>
            </w:r>
          </w:p>
        </w:tc>
      </w:tr>
      <w:tr>
        <w:trPr>
          <w:trHeight w:val="311"/>
        </w:trPr>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40" w:type="dxa"/>
            <w:vAlign w:val="bottom"/>
            <w:gridSpan w:val="2"/>
          </w:tcPr>
          <w:p>
            <w:pPr>
              <w:jc w:val="center"/>
              <w:ind w:left="780"/>
              <w:spacing w:after="0"/>
              <w:rPr>
                <w:sz w:val="20"/>
                <w:szCs w:val="20"/>
                <w:color w:val="auto"/>
              </w:rPr>
            </w:pPr>
            <w:r>
              <w:rPr>
                <w:rFonts w:ascii="Arial" w:cs="Arial" w:eastAsia="Arial" w:hAnsi="Arial"/>
                <w:sz w:val="18"/>
                <w:szCs w:val="18"/>
                <w:b w:val="1"/>
                <w:bCs w:val="1"/>
                <w:color w:val="auto"/>
                <w:w w:val="99"/>
              </w:rPr>
              <w:t>Co-Managers</w:t>
            </w: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69"/>
        </w:trPr>
        <w:tc>
          <w:tcPr>
            <w:tcW w:w="2200" w:type="dxa"/>
            <w:vAlign w:val="bottom"/>
          </w:tcPr>
          <w:p>
            <w:pPr>
              <w:spacing w:after="0"/>
              <w:rPr>
                <w:sz w:val="20"/>
                <w:szCs w:val="20"/>
                <w:color w:val="auto"/>
              </w:rPr>
            </w:pPr>
            <w:r>
              <w:rPr>
                <w:rFonts w:ascii="Arial" w:cs="Arial" w:eastAsia="Arial" w:hAnsi="Arial"/>
                <w:sz w:val="22"/>
                <w:szCs w:val="22"/>
                <w:b w:val="1"/>
                <w:bCs w:val="1"/>
                <w:color w:val="auto"/>
              </w:rPr>
              <w:t>Mizuho Securities</w:t>
            </w:r>
          </w:p>
        </w:tc>
        <w:tc>
          <w:tcPr>
            <w:tcW w:w="500" w:type="dxa"/>
            <w:vAlign w:val="bottom"/>
          </w:tcPr>
          <w:p>
            <w:pPr>
              <w:spacing w:after="0"/>
              <w:rPr>
                <w:sz w:val="24"/>
                <w:szCs w:val="24"/>
                <w:color w:val="auto"/>
              </w:rPr>
            </w:pPr>
          </w:p>
        </w:tc>
        <w:tc>
          <w:tcPr>
            <w:tcW w:w="5140" w:type="dxa"/>
            <w:vAlign w:val="bottom"/>
            <w:gridSpan w:val="2"/>
          </w:tcPr>
          <w:p>
            <w:pPr>
              <w:jc w:val="center"/>
              <w:ind w:left="920"/>
              <w:spacing w:after="0"/>
              <w:rPr>
                <w:sz w:val="20"/>
                <w:szCs w:val="20"/>
                <w:color w:val="auto"/>
              </w:rPr>
            </w:pPr>
            <w:r>
              <w:rPr>
                <w:rFonts w:ascii="Arial" w:cs="Arial" w:eastAsia="Arial" w:hAnsi="Arial"/>
                <w:sz w:val="22"/>
                <w:szCs w:val="22"/>
                <w:b w:val="1"/>
                <w:bCs w:val="1"/>
                <w:color w:val="auto"/>
                <w:w w:val="98"/>
              </w:rPr>
              <w:t>MUFG</w:t>
            </w:r>
          </w:p>
        </w:tc>
        <w:tc>
          <w:tcPr>
            <w:tcW w:w="16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22"/>
                <w:szCs w:val="22"/>
                <w:b w:val="1"/>
                <w:bCs w:val="1"/>
                <w:color w:val="auto"/>
              </w:rPr>
              <w:t>Scotiabank</w:t>
            </w:r>
          </w:p>
        </w:tc>
      </w:tr>
      <w:tr>
        <w:trPr>
          <w:trHeight w:val="351"/>
        </w:trPr>
        <w:tc>
          <w:tcPr>
            <w:tcW w:w="2200" w:type="dxa"/>
            <w:vAlign w:val="bottom"/>
          </w:tcPr>
          <w:p>
            <w:pPr>
              <w:spacing w:after="0"/>
              <w:rPr>
                <w:sz w:val="20"/>
                <w:szCs w:val="20"/>
                <w:color w:val="auto"/>
              </w:rPr>
            </w:pPr>
            <w:r>
              <w:rPr>
                <w:rFonts w:ascii="Arial" w:cs="Arial" w:eastAsia="Arial" w:hAnsi="Arial"/>
                <w:sz w:val="22"/>
                <w:szCs w:val="22"/>
                <w:b w:val="1"/>
                <w:bCs w:val="1"/>
                <w:color w:val="auto"/>
              </w:rPr>
              <w:t>BBVA</w:t>
            </w:r>
          </w:p>
        </w:tc>
        <w:tc>
          <w:tcPr>
            <w:tcW w:w="500" w:type="dxa"/>
            <w:vAlign w:val="bottom"/>
          </w:tcPr>
          <w:p>
            <w:pPr>
              <w:spacing w:after="0"/>
              <w:rPr>
                <w:sz w:val="24"/>
                <w:szCs w:val="24"/>
                <w:color w:val="auto"/>
              </w:rPr>
            </w:pPr>
          </w:p>
        </w:tc>
        <w:tc>
          <w:tcPr>
            <w:tcW w:w="5140" w:type="dxa"/>
            <w:vAlign w:val="bottom"/>
            <w:gridSpan w:val="2"/>
          </w:tcPr>
          <w:p>
            <w:pPr>
              <w:jc w:val="center"/>
              <w:ind w:left="920"/>
              <w:spacing w:after="0"/>
              <w:rPr>
                <w:sz w:val="20"/>
                <w:szCs w:val="20"/>
                <w:color w:val="auto"/>
              </w:rPr>
            </w:pPr>
            <w:r>
              <w:rPr>
                <w:rFonts w:ascii="Arial" w:cs="Arial" w:eastAsia="Arial" w:hAnsi="Arial"/>
                <w:sz w:val="22"/>
                <w:szCs w:val="22"/>
                <w:b w:val="1"/>
                <w:bCs w:val="1"/>
                <w:color w:val="auto"/>
                <w:w w:val="97"/>
              </w:rPr>
              <w:t>BNP PARIBAS</w:t>
            </w:r>
          </w:p>
        </w:tc>
        <w:tc>
          <w:tcPr>
            <w:tcW w:w="16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22"/>
                <w:szCs w:val="22"/>
                <w:b w:val="1"/>
                <w:bCs w:val="1"/>
                <w:color w:val="auto"/>
              </w:rPr>
              <w:t>Citigroup</w:t>
            </w:r>
          </w:p>
        </w:tc>
      </w:tr>
      <w:tr>
        <w:trPr>
          <w:trHeight w:val="351"/>
        </w:trPr>
        <w:tc>
          <w:tcPr>
            <w:tcW w:w="2700" w:type="dxa"/>
            <w:vAlign w:val="bottom"/>
            <w:gridSpan w:val="2"/>
          </w:tcPr>
          <w:p>
            <w:pPr>
              <w:spacing w:after="0"/>
              <w:rPr>
                <w:sz w:val="20"/>
                <w:szCs w:val="20"/>
                <w:color w:val="auto"/>
              </w:rPr>
            </w:pPr>
            <w:r>
              <w:rPr>
                <w:rFonts w:ascii="Arial" w:cs="Arial" w:eastAsia="Arial" w:hAnsi="Arial"/>
                <w:sz w:val="22"/>
                <w:szCs w:val="22"/>
                <w:b w:val="1"/>
                <w:bCs w:val="1"/>
                <w:color w:val="auto"/>
              </w:rPr>
              <w:t>PNC Capital Markets LLC</w:t>
            </w:r>
          </w:p>
        </w:tc>
        <w:tc>
          <w:tcPr>
            <w:tcW w:w="5140" w:type="dxa"/>
            <w:vAlign w:val="bottom"/>
            <w:gridSpan w:val="2"/>
          </w:tcPr>
          <w:p>
            <w:pPr>
              <w:jc w:val="center"/>
              <w:ind w:left="920"/>
              <w:spacing w:after="0"/>
              <w:rPr>
                <w:sz w:val="20"/>
                <w:szCs w:val="20"/>
                <w:color w:val="auto"/>
              </w:rPr>
            </w:pPr>
            <w:r>
              <w:rPr>
                <w:rFonts w:ascii="Arial" w:cs="Arial" w:eastAsia="Arial" w:hAnsi="Arial"/>
                <w:sz w:val="22"/>
                <w:szCs w:val="22"/>
                <w:b w:val="1"/>
                <w:bCs w:val="1"/>
                <w:color w:val="auto"/>
                <w:w w:val="97"/>
              </w:rPr>
              <w:t>SMBC Nikko</w:t>
            </w:r>
          </w:p>
        </w:tc>
        <w:tc>
          <w:tcPr>
            <w:tcW w:w="16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22"/>
                <w:szCs w:val="22"/>
                <w:b w:val="1"/>
                <w:bCs w:val="1"/>
                <w:color w:val="auto"/>
              </w:rPr>
              <w:t>US Bancorp</w:t>
            </w:r>
          </w:p>
        </w:tc>
      </w:tr>
      <w:tr>
        <w:trPr>
          <w:trHeight w:val="295"/>
        </w:trPr>
        <w:tc>
          <w:tcPr>
            <w:tcW w:w="2200" w:type="dxa"/>
            <w:vAlign w:val="bottom"/>
          </w:tcPr>
          <w:p>
            <w:pPr>
              <w:spacing w:after="0"/>
              <w:rPr>
                <w:sz w:val="20"/>
                <w:szCs w:val="20"/>
                <w:color w:val="auto"/>
              </w:rPr>
            </w:pPr>
            <w:r>
              <w:rPr>
                <w:rFonts w:ascii="Arial" w:cs="Arial" w:eastAsia="Arial" w:hAnsi="Arial"/>
                <w:sz w:val="16"/>
                <w:szCs w:val="16"/>
                <w:b w:val="1"/>
                <w:bCs w:val="1"/>
                <w:color w:val="auto"/>
              </w:rPr>
              <w:t>Blaylock Beal Van, LLC</w:t>
            </w:r>
          </w:p>
        </w:tc>
        <w:tc>
          <w:tcPr>
            <w:tcW w:w="34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BNY Mellon Capital Markets, LLC</w:t>
            </w:r>
          </w:p>
        </w:tc>
        <w:tc>
          <w:tcPr>
            <w:tcW w:w="2180" w:type="dxa"/>
            <w:vAlign w:val="bottom"/>
          </w:tcPr>
          <w:p>
            <w:pPr>
              <w:ind w:left="200"/>
              <w:spacing w:after="0"/>
              <w:rPr>
                <w:sz w:val="20"/>
                <w:szCs w:val="20"/>
                <w:color w:val="auto"/>
              </w:rPr>
            </w:pPr>
            <w:r>
              <w:rPr>
                <w:rFonts w:ascii="Arial" w:cs="Arial" w:eastAsia="Arial" w:hAnsi="Arial"/>
                <w:sz w:val="16"/>
                <w:szCs w:val="16"/>
                <w:b w:val="1"/>
                <w:bCs w:val="1"/>
                <w:color w:val="auto"/>
              </w:rPr>
              <w:t>Comerica Securities</w:t>
            </w:r>
          </w:p>
        </w:tc>
        <w:tc>
          <w:tcPr>
            <w:tcW w:w="1660" w:type="dxa"/>
            <w:vAlign w:val="bottom"/>
          </w:tcPr>
          <w:p>
            <w:pPr>
              <w:ind w:left="420"/>
              <w:spacing w:after="0"/>
              <w:rPr>
                <w:sz w:val="20"/>
                <w:szCs w:val="20"/>
                <w:color w:val="auto"/>
              </w:rPr>
            </w:pPr>
            <w:r>
              <w:rPr>
                <w:rFonts w:ascii="Arial" w:cs="Arial" w:eastAsia="Arial" w:hAnsi="Arial"/>
                <w:sz w:val="16"/>
                <w:szCs w:val="16"/>
                <w:b w:val="1"/>
                <w:bCs w:val="1"/>
                <w:color w:val="auto"/>
              </w:rPr>
              <w:t>Drexel Hamilton</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Lloyds Securities</w:t>
            </w:r>
          </w:p>
        </w:tc>
      </w:tr>
    </w:tbl>
    <w:p>
      <w:pPr>
        <w:spacing w:after="0" w:line="200" w:lineRule="exact"/>
        <w:rPr>
          <w:sz w:val="20"/>
          <w:szCs w:val="20"/>
          <w:color w:val="auto"/>
        </w:rPr>
      </w:pPr>
    </w:p>
    <w:p>
      <w:pPr>
        <w:sectPr>
          <w:pgSz w:w="11900" w:h="16838" w:orient="portrait"/>
          <w:cols w:equalWidth="0" w:num="1">
            <w:col w:w="11420"/>
          </w:cols>
          <w:pgMar w:left="240" w:top="459" w:right="239" w:bottom="813"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18, 2015</w:t>
      </w:r>
    </w:p>
    <w:p>
      <w:pPr>
        <w:sectPr>
          <w:pgSz w:w="11900" w:h="16838" w:orient="portrait"/>
          <w:cols w:equalWidth="0" w:num="1">
            <w:col w:w="11420"/>
          </w:cols>
          <w:pgMar w:left="240" w:top="459" w:right="239" w:bottom="813"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198755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0" w:type="dxa"/>
            <w:vAlign w:val="bottom"/>
            <w:gridSpan w:val="7"/>
          </w:tcPr>
          <w:p>
            <w:pPr>
              <w:ind w:left="2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6"/>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0" w:type="dxa"/>
            <w:vAlign w:val="bottom"/>
            <w:gridSpan w:val="7"/>
          </w:tcPr>
          <w:p>
            <w:pPr>
              <w:ind w:left="200"/>
              <w:spacing w:after="0"/>
              <w:rPr>
                <w:sz w:val="20"/>
                <w:szCs w:val="20"/>
                <w:color w:val="auto"/>
              </w:rPr>
            </w:pPr>
            <w:r>
              <w:rPr>
                <w:rFonts w:ascii="Arial" w:cs="Arial" w:eastAsia="Arial" w:hAnsi="Arial"/>
                <w:sz w:val="18"/>
                <w:szCs w:val="18"/>
                <w:b w:val="1"/>
                <w:bCs w:val="1"/>
                <w:color w:val="auto"/>
              </w:rPr>
              <w:t>Prospectus Supplement</w:t>
            </w:r>
          </w:p>
        </w:tc>
        <w:tc>
          <w:tcPr>
            <w:tcW w:w="0" w:type="dxa"/>
            <w:vAlign w:val="bottom"/>
          </w:tcPr>
          <w:p>
            <w:pPr>
              <w:spacing w:after="0"/>
              <w:rPr>
                <w:sz w:val="1"/>
                <w:szCs w:val="1"/>
                <w:color w:val="auto"/>
              </w:rPr>
            </w:pPr>
          </w:p>
        </w:tc>
      </w:tr>
      <w:tr>
        <w:trPr>
          <w:trHeight w:val="171"/>
        </w:trPr>
        <w:tc>
          <w:tcPr>
            <w:tcW w:w="800" w:type="dxa"/>
            <w:vAlign w:val="bottom"/>
            <w:gridSpan w:val="2"/>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S</w:t>
              </w:r>
              <w:r>
                <w:rPr>
                  <w:rFonts w:ascii="Arial" w:cs="Arial" w:eastAsia="Arial" w:hAnsi="Arial"/>
                  <w:sz w:val="15"/>
                  <w:szCs w:val="15"/>
                  <w:color w:val="0000EE"/>
                  <w:w w:val="99"/>
                </w:rPr>
                <w:t>UMMARY</w:t>
              </w:r>
            </w:hyperlink>
          </w:p>
        </w:tc>
        <w:tc>
          <w:tcPr>
            <w:tcW w:w="3720" w:type="dxa"/>
            <w:vAlign w:val="bottom"/>
            <w:gridSpan w:val="17"/>
            <w:vMerge w:val="restart"/>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20" w:type="dxa"/>
            <w:vAlign w:val="bottom"/>
            <w:gridSpan w:val="4"/>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800" w:type="dxa"/>
            <w:vAlign w:val="bottom"/>
            <w:tcBorders>
              <w:bottom w:val="single" w:sz="8" w:color="0000EE"/>
            </w:tcBorders>
            <w:gridSpan w:val="2"/>
            <w:vMerge w:val="continue"/>
          </w:tcPr>
          <w:p>
            <w:pPr>
              <w:spacing w:after="0"/>
              <w:rPr>
                <w:sz w:val="13"/>
                <w:szCs w:val="13"/>
                <w:color w:val="auto"/>
              </w:rPr>
            </w:pPr>
          </w:p>
        </w:tc>
        <w:tc>
          <w:tcPr>
            <w:tcW w:w="3720" w:type="dxa"/>
            <w:vAlign w:val="bottom"/>
            <w:gridSpan w:val="17"/>
            <w:vMerge w:val="continue"/>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T</w:t>
              </w:r>
              <w:r>
                <w:rPr>
                  <w:rFonts w:ascii="Arial" w:cs="Arial" w:eastAsia="Arial" w:hAnsi="Arial"/>
                  <w:sz w:val="15"/>
                  <w:szCs w:val="15"/>
                  <w:color w:val="0000EE"/>
                  <w:w w:val="97"/>
                </w:rPr>
                <w:t>HE</w:t>
              </w:r>
              <w:r>
                <w:rPr>
                  <w:rFonts w:ascii="Arial" w:cs="Arial" w:eastAsia="Arial" w:hAnsi="Arial"/>
                  <w:sz w:val="18"/>
                  <w:szCs w:val="18"/>
                  <w:color w:val="0000EE"/>
                  <w:w w:val="97"/>
                </w:rPr>
                <w:t xml:space="preserve"> O</w:t>
              </w:r>
              <w:r>
                <w:rPr>
                  <w:rFonts w:ascii="Arial" w:cs="Arial" w:eastAsia="Arial" w:hAnsi="Arial"/>
                  <w:sz w:val="15"/>
                  <w:szCs w:val="15"/>
                  <w:color w:val="0000EE"/>
                  <w:w w:val="97"/>
                </w:rPr>
                <w:t>FFERING</w:t>
              </w:r>
            </w:hyperlink>
          </w:p>
        </w:tc>
        <w:tc>
          <w:tcPr>
            <w:tcW w:w="3340" w:type="dxa"/>
            <w:vAlign w:val="bottom"/>
            <w:gridSpan w:val="15"/>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R</w:t>
              </w:r>
              <w:r>
                <w:rPr>
                  <w:rFonts w:ascii="Arial" w:cs="Arial" w:eastAsia="Arial" w:hAnsi="Arial"/>
                  <w:sz w:val="15"/>
                  <w:szCs w:val="15"/>
                  <w:color w:val="0000EE"/>
                  <w:w w:val="95"/>
                </w:rPr>
                <w:t>ATIO OF</w:t>
              </w:r>
              <w:r>
                <w:rPr>
                  <w:rFonts w:ascii="Arial" w:cs="Arial" w:eastAsia="Arial" w:hAnsi="Arial"/>
                  <w:sz w:val="18"/>
                  <w:szCs w:val="18"/>
                  <w:color w:val="0000EE"/>
                  <w:w w:val="95"/>
                </w:rPr>
                <w:t xml:space="preserve"> E</w:t>
              </w:r>
              <w:r>
                <w:rPr>
                  <w:rFonts w:ascii="Arial" w:cs="Arial" w:eastAsia="Arial" w:hAnsi="Arial"/>
                  <w:sz w:val="15"/>
                  <w:szCs w:val="15"/>
                  <w:color w:val="0000EE"/>
                  <w:w w:val="95"/>
                </w:rPr>
                <w:t>ARNINGS TO</w:t>
              </w:r>
              <w:r>
                <w:rPr>
                  <w:rFonts w:ascii="Arial" w:cs="Arial" w:eastAsia="Arial" w:hAnsi="Arial"/>
                  <w:sz w:val="18"/>
                  <w:szCs w:val="18"/>
                  <w:color w:val="0000EE"/>
                  <w:w w:val="95"/>
                </w:rPr>
                <w:t xml:space="preserve"> F</w:t>
              </w:r>
              <w:r>
                <w:rPr>
                  <w:rFonts w:ascii="Arial" w:cs="Arial" w:eastAsia="Arial" w:hAnsi="Arial"/>
                  <w:sz w:val="15"/>
                  <w:szCs w:val="15"/>
                  <w:color w:val="0000EE"/>
                  <w:w w:val="95"/>
                </w:rPr>
                <w:t>IXED</w:t>
              </w:r>
              <w:r>
                <w:rPr>
                  <w:rFonts w:ascii="Arial" w:cs="Arial" w:eastAsia="Arial" w:hAnsi="Arial"/>
                  <w:sz w:val="18"/>
                  <w:szCs w:val="18"/>
                  <w:color w:val="0000EE"/>
                  <w:w w:val="95"/>
                </w:rPr>
                <w:t xml:space="preserve"> C</w:t>
              </w:r>
              <w:r>
                <w:rPr>
                  <w:rFonts w:ascii="Arial" w:cs="Arial" w:eastAsia="Arial" w:hAnsi="Arial"/>
                  <w:sz w:val="15"/>
                  <w:szCs w:val="15"/>
                  <w:color w:val="0000EE"/>
                  <w:w w:val="95"/>
                </w:rPr>
                <w:t>HARGES</w:t>
              </w:r>
            </w:hyperlink>
          </w:p>
        </w:tc>
        <w:tc>
          <w:tcPr>
            <w:tcW w:w="148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314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2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2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D</w:t>
              </w:r>
              <w:r>
                <w:rPr>
                  <w:rFonts w:ascii="Arial" w:cs="Arial" w:eastAsia="Arial" w:hAnsi="Arial"/>
                  <w:sz w:val="15"/>
                  <w:szCs w:val="15"/>
                  <w:color w:val="0000EE"/>
                  <w:w w:val="94"/>
                </w:rPr>
                <w:t>ESCRIPTION OF</w:t>
              </w:r>
              <w:r>
                <w:rPr>
                  <w:rFonts w:ascii="Arial" w:cs="Arial" w:eastAsia="Arial" w:hAnsi="Arial"/>
                  <w:sz w:val="18"/>
                  <w:szCs w:val="18"/>
                  <w:color w:val="0000EE"/>
                  <w:w w:val="94"/>
                </w:rPr>
                <w:t xml:space="preserve"> N</w:t>
              </w:r>
              <w:r>
                <w:rPr>
                  <w:rFonts w:ascii="Arial" w:cs="Arial" w:eastAsia="Arial" w:hAnsi="Arial"/>
                  <w:sz w:val="15"/>
                  <w:szCs w:val="15"/>
                  <w:color w:val="0000EE"/>
                  <w:w w:val="94"/>
                </w:rPr>
                <w:t>OTES</w:t>
              </w:r>
            </w:hyperlink>
          </w:p>
        </w:tc>
        <w:tc>
          <w:tcPr>
            <w:tcW w:w="2720" w:type="dxa"/>
            <w:vAlign w:val="bottom"/>
            <w:gridSpan w:val="11"/>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2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w:t>
              </w:r>
              <w:r>
                <w:rPr>
                  <w:rFonts w:ascii="Arial" w:cs="Arial" w:eastAsia="Arial" w:hAnsi="Arial"/>
                  <w:sz w:val="15"/>
                  <w:szCs w:val="15"/>
                  <w:color w:val="0000EE"/>
                </w:rPr>
                <w:t>NDERWRITING</w:t>
              </w:r>
            </w:hyperlink>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2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3240" w:type="dxa"/>
            <w:vAlign w:val="bottom"/>
            <w:gridSpan w:val="14"/>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2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2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I</w:t>
              </w:r>
              <w:r>
                <w:rPr>
                  <w:rFonts w:ascii="Arial" w:cs="Arial" w:eastAsia="Arial" w:hAnsi="Arial"/>
                  <w:sz w:val="15"/>
                  <w:szCs w:val="15"/>
                  <w:color w:val="0000EE"/>
                  <w:w w:val="99"/>
                </w:rPr>
                <w:t>NCORPORATION OF</w:t>
              </w:r>
              <w:r>
                <w:rPr>
                  <w:rFonts w:ascii="Arial" w:cs="Arial" w:eastAsia="Arial" w:hAnsi="Arial"/>
                  <w:sz w:val="18"/>
                  <w:szCs w:val="18"/>
                  <w:color w:val="0000EE"/>
                  <w:w w:val="99"/>
                </w:rPr>
                <w:t xml:space="preserve"> C</w:t>
              </w:r>
              <w:r>
                <w:rPr>
                  <w:rFonts w:ascii="Arial" w:cs="Arial" w:eastAsia="Arial" w:hAnsi="Arial"/>
                  <w:sz w:val="15"/>
                  <w:szCs w:val="15"/>
                  <w:color w:val="0000EE"/>
                  <w:w w:val="99"/>
                </w:rPr>
                <w:t>ERTAIN</w:t>
              </w:r>
              <w:r>
                <w:rPr>
                  <w:rFonts w:ascii="Arial" w:cs="Arial" w:eastAsia="Arial" w:hAnsi="Arial"/>
                  <w:sz w:val="18"/>
                  <w:szCs w:val="18"/>
                  <w:color w:val="0000EE"/>
                  <w:w w:val="99"/>
                </w:rPr>
                <w:t xml:space="preserve"> D</w:t>
              </w:r>
              <w:r>
                <w:rPr>
                  <w:rFonts w:ascii="Arial" w:cs="Arial" w:eastAsia="Arial" w:hAnsi="Arial"/>
                  <w:sz w:val="15"/>
                  <w:szCs w:val="15"/>
                  <w:color w:val="0000EE"/>
                  <w:w w:val="99"/>
                </w:rPr>
                <w:t>OCUMENTS BY</w:t>
              </w:r>
              <w:r>
                <w:rPr>
                  <w:rFonts w:ascii="Arial" w:cs="Arial" w:eastAsia="Arial" w:hAnsi="Arial"/>
                  <w:sz w:val="18"/>
                  <w:szCs w:val="18"/>
                  <w:color w:val="0000EE"/>
                  <w:w w:val="99"/>
                </w:rPr>
                <w:t xml:space="preserve"> R</w:t>
              </w:r>
              <w:r>
                <w:rPr>
                  <w:rFonts w:ascii="Arial" w:cs="Arial" w:eastAsia="Arial" w:hAnsi="Arial"/>
                  <w:sz w:val="15"/>
                  <w:szCs w:val="15"/>
                  <w:color w:val="0000EE"/>
                  <w:w w:val="99"/>
                </w:rPr>
                <w:t>EFERENCE</w:t>
              </w:r>
            </w:hyperlink>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2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457"/>
        </w:trPr>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60" w:type="dxa"/>
            <w:vAlign w:val="bottom"/>
            <w:gridSpan w:val="6"/>
          </w:tcPr>
          <w:p>
            <w:pPr>
              <w:ind w:left="38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71"/>
        </w:trPr>
        <w:tc>
          <w:tcPr>
            <w:tcW w:w="2520" w:type="dxa"/>
            <w:vAlign w:val="bottom"/>
            <w:gridSpan w:val="13"/>
            <w:vMerge w:val="restart"/>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F</w:t>
              </w:r>
              <w:r>
                <w:rPr>
                  <w:rFonts w:ascii="Arial" w:cs="Arial" w:eastAsia="Arial" w:hAnsi="Arial"/>
                  <w:sz w:val="15"/>
                  <w:szCs w:val="15"/>
                  <w:color w:val="0000EE"/>
                  <w:w w:val="94"/>
                </w:rPr>
                <w:t>ORWARD</w:t>
              </w:r>
              <w:r>
                <w:rPr>
                  <w:rFonts w:ascii="Arial" w:cs="Arial" w:eastAsia="Arial" w:hAnsi="Arial"/>
                  <w:sz w:val="18"/>
                  <w:szCs w:val="18"/>
                  <w:color w:val="0000EE"/>
                  <w:w w:val="94"/>
                </w:rPr>
                <w:t>-L</w:t>
              </w:r>
              <w:r>
                <w:rPr>
                  <w:rFonts w:ascii="Arial" w:cs="Arial" w:eastAsia="Arial" w:hAnsi="Arial"/>
                  <w:sz w:val="15"/>
                  <w:szCs w:val="15"/>
                  <w:color w:val="0000EE"/>
                  <w:w w:val="94"/>
                </w:rPr>
                <w:t>OOKING</w:t>
              </w:r>
              <w:r>
                <w:rPr>
                  <w:rFonts w:ascii="Arial" w:cs="Arial" w:eastAsia="Arial" w:hAnsi="Arial"/>
                  <w:sz w:val="18"/>
                  <w:szCs w:val="18"/>
                  <w:color w:val="0000EE"/>
                  <w:w w:val="94"/>
                </w:rPr>
                <w:t xml:space="preserve"> S</w:t>
              </w:r>
              <w:r>
                <w:rPr>
                  <w:rFonts w:ascii="Arial" w:cs="Arial" w:eastAsia="Arial" w:hAnsi="Arial"/>
                  <w:sz w:val="15"/>
                  <w:szCs w:val="15"/>
                  <w:color w:val="0000EE"/>
                  <w:w w:val="94"/>
                </w:rPr>
                <w:t>TATEMENTS</w:t>
              </w:r>
            </w:hyperlink>
          </w:p>
        </w:tc>
        <w:tc>
          <w:tcPr>
            <w:tcW w:w="2000" w:type="dxa"/>
            <w:vAlign w:val="bottom"/>
            <w:gridSpan w:val="6"/>
            <w:vMerge w:val="restart"/>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2520" w:type="dxa"/>
            <w:vAlign w:val="bottom"/>
            <w:tcBorders>
              <w:bottom w:val="single" w:sz="8" w:color="0000EE"/>
            </w:tcBorders>
            <w:gridSpan w:val="13"/>
            <w:vMerge w:val="continue"/>
          </w:tcPr>
          <w:p>
            <w:pPr>
              <w:spacing w:after="0"/>
              <w:rPr>
                <w:sz w:val="13"/>
                <w:szCs w:val="13"/>
                <w:color w:val="auto"/>
              </w:rPr>
            </w:pPr>
          </w:p>
        </w:tc>
        <w:tc>
          <w:tcPr>
            <w:tcW w:w="2000" w:type="dxa"/>
            <w:vAlign w:val="bottom"/>
            <w:gridSpan w:val="6"/>
            <w:vMerge w:val="continue"/>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360" w:type="dxa"/>
            <w:vAlign w:val="bottom"/>
            <w:gridSpan w:val="2"/>
          </w:tcPr>
          <w:p>
            <w:pPr>
              <w:spacing w:after="0"/>
              <w:rPr>
                <w:sz w:val="13"/>
                <w:szCs w:val="13"/>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A</w:t>
              </w:r>
              <w:r>
                <w:rPr>
                  <w:rFonts w:ascii="Arial" w:cs="Arial" w:eastAsia="Arial" w:hAnsi="Arial"/>
                  <w:sz w:val="15"/>
                  <w:szCs w:val="15"/>
                  <w:color w:val="0000EE"/>
                  <w:w w:val="93"/>
                </w:rPr>
                <w:t>BOUT</w:t>
              </w:r>
              <w:r>
                <w:rPr>
                  <w:rFonts w:ascii="Arial" w:cs="Arial" w:eastAsia="Arial" w:hAnsi="Arial"/>
                  <w:sz w:val="18"/>
                  <w:szCs w:val="18"/>
                  <w:color w:val="0000EE"/>
                  <w:w w:val="93"/>
                </w:rPr>
                <w:t xml:space="preserve"> T</w:t>
              </w:r>
              <w:r>
                <w:rPr>
                  <w:rFonts w:ascii="Arial" w:cs="Arial" w:eastAsia="Arial" w:hAnsi="Arial"/>
                  <w:sz w:val="15"/>
                  <w:szCs w:val="15"/>
                  <w:color w:val="0000EE"/>
                  <w:w w:val="93"/>
                </w:rPr>
                <w:t>HIS</w:t>
              </w:r>
              <w:r>
                <w:rPr>
                  <w:rFonts w:ascii="Arial" w:cs="Arial" w:eastAsia="Arial" w:hAnsi="Arial"/>
                  <w:sz w:val="18"/>
                  <w:szCs w:val="18"/>
                  <w:color w:val="0000EE"/>
                  <w:w w:val="93"/>
                </w:rPr>
                <w:t xml:space="preserve"> P</w:t>
              </w:r>
              <w:r>
                <w:rPr>
                  <w:rFonts w:ascii="Arial" w:cs="Arial" w:eastAsia="Arial" w:hAnsi="Arial"/>
                  <w:sz w:val="15"/>
                  <w:szCs w:val="15"/>
                  <w:color w:val="0000EE"/>
                  <w:w w:val="93"/>
                </w:rPr>
                <w:t>ROSPECTUS</w:t>
              </w:r>
            </w:hyperlink>
          </w:p>
        </w:tc>
        <w:tc>
          <w:tcPr>
            <w:tcW w:w="2580" w:type="dxa"/>
            <w:vAlign w:val="bottom"/>
            <w:gridSpan w:val="10"/>
          </w:tcPr>
          <w:p>
            <w:pPr>
              <w:spacing w:after="0"/>
              <w:rPr>
                <w:sz w:val="18"/>
                <w:szCs w:val="18"/>
                <w:color w:val="auto"/>
              </w:rPr>
            </w:pPr>
          </w:p>
        </w:tc>
        <w:tc>
          <w:tcPr>
            <w:tcW w:w="6800" w:type="dxa"/>
            <w:vAlign w:val="bottom"/>
            <w:gridSpan w:val="7"/>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I</w:t>
              </w:r>
              <w:r>
                <w:rPr>
                  <w:rFonts w:ascii="Arial" w:cs="Arial" w:eastAsia="Arial" w:hAnsi="Arial"/>
                  <w:sz w:val="15"/>
                  <w:szCs w:val="15"/>
                  <w:color w:val="0000EE"/>
                  <w:w w:val="95"/>
                </w:rPr>
                <w:t>NCORPORATION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ERTAIN</w:t>
              </w:r>
              <w:r>
                <w:rPr>
                  <w:rFonts w:ascii="Arial" w:cs="Arial" w:eastAsia="Arial" w:hAnsi="Arial"/>
                  <w:sz w:val="18"/>
                  <w:szCs w:val="18"/>
                  <w:color w:val="0000EE"/>
                  <w:w w:val="95"/>
                </w:rPr>
                <w:t xml:space="preserve"> D</w:t>
              </w:r>
              <w:r>
                <w:rPr>
                  <w:rFonts w:ascii="Arial" w:cs="Arial" w:eastAsia="Arial" w:hAnsi="Arial"/>
                  <w:sz w:val="15"/>
                  <w:szCs w:val="15"/>
                  <w:color w:val="0000EE"/>
                  <w:w w:val="95"/>
                </w:rPr>
                <w:t>OCUMENTS BY</w:t>
              </w:r>
              <w:r>
                <w:rPr>
                  <w:rFonts w:ascii="Arial" w:cs="Arial" w:eastAsia="Arial" w:hAnsi="Arial"/>
                  <w:sz w:val="18"/>
                  <w:szCs w:val="18"/>
                  <w:color w:val="0000EE"/>
                  <w:w w:val="95"/>
                </w:rPr>
                <w:t xml:space="preserve"> R</w:t>
              </w:r>
              <w:r>
                <w:rPr>
                  <w:rFonts w:ascii="Arial" w:cs="Arial" w:eastAsia="Arial" w:hAnsi="Arial"/>
                  <w:sz w:val="15"/>
                  <w:szCs w:val="15"/>
                  <w:color w:val="0000EE"/>
                  <w:w w:val="95"/>
                </w:rPr>
                <w:t>EFERENCE</w:t>
              </w:r>
            </w:hyperlink>
          </w:p>
        </w:tc>
        <w:tc>
          <w:tcPr>
            <w:tcW w:w="180" w:type="dxa"/>
            <w:vAlign w:val="bottom"/>
          </w:tcPr>
          <w:p>
            <w:pPr>
              <w:spacing w:after="0"/>
              <w:rPr>
                <w:sz w:val="17"/>
                <w:szCs w:val="17"/>
                <w:color w:val="auto"/>
              </w:rPr>
            </w:pPr>
          </w:p>
        </w:tc>
        <w:tc>
          <w:tcPr>
            <w:tcW w:w="6800" w:type="dxa"/>
            <w:vAlign w:val="bottom"/>
            <w:gridSpan w:val="7"/>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W</w:t>
              </w:r>
              <w:r>
                <w:rPr>
                  <w:rFonts w:ascii="Arial" w:cs="Arial" w:eastAsia="Arial" w:hAnsi="Arial"/>
                  <w:sz w:val="15"/>
                  <w:szCs w:val="15"/>
                  <w:color w:val="0000EE"/>
                </w:rPr>
                <w:t>HERE</w:t>
              </w:r>
              <w:r>
                <w:rPr>
                  <w:rFonts w:ascii="Arial" w:cs="Arial" w:eastAsia="Arial" w:hAnsi="Arial"/>
                  <w:sz w:val="18"/>
                  <w:szCs w:val="18"/>
                  <w:color w:val="0000EE"/>
                </w:rPr>
                <w:t xml:space="preserve"> Y</w:t>
              </w:r>
              <w:r>
                <w:rPr>
                  <w:rFonts w:ascii="Arial" w:cs="Arial" w:eastAsia="Arial" w:hAnsi="Arial"/>
                  <w:sz w:val="15"/>
                  <w:szCs w:val="15"/>
                  <w:color w:val="0000EE"/>
                </w:rPr>
                <w:t>OU</w:t>
              </w:r>
              <w:r>
                <w:rPr>
                  <w:rFonts w:ascii="Arial" w:cs="Arial" w:eastAsia="Arial" w:hAnsi="Arial"/>
                  <w:sz w:val="18"/>
                  <w:szCs w:val="18"/>
                  <w:color w:val="0000EE"/>
                </w:rPr>
                <w:t xml:space="preserve"> C</w:t>
              </w:r>
              <w:r>
                <w:rPr>
                  <w:rFonts w:ascii="Arial" w:cs="Arial" w:eastAsia="Arial" w:hAnsi="Arial"/>
                  <w:sz w:val="15"/>
                  <w:szCs w:val="15"/>
                  <w:color w:val="0000EE"/>
                </w:rPr>
                <w:t>AN</w:t>
              </w:r>
              <w:r>
                <w:rPr>
                  <w:rFonts w:ascii="Arial" w:cs="Arial" w:eastAsia="Arial" w:hAnsi="Arial"/>
                  <w:sz w:val="18"/>
                  <w:szCs w:val="18"/>
                  <w:color w:val="0000EE"/>
                </w:rPr>
                <w:t xml:space="preserve"> F</w:t>
              </w:r>
              <w:r>
                <w:rPr>
                  <w:rFonts w:ascii="Arial" w:cs="Arial" w:eastAsia="Arial" w:hAnsi="Arial"/>
                  <w:sz w:val="15"/>
                  <w:szCs w:val="15"/>
                  <w:color w:val="0000EE"/>
                </w:rPr>
                <w:t>IND</w:t>
              </w:r>
              <w:r>
                <w:rPr>
                  <w:rFonts w:ascii="Arial" w:cs="Arial" w:eastAsia="Arial" w:hAnsi="Arial"/>
                  <w:sz w:val="18"/>
                  <w:szCs w:val="18"/>
                  <w:color w:val="0000EE"/>
                </w:rPr>
                <w:t xml:space="preserve"> M</w:t>
              </w:r>
              <w:r>
                <w:rPr>
                  <w:rFonts w:ascii="Arial" w:cs="Arial" w:eastAsia="Arial" w:hAnsi="Arial"/>
                  <w:sz w:val="15"/>
                  <w:szCs w:val="15"/>
                  <w:color w:val="0000EE"/>
                </w:rPr>
                <w:t>ORE</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6800" w:type="dxa"/>
            <w:vAlign w:val="bottom"/>
            <w:gridSpan w:val="7"/>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T</w:t>
              </w:r>
              <w:r>
                <w:rPr>
                  <w:rFonts w:ascii="Arial" w:cs="Arial" w:eastAsia="Arial" w:hAnsi="Arial"/>
                  <w:sz w:val="15"/>
                  <w:szCs w:val="15"/>
                  <w:color w:val="0000EE"/>
                  <w:w w:val="99"/>
                </w:rPr>
                <w:t>HE</w:t>
              </w:r>
              <w:r>
                <w:rPr>
                  <w:rFonts w:ascii="Arial" w:cs="Arial" w:eastAsia="Arial" w:hAnsi="Arial"/>
                  <w:sz w:val="18"/>
                  <w:szCs w:val="18"/>
                  <w:color w:val="0000EE"/>
                  <w:w w:val="99"/>
                </w:rPr>
                <w:t xml:space="preserve"> C</w:t>
              </w:r>
              <w:r>
                <w:rPr>
                  <w:rFonts w:ascii="Arial" w:cs="Arial" w:eastAsia="Arial" w:hAnsi="Arial"/>
                  <w:sz w:val="15"/>
                  <w:szCs w:val="15"/>
                  <w:color w:val="0000EE"/>
                  <w:w w:val="99"/>
                </w:rPr>
                <w:t>OMPANY</w:t>
              </w:r>
            </w:hyperlink>
          </w:p>
        </w:tc>
        <w:tc>
          <w:tcPr>
            <w:tcW w:w="2160" w:type="dxa"/>
            <w:vAlign w:val="bottom"/>
            <w:tcBorders>
              <w:top w:val="single" w:sz="8" w:color="0000EE"/>
            </w:tcBorders>
            <w:gridSpan w:val="13"/>
          </w:tcPr>
          <w:p>
            <w:pPr>
              <w:spacing w:after="0"/>
              <w:rPr>
                <w:sz w:val="17"/>
                <w:szCs w:val="17"/>
                <w:color w:val="auto"/>
              </w:rPr>
            </w:pPr>
          </w:p>
        </w:tc>
        <w:tc>
          <w:tcPr>
            <w:tcW w:w="1180" w:type="dxa"/>
            <w:vAlign w:val="bottom"/>
            <w:gridSpan w:val="2"/>
          </w:tcPr>
          <w:p>
            <w:pPr>
              <w:spacing w:after="0"/>
              <w:rPr>
                <w:sz w:val="17"/>
                <w:szCs w:val="17"/>
                <w:color w:val="auto"/>
              </w:rPr>
            </w:pPr>
          </w:p>
        </w:tc>
        <w:tc>
          <w:tcPr>
            <w:tcW w:w="6800" w:type="dxa"/>
            <w:vAlign w:val="bottom"/>
            <w:gridSpan w:val="7"/>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6800" w:type="dxa"/>
            <w:vAlign w:val="bottom"/>
            <w:gridSpan w:val="7"/>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68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R</w:t>
              </w:r>
              <w:r>
                <w:rPr>
                  <w:rFonts w:ascii="Arial" w:cs="Arial" w:eastAsia="Arial" w:hAnsi="Arial"/>
                  <w:sz w:val="15"/>
                  <w:szCs w:val="15"/>
                  <w:color w:val="0000EE"/>
                  <w:w w:val="95"/>
                </w:rPr>
                <w:t>ATIO OF</w:t>
              </w:r>
              <w:r>
                <w:rPr>
                  <w:rFonts w:ascii="Arial" w:cs="Arial" w:eastAsia="Arial" w:hAnsi="Arial"/>
                  <w:sz w:val="18"/>
                  <w:szCs w:val="18"/>
                  <w:color w:val="0000EE"/>
                  <w:w w:val="95"/>
                </w:rPr>
                <w:t xml:space="preserve"> E</w:t>
              </w:r>
              <w:r>
                <w:rPr>
                  <w:rFonts w:ascii="Arial" w:cs="Arial" w:eastAsia="Arial" w:hAnsi="Arial"/>
                  <w:sz w:val="15"/>
                  <w:szCs w:val="15"/>
                  <w:color w:val="0000EE"/>
                  <w:w w:val="95"/>
                </w:rPr>
                <w:t>ARNINGS TO</w:t>
              </w:r>
              <w:r>
                <w:rPr>
                  <w:rFonts w:ascii="Arial" w:cs="Arial" w:eastAsia="Arial" w:hAnsi="Arial"/>
                  <w:sz w:val="18"/>
                  <w:szCs w:val="18"/>
                  <w:color w:val="0000EE"/>
                  <w:w w:val="95"/>
                </w:rPr>
                <w:t xml:space="preserve"> F</w:t>
              </w:r>
              <w:r>
                <w:rPr>
                  <w:rFonts w:ascii="Arial" w:cs="Arial" w:eastAsia="Arial" w:hAnsi="Arial"/>
                  <w:sz w:val="15"/>
                  <w:szCs w:val="15"/>
                  <w:color w:val="0000EE"/>
                  <w:w w:val="95"/>
                </w:rPr>
                <w:t>IXED</w:t>
              </w:r>
              <w:r>
                <w:rPr>
                  <w:rFonts w:ascii="Arial" w:cs="Arial" w:eastAsia="Arial" w:hAnsi="Arial"/>
                  <w:sz w:val="18"/>
                  <w:szCs w:val="18"/>
                  <w:color w:val="0000EE"/>
                  <w:w w:val="95"/>
                </w:rPr>
                <w:t xml:space="preserve"> C</w:t>
              </w:r>
              <w:r>
                <w:rPr>
                  <w:rFonts w:ascii="Arial" w:cs="Arial" w:eastAsia="Arial" w:hAnsi="Arial"/>
                  <w:sz w:val="15"/>
                  <w:szCs w:val="15"/>
                  <w:color w:val="0000EE"/>
                  <w:w w:val="95"/>
                </w:rPr>
                <w:t>HARGES</w:t>
              </w:r>
            </w:hyperlink>
          </w:p>
        </w:tc>
        <w:tc>
          <w:tcPr>
            <w:tcW w:w="1480" w:type="dxa"/>
            <w:vAlign w:val="bottom"/>
            <w:gridSpan w:val="3"/>
          </w:tcPr>
          <w:p>
            <w:pPr>
              <w:spacing w:after="0"/>
              <w:rPr>
                <w:sz w:val="17"/>
                <w:szCs w:val="17"/>
                <w:color w:val="auto"/>
              </w:rPr>
            </w:pPr>
          </w:p>
        </w:tc>
        <w:tc>
          <w:tcPr>
            <w:tcW w:w="6800" w:type="dxa"/>
            <w:vAlign w:val="bottom"/>
            <w:gridSpan w:val="7"/>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3140" w:type="dxa"/>
            <w:vAlign w:val="bottom"/>
            <w:gridSpan w:val="13"/>
          </w:tcPr>
          <w:p>
            <w:pPr>
              <w:spacing w:after="0"/>
              <w:rPr>
                <w:sz w:val="17"/>
                <w:szCs w:val="17"/>
                <w:color w:val="auto"/>
              </w:rPr>
            </w:pPr>
          </w:p>
        </w:tc>
        <w:tc>
          <w:tcPr>
            <w:tcW w:w="6800" w:type="dxa"/>
            <w:vAlign w:val="bottom"/>
            <w:gridSpan w:val="7"/>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w:t>
              </w:r>
              <w:r>
                <w:rPr>
                  <w:rFonts w:ascii="Arial" w:cs="Arial" w:eastAsia="Arial" w:hAnsi="Arial"/>
                  <w:sz w:val="15"/>
                  <w:szCs w:val="15"/>
                  <w:color w:val="0000EE"/>
                </w:rPr>
                <w:t>ESCRIPTION OF THE</w:t>
              </w:r>
              <w:r>
                <w:rPr>
                  <w:rFonts w:ascii="Arial" w:cs="Arial" w:eastAsia="Arial" w:hAnsi="Arial"/>
                  <w:sz w:val="18"/>
                  <w:szCs w:val="18"/>
                  <w:color w:val="0000EE"/>
                </w:rPr>
                <w:t xml:space="preserve"> D</w:t>
              </w:r>
              <w:r>
                <w:rPr>
                  <w:rFonts w:ascii="Arial" w:cs="Arial" w:eastAsia="Arial" w:hAnsi="Arial"/>
                  <w:sz w:val="15"/>
                  <w:szCs w:val="15"/>
                  <w:color w:val="0000EE"/>
                </w:rPr>
                <w:t>EBT</w:t>
              </w:r>
              <w:r>
                <w:rPr>
                  <w:rFonts w:ascii="Arial" w:cs="Arial" w:eastAsia="Arial" w:hAnsi="Arial"/>
                  <w:sz w:val="18"/>
                  <w:szCs w:val="18"/>
                  <w:color w:val="0000EE"/>
                </w:rPr>
                <w:t xml:space="preserve"> S</w:t>
              </w:r>
              <w:r>
                <w:rPr>
                  <w:rFonts w:ascii="Arial" w:cs="Arial" w:eastAsia="Arial" w:hAnsi="Arial"/>
                  <w:sz w:val="15"/>
                  <w:szCs w:val="15"/>
                  <w:color w:val="0000EE"/>
                </w:rPr>
                <w:t>ECURITIES</w:t>
              </w:r>
            </w:hyperlink>
          </w:p>
        </w:tc>
        <w:tc>
          <w:tcPr>
            <w:tcW w:w="6800" w:type="dxa"/>
            <w:vAlign w:val="bottom"/>
            <w:gridSpan w:val="7"/>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G</w:t>
              </w:r>
              <w:r>
                <w:rPr>
                  <w:rFonts w:ascii="Arial" w:cs="Arial" w:eastAsia="Arial" w:hAnsi="Arial"/>
                  <w:sz w:val="15"/>
                  <w:szCs w:val="15"/>
                  <w:color w:val="0000EE"/>
                </w:rPr>
                <w:t>UARANTEES</w:t>
              </w:r>
            </w:hyperlink>
          </w:p>
        </w:tc>
        <w:tc>
          <w:tcPr>
            <w:tcW w:w="1580" w:type="dxa"/>
            <w:vAlign w:val="bottom"/>
            <w:gridSpan w:val="4"/>
          </w:tcPr>
          <w:p>
            <w:pPr>
              <w:spacing w:after="0"/>
              <w:rPr>
                <w:sz w:val="17"/>
                <w:szCs w:val="17"/>
                <w:color w:val="auto"/>
              </w:rPr>
            </w:pPr>
          </w:p>
        </w:tc>
        <w:tc>
          <w:tcPr>
            <w:tcW w:w="678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47">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2040" w:type="dxa"/>
            <w:vAlign w:val="bottom"/>
            <w:gridSpan w:val="7"/>
          </w:tcPr>
          <w:p>
            <w:pPr>
              <w:spacing w:after="0"/>
              <w:rPr>
                <w:sz w:val="17"/>
                <w:szCs w:val="17"/>
                <w:color w:val="auto"/>
              </w:rPr>
            </w:pPr>
          </w:p>
        </w:tc>
        <w:tc>
          <w:tcPr>
            <w:tcW w:w="678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D</w:t>
              </w:r>
              <w:r>
                <w:rPr>
                  <w:rFonts w:ascii="Arial" w:cs="Arial" w:eastAsia="Arial" w:hAnsi="Arial"/>
                  <w:sz w:val="15"/>
                  <w:szCs w:val="15"/>
                  <w:color w:val="0000EE"/>
                  <w:w w:val="94"/>
                </w:rPr>
                <w:t>ESCRIPTION OF</w:t>
              </w:r>
              <w:r>
                <w:rPr>
                  <w:rFonts w:ascii="Arial" w:cs="Arial" w:eastAsia="Arial" w:hAnsi="Arial"/>
                  <w:sz w:val="18"/>
                  <w:szCs w:val="18"/>
                  <w:color w:val="0000EE"/>
                  <w:w w:val="94"/>
                </w:rPr>
                <w:t xml:space="preserve"> O</w:t>
              </w:r>
              <w:r>
                <w:rPr>
                  <w:rFonts w:ascii="Arial" w:cs="Arial" w:eastAsia="Arial" w:hAnsi="Arial"/>
                  <w:sz w:val="15"/>
                  <w:szCs w:val="15"/>
                  <w:color w:val="0000EE"/>
                  <w:w w:val="94"/>
                </w:rPr>
                <w:t>THER</w:t>
              </w:r>
              <w:r>
                <w:rPr>
                  <w:rFonts w:ascii="Arial" w:cs="Arial" w:eastAsia="Arial" w:hAnsi="Arial"/>
                  <w:sz w:val="18"/>
                  <w:szCs w:val="18"/>
                  <w:color w:val="0000EE"/>
                  <w:w w:val="94"/>
                </w:rPr>
                <w:t xml:space="preserve"> S</w:t>
              </w:r>
              <w:r>
                <w:rPr>
                  <w:rFonts w:ascii="Arial" w:cs="Arial" w:eastAsia="Arial" w:hAnsi="Arial"/>
                  <w:sz w:val="15"/>
                  <w:szCs w:val="15"/>
                  <w:color w:val="0000EE"/>
                  <w:w w:val="94"/>
                </w:rPr>
                <w:t>ECURITIES</w:t>
              </w:r>
            </w:hyperlink>
          </w:p>
        </w:tc>
        <w:tc>
          <w:tcPr>
            <w:tcW w:w="1800" w:type="dxa"/>
            <w:vAlign w:val="bottom"/>
            <w:gridSpan w:val="5"/>
          </w:tcPr>
          <w:p>
            <w:pPr>
              <w:spacing w:after="0"/>
              <w:rPr>
                <w:sz w:val="17"/>
                <w:szCs w:val="17"/>
                <w:color w:val="auto"/>
              </w:rPr>
            </w:pPr>
          </w:p>
        </w:tc>
        <w:tc>
          <w:tcPr>
            <w:tcW w:w="678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w:t>
              </w:r>
              <w:r>
                <w:rPr>
                  <w:rFonts w:ascii="Arial" w:cs="Arial" w:eastAsia="Arial" w:hAnsi="Arial"/>
                  <w:sz w:val="15"/>
                  <w:szCs w:val="15"/>
                  <w:color w:val="0000EE"/>
                </w:rPr>
                <w:t>LAN OF</w:t>
              </w:r>
              <w:r>
                <w:rPr>
                  <w:rFonts w:ascii="Arial" w:cs="Arial" w:eastAsia="Arial" w:hAnsi="Arial"/>
                  <w:sz w:val="18"/>
                  <w:szCs w:val="18"/>
                  <w:color w:val="0000EE"/>
                </w:rPr>
                <w:t xml:space="preserve"> D</w:t>
              </w:r>
              <w:r>
                <w:rPr>
                  <w:rFonts w:ascii="Arial" w:cs="Arial" w:eastAsia="Arial" w:hAnsi="Arial"/>
                  <w:sz w:val="15"/>
                  <w:szCs w:val="15"/>
                  <w:color w:val="0000EE"/>
                </w:rPr>
                <w:t>ISTRIBUTION</w:t>
              </w:r>
            </w:hyperlink>
          </w:p>
        </w:tc>
        <w:tc>
          <w:tcPr>
            <w:tcW w:w="678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S</w:t>
              </w:r>
              <w:r>
                <w:rPr>
                  <w:rFonts w:ascii="Arial" w:cs="Arial" w:eastAsia="Arial" w:hAnsi="Arial"/>
                  <w:sz w:val="15"/>
                  <w:szCs w:val="15"/>
                  <w:color w:val="0000EE"/>
                  <w:w w:val="96"/>
                </w:rPr>
                <w:t>ELLING</w:t>
              </w:r>
              <w:r>
                <w:rPr>
                  <w:rFonts w:ascii="Arial" w:cs="Arial" w:eastAsia="Arial" w:hAnsi="Arial"/>
                  <w:sz w:val="18"/>
                  <w:szCs w:val="18"/>
                  <w:color w:val="0000EE"/>
                  <w:w w:val="96"/>
                </w:rPr>
                <w:t xml:space="preserve"> S</w:t>
              </w:r>
              <w:r>
                <w:rPr>
                  <w:rFonts w:ascii="Arial" w:cs="Arial" w:eastAsia="Arial" w:hAnsi="Arial"/>
                  <w:sz w:val="15"/>
                  <w:szCs w:val="15"/>
                  <w:color w:val="0000EE"/>
                  <w:w w:val="96"/>
                </w:rPr>
                <w:t>ECURITYHOLDERS</w:t>
              </w:r>
            </w:hyperlink>
          </w:p>
        </w:tc>
        <w:tc>
          <w:tcPr>
            <w:tcW w:w="2380" w:type="dxa"/>
            <w:vAlign w:val="bottom"/>
            <w:gridSpan w:val="9"/>
          </w:tcPr>
          <w:p>
            <w:pPr>
              <w:spacing w:after="0"/>
              <w:rPr>
                <w:sz w:val="17"/>
                <w:szCs w:val="17"/>
                <w:color w:val="auto"/>
              </w:rPr>
            </w:pPr>
          </w:p>
        </w:tc>
        <w:tc>
          <w:tcPr>
            <w:tcW w:w="678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3240" w:type="dxa"/>
            <w:vAlign w:val="bottom"/>
            <w:gridSpan w:val="14"/>
          </w:tcPr>
          <w:p>
            <w:pPr>
              <w:spacing w:after="0"/>
              <w:rPr>
                <w:sz w:val="17"/>
                <w:szCs w:val="17"/>
                <w:color w:val="auto"/>
              </w:rPr>
            </w:pPr>
          </w:p>
        </w:tc>
        <w:tc>
          <w:tcPr>
            <w:tcW w:w="678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678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41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3417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380" w:firstLine="443"/>
        <w:spacing w:after="0" w:line="279" w:lineRule="auto"/>
        <w:rPr>
          <w:sz w:val="20"/>
          <w:szCs w:val="20"/>
          <w:color w:val="auto"/>
        </w:rPr>
      </w:pPr>
      <w:r>
        <w:rPr>
          <w:rFonts w:ascii="Arial" w:cs="Arial" w:eastAsia="Arial" w:hAnsi="Arial"/>
          <w:sz w:val="17"/>
          <w:szCs w:val="17"/>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the documents incorporated by reference, in their entirety before making an investment decision.</w:t>
      </w:r>
    </w:p>
    <w:p>
      <w:pPr>
        <w:spacing w:after="0" w:line="171" w:lineRule="exact"/>
        <w:rPr>
          <w:sz w:val="20"/>
          <w:szCs w:val="20"/>
          <w:color w:val="auto"/>
        </w:rPr>
      </w:pPr>
    </w:p>
    <w:p>
      <w:pPr>
        <w:ind w:left="200" w:right="920" w:firstLine="443"/>
        <w:spacing w:after="0" w:line="342"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200" w:right="20" w:firstLine="443"/>
        <w:spacing w:after="0" w:line="276"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1001 Fannin Street, Suite 4000, Houston, Texas 77002. Our telephone number at that address is</w:t>
      </w:r>
    </w:p>
    <w:p>
      <w:pPr>
        <w:spacing w:after="0" w:line="46" w:lineRule="exact"/>
        <w:rPr>
          <w:sz w:val="20"/>
          <w:szCs w:val="20"/>
          <w:color w:val="auto"/>
        </w:rPr>
      </w:pPr>
    </w:p>
    <w:p>
      <w:pPr>
        <w:ind w:left="200" w:hanging="3"/>
        <w:spacing w:after="0" w:line="254"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512-6200. Our website address is www.wm.com. Our annual reports on Form 10-K, quarterly reports on Form 10-Q and current reports on Form 8-K are all available, free of charge, on our website as soon as practicable after we file them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Waste Management Holdings, Inc.</w:t>
      </w:r>
    </w:p>
    <w:p>
      <w:pPr>
        <w:spacing w:after="0" w:line="229"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wholly-owned subsidiary of Waste Management, Inc. WM Holdings is a holding company.</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i w:val="1"/>
          <w:iCs w:val="1"/>
          <w:color w:val="auto"/>
        </w:rPr>
        <w:t xml:space="preserve">Concurrent Tender Offer. </w:t>
      </w:r>
      <w:r>
        <w:rPr>
          <w:rFonts w:ascii="Arial" w:cs="Arial" w:eastAsia="Arial" w:hAnsi="Arial"/>
          <w:sz w:val="16"/>
          <w:szCs w:val="16"/>
          <w:color w:val="auto"/>
        </w:rPr>
        <w:t>Concurrently with this notes offering, we are conducting a cash tender offer, referred to herein as the “Tender Offer,” for</w:t>
      </w:r>
      <w:r>
        <w:rPr>
          <w:rFonts w:ascii="Arial" w:cs="Arial" w:eastAsia="Arial" w:hAnsi="Arial"/>
          <w:sz w:val="16"/>
          <w:szCs w:val="16"/>
          <w:i w:val="1"/>
          <w:iCs w:val="1"/>
          <w:color w:val="auto"/>
        </w:rPr>
        <w:t xml:space="preserve"> </w:t>
      </w:r>
      <w:r>
        <w:rPr>
          <w:rFonts w:ascii="Arial" w:cs="Arial" w:eastAsia="Arial" w:hAnsi="Arial"/>
          <w:sz w:val="16"/>
          <w:szCs w:val="16"/>
          <w:color w:val="auto"/>
        </w:rPr>
        <w:t>any or all of our 7.10% Notes due 2026 (issued by WM Holdings), 7.00% Senior Notes due 2028, 7.375% Senior Notes due 2029, 7.75% Senior Notes due 2032 and 6.125% Senior Notes due 2039. We refer to these notes collectively as the “Tender Notes.” The Tender Offer is scheduled to expire at 5:00 p.m., New York City Time, on February 24, 2015, subject to our right to extend the Tender Offer. As of February 17, 2015, the aggregate amount outstanding of the Tender Notes is $2,345,110,000. The Tender Offer is being made pursuant to an Offer to Purchase dated as of February 18, 2015 issued in connection with the Tender Offer. This prospectus supplement is not an offer to purchase any of the Tender Notes.</w:t>
      </w:r>
    </w:p>
    <w:p>
      <w:pPr>
        <w:spacing w:after="0" w:line="165"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color w:val="auto"/>
        </w:rPr>
        <w:t>The closing of the Tender Offer is conditioned on, among other things, the completion of this offering on terms and conditions satisfactory to us; however, this offering is not conditioned on the closing of the Tender Offer. We are permitted, among other things, to amend or terminate the Tender Offer, and there is no assurance that the Tender Offer will be consummated in accordance with its terms, or at all. Credit Suisse Securities (USA) LLC, Deutsche Bank Securities Inc., Goldman, Sachs &amp; Co. and J.P. Morgan Securities LLC are the dealer managers for the Tender Offer. Please read “Use of Proceeds” and “Underwriting” in this prospectus supplement.</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84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7842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Redemption of Senior Notes</w:t>
      </w:r>
      <w:r>
        <w:rPr>
          <w:rFonts w:ascii="Arial" w:cs="Arial" w:eastAsia="Arial" w:hAnsi="Arial"/>
          <w:sz w:val="18"/>
          <w:szCs w:val="18"/>
          <w:color w:val="auto"/>
        </w:rPr>
        <w:t>. In December 2014, we decided to redeem $947 million of senior notes with a weighted average coupon rate of 7.0%,</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$350 million of 6.375% senior notes that were scheduled to mature in March 2015, $147 million of 7.125% senior notes that were scheduled to mature in December 2017 and $450 million of 7.375% senior notes that were scheduled to mature in March 2019. We repaid these notes and the related make-whole premium and accrued interest with available cash in January 2015.</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2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652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300" w:firstLine="443"/>
        <w:spacing w:after="0" w:line="264"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ind w:left="200"/>
              <w:spacing w:after="0"/>
              <w:rPr>
                <w:sz w:val="20"/>
                <w:szCs w:val="20"/>
                <w:color w:val="auto"/>
              </w:rPr>
            </w:pPr>
            <w:r>
              <w:rPr>
                <w:rFonts w:ascii="Arial" w:cs="Arial" w:eastAsia="Arial" w:hAnsi="Arial"/>
                <w:sz w:val="18"/>
                <w:szCs w:val="18"/>
                <w:color w:val="auto"/>
              </w:rPr>
              <w:t>Issuer</w:t>
            </w:r>
          </w:p>
        </w:tc>
        <w:tc>
          <w:tcPr>
            <w:tcW w:w="8320" w:type="dxa"/>
            <w:vAlign w:val="bottom"/>
          </w:tcPr>
          <w:p>
            <w:pPr>
              <w:ind w:left="1260"/>
              <w:spacing w:after="0"/>
              <w:rPr>
                <w:sz w:val="20"/>
                <w:szCs w:val="20"/>
                <w:color w:val="auto"/>
              </w:rPr>
            </w:pPr>
            <w:r>
              <w:rPr>
                <w:rFonts w:ascii="Arial" w:cs="Arial" w:eastAsia="Arial" w:hAnsi="Arial"/>
                <w:sz w:val="18"/>
                <w:szCs w:val="18"/>
                <w:color w:val="auto"/>
              </w:rPr>
              <w:t>Waste Management, Inc.</w:t>
            </w:r>
          </w:p>
        </w:tc>
      </w:tr>
      <w:tr>
        <w:trPr>
          <w:trHeight w:val="473"/>
        </w:trPr>
        <w:tc>
          <w:tcPr>
            <w:tcW w:w="314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20" w:type="dxa"/>
            <w:vAlign w:val="bottom"/>
          </w:tcPr>
          <w:p>
            <w:pPr>
              <w:ind w:left="1260"/>
              <w:spacing w:after="0"/>
              <w:rPr>
                <w:sz w:val="20"/>
                <w:szCs w:val="20"/>
                <w:color w:val="auto"/>
              </w:rPr>
            </w:pPr>
            <w:r>
              <w:rPr>
                <w:rFonts w:ascii="Arial" w:cs="Arial" w:eastAsia="Arial" w:hAnsi="Arial"/>
                <w:sz w:val="18"/>
                <w:szCs w:val="18"/>
                <w:color w:val="auto"/>
              </w:rPr>
              <w:t>$1.8 billion aggregate principal amount of notes, consisting of:</w:t>
            </w:r>
          </w:p>
        </w:tc>
      </w:tr>
      <w:tr>
        <w:trPr>
          <w:trHeight w:val="338"/>
        </w:trPr>
        <w:tc>
          <w:tcPr>
            <w:tcW w:w="3140" w:type="dxa"/>
            <w:vAlign w:val="bottom"/>
          </w:tcPr>
          <w:p>
            <w:pPr>
              <w:spacing w:after="0"/>
              <w:rPr>
                <w:sz w:val="24"/>
                <w:szCs w:val="24"/>
                <w:color w:val="auto"/>
              </w:rPr>
            </w:pPr>
          </w:p>
        </w:tc>
        <w:tc>
          <w:tcPr>
            <w:tcW w:w="8320" w:type="dxa"/>
            <w:vAlign w:val="bottom"/>
          </w:tcPr>
          <w:p>
            <w:pPr>
              <w:ind w:left="1480"/>
              <w:spacing w:after="0"/>
              <w:rPr>
                <w:sz w:val="20"/>
                <w:szCs w:val="20"/>
                <w:color w:val="auto"/>
              </w:rPr>
            </w:pPr>
            <w:r>
              <w:rPr>
                <w:rFonts w:ascii="Arial" w:cs="Arial" w:eastAsia="Arial" w:hAnsi="Arial"/>
                <w:sz w:val="18"/>
                <w:szCs w:val="18"/>
                <w:color w:val="auto"/>
              </w:rPr>
              <w:t>$600 million aggregate principal amount of 3.125% Senior Notes due 2025</w:t>
            </w:r>
          </w:p>
        </w:tc>
      </w:tr>
      <w:tr>
        <w:trPr>
          <w:trHeight w:val="324"/>
        </w:trPr>
        <w:tc>
          <w:tcPr>
            <w:tcW w:w="3140" w:type="dxa"/>
            <w:vAlign w:val="bottom"/>
          </w:tcPr>
          <w:p>
            <w:pPr>
              <w:spacing w:after="0"/>
              <w:rPr>
                <w:sz w:val="24"/>
                <w:szCs w:val="24"/>
                <w:color w:val="auto"/>
              </w:rPr>
            </w:pPr>
          </w:p>
        </w:tc>
        <w:tc>
          <w:tcPr>
            <w:tcW w:w="8320" w:type="dxa"/>
            <w:vAlign w:val="bottom"/>
          </w:tcPr>
          <w:p>
            <w:pPr>
              <w:ind w:left="1480"/>
              <w:spacing w:after="0"/>
              <w:rPr>
                <w:sz w:val="20"/>
                <w:szCs w:val="20"/>
                <w:color w:val="auto"/>
              </w:rPr>
            </w:pPr>
            <w:r>
              <w:rPr>
                <w:rFonts w:ascii="Arial" w:cs="Arial" w:eastAsia="Arial" w:hAnsi="Arial"/>
                <w:sz w:val="18"/>
                <w:szCs w:val="18"/>
                <w:color w:val="auto"/>
              </w:rPr>
              <w:t>$450 million aggregate principal amount of 3.900% Senior Notes due 2035</w:t>
            </w:r>
          </w:p>
        </w:tc>
      </w:tr>
      <w:tr>
        <w:trPr>
          <w:trHeight w:val="324"/>
        </w:trPr>
        <w:tc>
          <w:tcPr>
            <w:tcW w:w="3140" w:type="dxa"/>
            <w:vAlign w:val="bottom"/>
          </w:tcPr>
          <w:p>
            <w:pPr>
              <w:spacing w:after="0"/>
              <w:rPr>
                <w:sz w:val="24"/>
                <w:szCs w:val="24"/>
                <w:color w:val="auto"/>
              </w:rPr>
            </w:pPr>
          </w:p>
        </w:tc>
        <w:tc>
          <w:tcPr>
            <w:tcW w:w="8320" w:type="dxa"/>
            <w:vAlign w:val="bottom"/>
          </w:tcPr>
          <w:p>
            <w:pPr>
              <w:ind w:left="1480"/>
              <w:spacing w:after="0"/>
              <w:rPr>
                <w:sz w:val="20"/>
                <w:szCs w:val="20"/>
                <w:color w:val="auto"/>
              </w:rPr>
            </w:pPr>
            <w:r>
              <w:rPr>
                <w:rFonts w:ascii="Arial" w:cs="Arial" w:eastAsia="Arial" w:hAnsi="Arial"/>
                <w:sz w:val="18"/>
                <w:szCs w:val="18"/>
                <w:color w:val="auto"/>
              </w:rPr>
              <w:t>$750 million aggregate principal amount of 4.100% Senior Notes due 2045</w:t>
            </w:r>
          </w:p>
        </w:tc>
      </w:tr>
      <w:tr>
        <w:trPr>
          <w:trHeight w:val="445"/>
        </w:trPr>
        <w:tc>
          <w:tcPr>
            <w:tcW w:w="3140" w:type="dxa"/>
            <w:vAlign w:val="bottom"/>
          </w:tcPr>
          <w:p>
            <w:pPr>
              <w:ind w:left="200"/>
              <w:spacing w:after="0"/>
              <w:rPr>
                <w:sz w:val="20"/>
                <w:szCs w:val="20"/>
                <w:color w:val="auto"/>
              </w:rPr>
            </w:pPr>
            <w:r>
              <w:rPr>
                <w:rFonts w:ascii="Arial" w:cs="Arial" w:eastAsia="Arial" w:hAnsi="Arial"/>
                <w:sz w:val="18"/>
                <w:szCs w:val="18"/>
                <w:color w:val="auto"/>
              </w:rPr>
              <w:t>Subsidiary Guarantee</w:t>
            </w:r>
          </w:p>
        </w:tc>
        <w:tc>
          <w:tcPr>
            <w:tcW w:w="8320" w:type="dxa"/>
            <w:vAlign w:val="bottom"/>
          </w:tcPr>
          <w:p>
            <w:pPr>
              <w:ind w:left="1260"/>
              <w:spacing w:after="0"/>
              <w:rPr>
                <w:sz w:val="20"/>
                <w:szCs w:val="20"/>
                <w:color w:val="auto"/>
              </w:rPr>
            </w:pPr>
            <w:r>
              <w:rPr>
                <w:rFonts w:ascii="Arial" w:cs="Arial" w:eastAsia="Arial" w:hAnsi="Arial"/>
                <w:sz w:val="18"/>
                <w:szCs w:val="18"/>
                <w:color w:val="auto"/>
                <w:w w:val="98"/>
              </w:rPr>
              <w:t>WM Holdings will fully and unconditionally guarantee, on a senior unsecured basis, the full</w:t>
            </w:r>
          </w:p>
        </w:tc>
      </w:tr>
      <w:tr>
        <w:trPr>
          <w:trHeight w:val="216"/>
        </w:trPr>
        <w:tc>
          <w:tcPr>
            <w:tcW w:w="3140" w:type="dxa"/>
            <w:vAlign w:val="bottom"/>
          </w:tcPr>
          <w:p>
            <w:pPr>
              <w:spacing w:after="0"/>
              <w:rPr>
                <w:sz w:val="18"/>
                <w:szCs w:val="18"/>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w w:val="93"/>
              </w:rPr>
              <w:t>and prompt payment of the principal and any premium and interest on the notes of each series,</w:t>
            </w:r>
          </w:p>
        </w:tc>
      </w:tr>
      <w:tr>
        <w:trPr>
          <w:trHeight w:val="230"/>
        </w:trPr>
        <w:tc>
          <w:tcPr>
            <w:tcW w:w="3140" w:type="dxa"/>
            <w:vAlign w:val="bottom"/>
          </w:tcPr>
          <w:p>
            <w:pPr>
              <w:spacing w:after="0"/>
              <w:rPr>
                <w:sz w:val="20"/>
                <w:szCs w:val="20"/>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rPr>
              <w:t>when and as they become due and payable, whether at maturity or otherwise.</w:t>
            </w:r>
          </w:p>
        </w:tc>
      </w:tr>
      <w:tr>
        <w:trPr>
          <w:trHeight w:val="459"/>
        </w:trPr>
        <w:tc>
          <w:tcPr>
            <w:tcW w:w="3140" w:type="dxa"/>
            <w:vAlign w:val="bottom"/>
          </w:tcPr>
          <w:p>
            <w:pPr>
              <w:ind w:left="200"/>
              <w:spacing w:after="0"/>
              <w:rPr>
                <w:sz w:val="20"/>
                <w:szCs w:val="20"/>
                <w:color w:val="auto"/>
              </w:rPr>
            </w:pPr>
            <w:r>
              <w:rPr>
                <w:rFonts w:ascii="Arial" w:cs="Arial" w:eastAsia="Arial" w:hAnsi="Arial"/>
                <w:sz w:val="18"/>
                <w:szCs w:val="18"/>
                <w:color w:val="auto"/>
              </w:rPr>
              <w:t>Maturity Date</w:t>
            </w:r>
          </w:p>
        </w:tc>
        <w:tc>
          <w:tcPr>
            <w:tcW w:w="8320" w:type="dxa"/>
            <w:vAlign w:val="bottom"/>
          </w:tcPr>
          <w:p>
            <w:pPr>
              <w:ind w:left="1260"/>
              <w:spacing w:after="0"/>
              <w:rPr>
                <w:sz w:val="20"/>
                <w:szCs w:val="20"/>
                <w:color w:val="auto"/>
              </w:rPr>
            </w:pPr>
            <w:r>
              <w:rPr>
                <w:rFonts w:ascii="Arial" w:cs="Arial" w:eastAsia="Arial" w:hAnsi="Arial"/>
                <w:sz w:val="18"/>
                <w:szCs w:val="18"/>
                <w:color w:val="auto"/>
              </w:rPr>
              <w:t>2025 Notes—March 1, 2025</w:t>
            </w:r>
          </w:p>
        </w:tc>
      </w:tr>
      <w:tr>
        <w:trPr>
          <w:trHeight w:val="446"/>
        </w:trPr>
        <w:tc>
          <w:tcPr>
            <w:tcW w:w="3140" w:type="dxa"/>
            <w:vAlign w:val="bottom"/>
          </w:tcPr>
          <w:p>
            <w:pPr>
              <w:spacing w:after="0"/>
              <w:rPr>
                <w:sz w:val="24"/>
                <w:szCs w:val="24"/>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rPr>
              <w:t>2035 Notes—March 1, 2035</w:t>
            </w:r>
          </w:p>
        </w:tc>
      </w:tr>
      <w:tr>
        <w:trPr>
          <w:trHeight w:val="432"/>
        </w:trPr>
        <w:tc>
          <w:tcPr>
            <w:tcW w:w="3140" w:type="dxa"/>
            <w:vAlign w:val="bottom"/>
          </w:tcPr>
          <w:p>
            <w:pPr>
              <w:spacing w:after="0"/>
              <w:rPr>
                <w:sz w:val="24"/>
                <w:szCs w:val="24"/>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rPr>
              <w:t>2045 Notes—March 1, 2045</w:t>
            </w:r>
          </w:p>
        </w:tc>
      </w:tr>
      <w:tr>
        <w:trPr>
          <w:trHeight w:val="459"/>
        </w:trPr>
        <w:tc>
          <w:tcPr>
            <w:tcW w:w="314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20" w:type="dxa"/>
            <w:vAlign w:val="bottom"/>
          </w:tcPr>
          <w:p>
            <w:pPr>
              <w:ind w:left="1260"/>
              <w:spacing w:after="0"/>
              <w:rPr>
                <w:sz w:val="20"/>
                <w:szCs w:val="20"/>
                <w:color w:val="auto"/>
              </w:rPr>
            </w:pPr>
            <w:r>
              <w:rPr>
                <w:rFonts w:ascii="Arial" w:cs="Arial" w:eastAsia="Arial" w:hAnsi="Arial"/>
                <w:sz w:val="18"/>
                <w:szCs w:val="18"/>
                <w:color w:val="auto"/>
              </w:rPr>
              <w:t>2025 Notes—3.125% per year</w:t>
            </w:r>
          </w:p>
        </w:tc>
      </w:tr>
      <w:tr>
        <w:trPr>
          <w:trHeight w:val="446"/>
        </w:trPr>
        <w:tc>
          <w:tcPr>
            <w:tcW w:w="3140" w:type="dxa"/>
            <w:vAlign w:val="bottom"/>
          </w:tcPr>
          <w:p>
            <w:pPr>
              <w:spacing w:after="0"/>
              <w:rPr>
                <w:sz w:val="24"/>
                <w:szCs w:val="24"/>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rPr>
              <w:t>2035 Notes—3.900% per year</w:t>
            </w:r>
          </w:p>
        </w:tc>
      </w:tr>
      <w:tr>
        <w:trPr>
          <w:trHeight w:val="432"/>
        </w:trPr>
        <w:tc>
          <w:tcPr>
            <w:tcW w:w="3140" w:type="dxa"/>
            <w:vAlign w:val="bottom"/>
          </w:tcPr>
          <w:p>
            <w:pPr>
              <w:spacing w:after="0"/>
              <w:rPr>
                <w:sz w:val="24"/>
                <w:szCs w:val="24"/>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rPr>
              <w:t>2045 Notes—4.100% per year</w:t>
            </w:r>
          </w:p>
        </w:tc>
      </w:tr>
      <w:tr>
        <w:trPr>
          <w:trHeight w:val="459"/>
        </w:trPr>
        <w:tc>
          <w:tcPr>
            <w:tcW w:w="314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20" w:type="dxa"/>
            <w:vAlign w:val="bottom"/>
          </w:tcPr>
          <w:p>
            <w:pPr>
              <w:ind w:left="1260"/>
              <w:spacing w:after="0"/>
              <w:rPr>
                <w:sz w:val="20"/>
                <w:szCs w:val="20"/>
                <w:color w:val="auto"/>
              </w:rPr>
            </w:pPr>
            <w:r>
              <w:rPr>
                <w:rFonts w:ascii="Arial" w:cs="Arial" w:eastAsia="Arial" w:hAnsi="Arial"/>
                <w:sz w:val="18"/>
                <w:szCs w:val="18"/>
                <w:color w:val="auto"/>
              </w:rPr>
              <w:t>March 1 and September 1 of each year, beginning September 1, 2015.</w:t>
            </w:r>
          </w:p>
        </w:tc>
      </w:tr>
      <w:tr>
        <w:trPr>
          <w:trHeight w:val="458"/>
        </w:trPr>
        <w:tc>
          <w:tcPr>
            <w:tcW w:w="314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8320" w:type="dxa"/>
            <w:vAlign w:val="bottom"/>
          </w:tcPr>
          <w:p>
            <w:pPr>
              <w:ind w:left="1260"/>
              <w:spacing w:after="0"/>
              <w:rPr>
                <w:sz w:val="20"/>
                <w:szCs w:val="20"/>
                <w:color w:val="auto"/>
              </w:rPr>
            </w:pPr>
            <w:r>
              <w:rPr>
                <w:rFonts w:ascii="Arial" w:cs="Arial" w:eastAsia="Arial" w:hAnsi="Arial"/>
                <w:sz w:val="18"/>
                <w:szCs w:val="18"/>
                <w:color w:val="auto"/>
                <w:w w:val="97"/>
              </w:rPr>
              <w:t>We may elect to redeem and repay any or all of the notes at any time in minimum principal</w:t>
            </w:r>
          </w:p>
        </w:tc>
      </w:tr>
      <w:tr>
        <w:trPr>
          <w:trHeight w:val="216"/>
        </w:trPr>
        <w:tc>
          <w:tcPr>
            <w:tcW w:w="3140" w:type="dxa"/>
            <w:vAlign w:val="bottom"/>
          </w:tcPr>
          <w:p>
            <w:pPr>
              <w:spacing w:after="0"/>
              <w:rPr>
                <w:sz w:val="18"/>
                <w:szCs w:val="18"/>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w w:val="95"/>
              </w:rPr>
              <w:t>amounts of $2,000 or any integral multiple of $1,000 in excess thereof. If we elect to redeem</w:t>
            </w:r>
          </w:p>
        </w:tc>
      </w:tr>
      <w:tr>
        <w:trPr>
          <w:trHeight w:val="216"/>
        </w:trPr>
        <w:tc>
          <w:tcPr>
            <w:tcW w:w="3140" w:type="dxa"/>
            <w:vAlign w:val="bottom"/>
          </w:tcPr>
          <w:p>
            <w:pPr>
              <w:spacing w:after="0"/>
              <w:rPr>
                <w:sz w:val="18"/>
                <w:szCs w:val="18"/>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w w:val="93"/>
              </w:rPr>
              <w:t>and repay the 2025 notes before the date that is three months prior to the maturity date, we will</w:t>
            </w:r>
          </w:p>
        </w:tc>
      </w:tr>
      <w:tr>
        <w:trPr>
          <w:trHeight w:val="216"/>
        </w:trPr>
        <w:tc>
          <w:tcPr>
            <w:tcW w:w="3140" w:type="dxa"/>
            <w:vAlign w:val="bottom"/>
          </w:tcPr>
          <w:p>
            <w:pPr>
              <w:spacing w:after="0"/>
              <w:rPr>
                <w:sz w:val="18"/>
                <w:szCs w:val="18"/>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w w:val="92"/>
              </w:rPr>
              <w:t>pay an amount equal to the greater of 100% of the principal amount of the notes redeemed and</w:t>
            </w:r>
          </w:p>
        </w:tc>
      </w:tr>
      <w:tr>
        <w:trPr>
          <w:trHeight w:val="216"/>
        </w:trPr>
        <w:tc>
          <w:tcPr>
            <w:tcW w:w="3140" w:type="dxa"/>
            <w:vAlign w:val="bottom"/>
          </w:tcPr>
          <w:p>
            <w:pPr>
              <w:spacing w:after="0"/>
              <w:rPr>
                <w:sz w:val="18"/>
                <w:szCs w:val="18"/>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w w:val="94"/>
              </w:rPr>
              <w:t>repaid, or the sum of the present values of the remaining scheduled payments of principal and</w:t>
            </w:r>
          </w:p>
        </w:tc>
      </w:tr>
      <w:tr>
        <w:trPr>
          <w:trHeight w:val="216"/>
        </w:trPr>
        <w:tc>
          <w:tcPr>
            <w:tcW w:w="3140" w:type="dxa"/>
            <w:vAlign w:val="bottom"/>
          </w:tcPr>
          <w:p>
            <w:pPr>
              <w:spacing w:after="0"/>
              <w:rPr>
                <w:sz w:val="18"/>
                <w:szCs w:val="18"/>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w w:val="94"/>
              </w:rPr>
              <w:t>interest on the notes to be redeemed and repaid that would be due if the notes matured three</w:t>
            </w:r>
          </w:p>
        </w:tc>
      </w:tr>
      <w:tr>
        <w:trPr>
          <w:trHeight w:val="216"/>
        </w:trPr>
        <w:tc>
          <w:tcPr>
            <w:tcW w:w="3140" w:type="dxa"/>
            <w:vAlign w:val="bottom"/>
          </w:tcPr>
          <w:p>
            <w:pPr>
              <w:spacing w:after="0"/>
              <w:rPr>
                <w:sz w:val="18"/>
                <w:szCs w:val="18"/>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w w:val="96"/>
              </w:rPr>
              <w:t>months prior to the maturity date. If we elect to redeem and repay the 2025 notes on or after</w:t>
            </w:r>
          </w:p>
        </w:tc>
      </w:tr>
      <w:tr>
        <w:trPr>
          <w:trHeight w:val="216"/>
        </w:trPr>
        <w:tc>
          <w:tcPr>
            <w:tcW w:w="3140" w:type="dxa"/>
            <w:vAlign w:val="bottom"/>
          </w:tcPr>
          <w:p>
            <w:pPr>
              <w:spacing w:after="0"/>
              <w:rPr>
                <w:sz w:val="18"/>
                <w:szCs w:val="18"/>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w w:val="95"/>
              </w:rPr>
              <w:t>the date that is three months prior to the maturity date, we will pay an amount equal to 100%</w:t>
            </w:r>
          </w:p>
        </w:tc>
      </w:tr>
      <w:tr>
        <w:trPr>
          <w:trHeight w:val="230"/>
        </w:trPr>
        <w:tc>
          <w:tcPr>
            <w:tcW w:w="3140" w:type="dxa"/>
            <w:vAlign w:val="bottom"/>
          </w:tcPr>
          <w:p>
            <w:pPr>
              <w:spacing w:after="0"/>
              <w:rPr>
                <w:sz w:val="20"/>
                <w:szCs w:val="20"/>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rPr>
              <w:t>of the principal amount of the notes redeemed and repaid.</w:t>
            </w:r>
          </w:p>
        </w:tc>
      </w:tr>
      <w:tr>
        <w:trPr>
          <w:trHeight w:val="445"/>
        </w:trPr>
        <w:tc>
          <w:tcPr>
            <w:tcW w:w="3140" w:type="dxa"/>
            <w:vAlign w:val="bottom"/>
          </w:tcPr>
          <w:p>
            <w:pPr>
              <w:spacing w:after="0"/>
              <w:rPr>
                <w:sz w:val="24"/>
                <w:szCs w:val="24"/>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w w:val="96"/>
              </w:rPr>
              <w:t>If we elect to redeem and repay the 2035 notes or the 2045 notes before the date that is six</w:t>
            </w:r>
          </w:p>
        </w:tc>
      </w:tr>
      <w:tr>
        <w:trPr>
          <w:trHeight w:val="230"/>
        </w:trPr>
        <w:tc>
          <w:tcPr>
            <w:tcW w:w="3140" w:type="dxa"/>
            <w:vAlign w:val="bottom"/>
          </w:tcPr>
          <w:p>
            <w:pPr>
              <w:spacing w:after="0"/>
              <w:rPr>
                <w:sz w:val="20"/>
                <w:szCs w:val="20"/>
                <w:color w:val="auto"/>
              </w:rPr>
            </w:pPr>
          </w:p>
        </w:tc>
        <w:tc>
          <w:tcPr>
            <w:tcW w:w="8320" w:type="dxa"/>
            <w:vAlign w:val="bottom"/>
          </w:tcPr>
          <w:p>
            <w:pPr>
              <w:ind w:left="1260"/>
              <w:spacing w:after="0"/>
              <w:rPr>
                <w:sz w:val="20"/>
                <w:szCs w:val="20"/>
                <w:color w:val="auto"/>
              </w:rPr>
            </w:pPr>
            <w:r>
              <w:rPr>
                <w:rFonts w:ascii="Arial" w:cs="Arial" w:eastAsia="Arial" w:hAnsi="Arial"/>
                <w:sz w:val="18"/>
                <w:szCs w:val="18"/>
                <w:color w:val="auto"/>
              </w:rPr>
              <w:t>months prior to the applicable maturity date, we will</w:t>
            </w:r>
          </w:p>
        </w:tc>
      </w:tr>
      <w:tr>
        <w:trPr>
          <w:trHeight w:val="159"/>
        </w:trPr>
        <w:tc>
          <w:tcPr>
            <w:tcW w:w="3140" w:type="dxa"/>
            <w:vAlign w:val="bottom"/>
            <w:tcBorders>
              <w:bottom w:val="single" w:sz="8" w:color="auto"/>
            </w:tcBorders>
          </w:tcPr>
          <w:p>
            <w:pPr>
              <w:spacing w:after="0"/>
              <w:rPr>
                <w:sz w:val="13"/>
                <w:szCs w:val="13"/>
                <w:color w:val="auto"/>
              </w:rPr>
            </w:pPr>
          </w:p>
        </w:tc>
        <w:tc>
          <w:tcPr>
            <w:tcW w:w="8320" w:type="dxa"/>
            <w:vAlign w:val="bottom"/>
            <w:tcBorders>
              <w:bottom w:val="single" w:sz="8" w:color="auto"/>
            </w:tcBorders>
          </w:tcPr>
          <w:p>
            <w:pPr>
              <w:spacing w:after="0"/>
              <w:rPr>
                <w:sz w:val="13"/>
                <w:szCs w:val="13"/>
                <w:color w:val="auto"/>
              </w:rPr>
            </w:pPr>
          </w:p>
        </w:tc>
      </w:tr>
      <w:tr>
        <w:trPr>
          <w:trHeight w:val="361"/>
        </w:trPr>
        <w:tc>
          <w:tcPr>
            <w:tcW w:w="3140" w:type="dxa"/>
            <w:vAlign w:val="bottom"/>
          </w:tcPr>
          <w:p>
            <w:pPr>
              <w:spacing w:after="0"/>
              <w:rPr>
                <w:sz w:val="24"/>
                <w:szCs w:val="24"/>
                <w:color w:val="auto"/>
              </w:rPr>
            </w:pPr>
          </w:p>
        </w:tc>
        <w:tc>
          <w:tcPr>
            <w:tcW w:w="8320" w:type="dxa"/>
            <w:vAlign w:val="bottom"/>
          </w:tcPr>
          <w:p>
            <w:pPr>
              <w:ind w:left="24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180" w:type="dxa"/>
            <w:vAlign w:val="bottom"/>
            <w:tcBorders>
              <w:top w:val="single" w:sz="8" w:color="auto"/>
              <w:left w:val="single" w:sz="8" w:color="auto"/>
            </w:tcBorders>
          </w:tcPr>
          <w:p>
            <w:pPr>
              <w:spacing w:after="0"/>
              <w:rPr>
                <w:sz w:val="24"/>
                <w:szCs w:val="24"/>
                <w:color w:val="auto"/>
              </w:rPr>
            </w:pPr>
          </w:p>
        </w:tc>
        <w:tc>
          <w:tcPr>
            <w:tcW w:w="828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92"/>
              </w:rPr>
              <w:t>pay an amount equal to the greater of 100% of the principal amount of the notes redeemed and</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3"/>
              </w:rPr>
              <w:t>repaid, or the sum of the present values of the remaining scheduled payments of principal and</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7"/>
              </w:rPr>
              <w:t>interest on the notes to be redeemed and repaid that would be due if the notes matured six</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3"/>
              </w:rPr>
              <w:t>months prior to the applicable maturity date. If we elect to redeem and repay the 2035 notes or</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4"/>
              </w:rPr>
              <w:t>the 2045 notes on or after the date that is six months prior to the applicable maturity date, we</w:t>
            </w:r>
          </w:p>
        </w:tc>
      </w:tr>
      <w:tr>
        <w:trPr>
          <w:trHeight w:val="230"/>
        </w:trPr>
        <w:tc>
          <w:tcPr>
            <w:tcW w:w="318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5"/>
              </w:rPr>
              <w:t>will pay an amount equal to 100% of the principal amount of the notes redeemed and repaid.</w:t>
            </w:r>
          </w:p>
        </w:tc>
      </w:tr>
      <w:tr>
        <w:trPr>
          <w:trHeight w:val="323"/>
        </w:trPr>
        <w:tc>
          <w:tcPr>
            <w:tcW w:w="3180" w:type="dxa"/>
            <w:vAlign w:val="bottom"/>
            <w:tcBorders>
              <w:left w:val="single" w:sz="8" w:color="auto"/>
            </w:tcBorders>
          </w:tcPr>
          <w:p>
            <w:pPr>
              <w:spacing w:after="0"/>
              <w:rPr>
                <w:sz w:val="24"/>
                <w:szCs w:val="24"/>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4"/>
              </w:rPr>
              <w:t>We will pay accrued interest on the notes redeemed to the redemption date. See “Description</w:t>
            </w:r>
          </w:p>
        </w:tc>
      </w:tr>
      <w:tr>
        <w:trPr>
          <w:trHeight w:val="230"/>
        </w:trPr>
        <w:tc>
          <w:tcPr>
            <w:tcW w:w="318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of Notes—Optional redemption” in this prospectus supplement.</w:t>
            </w:r>
          </w:p>
        </w:tc>
      </w:tr>
      <w:tr>
        <w:trPr>
          <w:trHeight w:val="445"/>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4"/>
              </w:rPr>
              <w:t>If a change of control triggering event occurs, holders of the notes of each series may require</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5"/>
              </w:rPr>
              <w:t>us to purchase all or a portion of such holders’ notes at a price equal to 101% of the principal</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7"/>
              </w:rPr>
              <w:t>amount, plus accrued interest, if any, to the date of purchase. See “Description of Notes—</w:t>
            </w:r>
          </w:p>
        </w:tc>
      </w:tr>
      <w:tr>
        <w:trPr>
          <w:trHeight w:val="230"/>
        </w:trPr>
        <w:tc>
          <w:tcPr>
            <w:tcW w:w="318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Change of control offer” in this prospectus supplement.</w:t>
            </w:r>
          </w:p>
        </w:tc>
      </w:tr>
      <w:tr>
        <w:trPr>
          <w:trHeight w:val="445"/>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2"/>
              </w:rPr>
              <w:t>The notes and the guarantees will constitute the senior unsecured debt of Waste Management,</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5"/>
              </w:rPr>
              <w:t>Inc. and WM Holdings, respectively, and will rank equally with all of our and its other existing</w:t>
            </w:r>
          </w:p>
        </w:tc>
      </w:tr>
      <w:tr>
        <w:trPr>
          <w:trHeight w:val="230"/>
        </w:trPr>
        <w:tc>
          <w:tcPr>
            <w:tcW w:w="318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and future senior indebtedness from time to time outstanding.</w:t>
            </w:r>
          </w:p>
        </w:tc>
      </w:tr>
      <w:tr>
        <w:trPr>
          <w:trHeight w:val="445"/>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Covenants</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We will issue the notes under an indenture containing covenants for your benefit. These</w:t>
            </w:r>
          </w:p>
        </w:tc>
      </w:tr>
      <w:tr>
        <w:trPr>
          <w:trHeight w:val="230"/>
        </w:trPr>
        <w:tc>
          <w:tcPr>
            <w:tcW w:w="318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covenants restrict our ability, with certain exceptions, to:</w:t>
            </w:r>
          </w:p>
        </w:tc>
      </w:tr>
      <w:tr>
        <w:trPr>
          <w:trHeight w:val="338"/>
        </w:trPr>
        <w:tc>
          <w:tcPr>
            <w:tcW w:w="3180" w:type="dxa"/>
            <w:vAlign w:val="bottom"/>
            <w:tcBorders>
              <w:left w:val="single" w:sz="8" w:color="auto"/>
            </w:tcBorders>
          </w:tcPr>
          <w:p>
            <w:pPr>
              <w:spacing w:after="0"/>
              <w:rPr>
                <w:sz w:val="24"/>
                <w:szCs w:val="24"/>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  create, incur or assume debt secured by liens;</w:t>
            </w:r>
          </w:p>
        </w:tc>
      </w:tr>
      <w:tr>
        <w:trPr>
          <w:trHeight w:val="338"/>
        </w:trPr>
        <w:tc>
          <w:tcPr>
            <w:tcW w:w="3180" w:type="dxa"/>
            <w:vAlign w:val="bottom"/>
            <w:tcBorders>
              <w:left w:val="single" w:sz="8" w:color="auto"/>
            </w:tcBorders>
          </w:tcPr>
          <w:p>
            <w:pPr>
              <w:spacing w:after="0"/>
              <w:rPr>
                <w:sz w:val="24"/>
                <w:szCs w:val="24"/>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  engage in sale and leaseback transactions; and</w:t>
            </w:r>
          </w:p>
        </w:tc>
      </w:tr>
      <w:tr>
        <w:trPr>
          <w:trHeight w:val="338"/>
        </w:trPr>
        <w:tc>
          <w:tcPr>
            <w:tcW w:w="3180" w:type="dxa"/>
            <w:vAlign w:val="bottom"/>
            <w:tcBorders>
              <w:left w:val="single" w:sz="8" w:color="auto"/>
            </w:tcBorders>
          </w:tcPr>
          <w:p>
            <w:pPr>
              <w:spacing w:after="0"/>
              <w:rPr>
                <w:sz w:val="24"/>
                <w:szCs w:val="24"/>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  merge, consolidate or transfer all or substantially all of our assets</w:t>
            </w:r>
          </w:p>
        </w:tc>
      </w:tr>
      <w:tr>
        <w:trPr>
          <w:trHeight w:val="445"/>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5"/>
              </w:rPr>
              <w:t>We expect the net proceeds from the offering of the notes to be $1.78 billion, after deducting</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3"/>
              </w:rPr>
              <w:t>the underwriting discount and estimated expenses of the offering that we will pay. We intend to</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2"/>
              </w:rPr>
              <w:t>use the proceeds from the offering of the 2025 notes for general corporate purposes. We intend</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4"/>
              </w:rPr>
              <w:t>to use the proceeds from the offering of the 2035 notes and the 2045 notes to pay a portion of</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4"/>
              </w:rPr>
              <w:t>the purchase price and accrued interest in the Tender Offer, and any remaining proceeds will</w:t>
            </w:r>
          </w:p>
        </w:tc>
      </w:tr>
      <w:tr>
        <w:trPr>
          <w:trHeight w:val="230"/>
        </w:trPr>
        <w:tc>
          <w:tcPr>
            <w:tcW w:w="318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2"/>
              </w:rPr>
              <w:t>be used for general corporate purposes. See “Use of Proceeds” in this prospectus supplement.</w:t>
            </w:r>
          </w:p>
        </w:tc>
      </w:tr>
      <w:tr>
        <w:trPr>
          <w:trHeight w:val="459"/>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The Bank of New York Mellon Trust Company, N.A.</w:t>
            </w:r>
          </w:p>
        </w:tc>
      </w:tr>
      <w:tr>
        <w:trPr>
          <w:trHeight w:val="458"/>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Issues</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5"/>
              </w:rPr>
              <w:t>We may create and issue additional notes of each series ranking equally and ratably with the</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notes of such series offered by this prospectus supplement in all respects, so that such</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8"/>
              </w:rPr>
              <w:t>additional notes will be consolidated and form a single series with the notes of such series</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1"/>
              </w:rPr>
              <w:t>offered by this prospectus supplement and will have the same terms, as to status, redemption or</w:t>
            </w:r>
          </w:p>
        </w:tc>
      </w:tr>
      <w:tr>
        <w:trPr>
          <w:trHeight w:val="216"/>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8"/>
              </w:rPr>
              <w:t>otherwise except for the issue date, the initial interest payment date, if applicable, and the</w:t>
            </w:r>
          </w:p>
        </w:tc>
      </w:tr>
      <w:tr>
        <w:trPr>
          <w:trHeight w:val="230"/>
        </w:trPr>
        <w:tc>
          <w:tcPr>
            <w:tcW w:w="318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payment of interest accruing prior to the issue date of such additional notes.</w:t>
            </w:r>
          </w:p>
        </w:tc>
      </w:tr>
      <w:tr>
        <w:trPr>
          <w:trHeight w:val="159"/>
        </w:trPr>
        <w:tc>
          <w:tcPr>
            <w:tcW w:w="3180" w:type="dxa"/>
            <w:vAlign w:val="bottom"/>
            <w:tcBorders>
              <w:left w:val="single" w:sz="8" w:color="auto"/>
              <w:bottom w:val="single" w:sz="8" w:color="auto"/>
            </w:tcBorders>
          </w:tcPr>
          <w:p>
            <w:pPr>
              <w:spacing w:after="0"/>
              <w:rPr>
                <w:sz w:val="13"/>
                <w:szCs w:val="13"/>
                <w:color w:val="auto"/>
              </w:rPr>
            </w:pPr>
          </w:p>
        </w:tc>
        <w:tc>
          <w:tcPr>
            <w:tcW w:w="8280" w:type="dxa"/>
            <w:vAlign w:val="bottom"/>
            <w:tcBorders>
              <w:bottom w:val="single" w:sz="8" w:color="auto"/>
              <w:right w:val="single" w:sz="8" w:color="auto"/>
            </w:tcBorders>
          </w:tcPr>
          <w:p>
            <w:pPr>
              <w:spacing w:after="0"/>
              <w:rPr>
                <w:sz w:val="13"/>
                <w:szCs w:val="13"/>
                <w:color w:val="auto"/>
              </w:rPr>
            </w:pPr>
          </w:p>
        </w:tc>
      </w:tr>
      <w:tr>
        <w:trPr>
          <w:trHeight w:val="361"/>
        </w:trPr>
        <w:tc>
          <w:tcPr>
            <w:tcW w:w="3180" w:type="dxa"/>
            <w:vAlign w:val="bottom"/>
          </w:tcPr>
          <w:p>
            <w:pPr>
              <w:spacing w:after="0"/>
              <w:rPr>
                <w:sz w:val="24"/>
                <w:szCs w:val="24"/>
                <w:color w:val="auto"/>
              </w:rPr>
            </w:pPr>
          </w:p>
        </w:tc>
        <w:tc>
          <w:tcPr>
            <w:tcW w:w="8280" w:type="dxa"/>
            <w:vAlign w:val="bottom"/>
          </w:tcPr>
          <w:p>
            <w:pPr>
              <w:ind w:left="240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58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058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200" w:right="240" w:firstLine="443"/>
        <w:spacing w:after="0" w:line="257" w:lineRule="auto"/>
        <w:rPr>
          <w:sz w:val="20"/>
          <w:szCs w:val="20"/>
          <w:color w:val="auto"/>
        </w:rPr>
      </w:pPr>
      <w:r>
        <w:rPr>
          <w:rFonts w:ascii="Arial" w:cs="Arial" w:eastAsia="Arial" w:hAnsi="Arial"/>
          <w:sz w:val="18"/>
          <w:szCs w:val="18"/>
          <w:color w:val="auto"/>
        </w:rPr>
        <w:t>For purposes of computing these ratios, we have divided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The following table sets forth our ratio of earnings to fixed charges for each of the periods indicated (dollars in millions):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9"/>
          </w:tcPr>
          <w:p>
            <w:pPr>
              <w:jc w:val="center"/>
              <w:ind w:right="54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tcPr>
          <w:p>
            <w:pPr>
              <w:jc w:val="center"/>
              <w:ind w:right="180"/>
              <w:spacing w:after="0" w:line="128"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Income before income taxes and losses in equity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1,805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1,350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1,557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1,656</w:t>
            </w:r>
          </w:p>
        </w:tc>
        <w:tc>
          <w:tcPr>
            <w:tcW w:w="0" w:type="dxa"/>
            <w:vAlign w:val="bottom"/>
          </w:tcPr>
          <w:p>
            <w:pPr>
              <w:spacing w:after="0"/>
              <w:rPr>
                <w:sz w:val="1"/>
                <w:szCs w:val="1"/>
                <w:color w:val="auto"/>
              </w:rPr>
            </w:pPr>
          </w:p>
        </w:tc>
      </w:tr>
      <w:tr>
        <w:trPr>
          <w:trHeight w:val="209"/>
        </w:trPr>
        <w:tc>
          <w:tcPr>
            <w:tcW w:w="680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0"/>
        </w:trPr>
        <w:tc>
          <w:tcPr>
            <w:tcW w:w="6800" w:type="dxa"/>
            <w:vAlign w:val="bottom"/>
            <w:gridSpan w:val="2"/>
          </w:tcPr>
          <w:p>
            <w:pPr>
              <w:ind w:left="360"/>
              <w:spacing w:after="0"/>
              <w:rPr>
                <w:sz w:val="20"/>
                <w:szCs w:val="20"/>
                <w:color w:val="auto"/>
              </w:rPr>
            </w:pPr>
            <w:r>
              <w:rPr>
                <w:rFonts w:ascii="Arial" w:cs="Arial" w:eastAsia="Arial" w:hAnsi="Arial"/>
                <w:sz w:val="18"/>
                <w:szCs w:val="18"/>
                <w:color w:val="auto"/>
              </w:rPr>
              <w:t>Implicit interest in rents</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ind w:left="720"/>
              <w:spacing w:after="0"/>
              <w:rPr>
                <w:sz w:val="20"/>
                <w:szCs w:val="20"/>
                <w:color w:val="auto"/>
              </w:rPr>
            </w:pPr>
            <w:r>
              <w:rPr>
                <w:rFonts w:ascii="Arial" w:cs="Arial" w:eastAsia="Arial" w:hAnsi="Arial"/>
                <w:sz w:val="18"/>
                <w:szCs w:val="18"/>
                <w:color w:val="auto"/>
              </w:rPr>
              <w:t>Earnings available for fixed charges(a)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2,329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1,897</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2,083</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gridSpan w:val="2"/>
            <w:vMerge w:val="continue"/>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471</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488</w:t>
            </w:r>
          </w:p>
        </w:tc>
        <w:tc>
          <w:tcPr>
            <w:tcW w:w="400" w:type="dxa"/>
            <w:vAlign w:val="bottom"/>
          </w:tcPr>
          <w:p>
            <w:pPr>
              <w:spacing w:after="0"/>
              <w:rPr>
                <w:sz w:val="17"/>
                <w:szCs w:val="17"/>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481</w:t>
            </w:r>
          </w:p>
        </w:tc>
        <w:tc>
          <w:tcPr>
            <w:tcW w:w="400" w:type="dxa"/>
            <w:vAlign w:val="bottom"/>
          </w:tcPr>
          <w:p>
            <w:pPr>
              <w:spacing w:after="0"/>
              <w:rPr>
                <w:sz w:val="17"/>
                <w:szCs w:val="17"/>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Implicit interest in rents</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800" w:type="dxa"/>
            <w:vAlign w:val="bottom"/>
            <w:gridSpan w:val="2"/>
          </w:tcPr>
          <w:p>
            <w:pPr>
              <w:ind w:left="720"/>
              <w:spacing w:after="0"/>
              <w:rPr>
                <w:sz w:val="20"/>
                <w:szCs w:val="20"/>
                <w:color w:val="auto"/>
              </w:rPr>
            </w:pPr>
            <w:r>
              <w:rPr>
                <w:rFonts w:ascii="Arial" w:cs="Arial" w:eastAsia="Arial" w:hAnsi="Arial"/>
                <w:sz w:val="18"/>
                <w:szCs w:val="18"/>
                <w:color w:val="auto"/>
              </w:rPr>
              <w:t>Total fixed charges(a)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rPr>
              <w:t>Ratio of earnings to fixed charges</w:t>
            </w: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4.3x</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1.9x</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3.3x</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3.8x</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rPr>
              <w:t>Adjusted ratio of earnings to fixed charges(b)</w:t>
            </w: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4.2x</w:t>
            </w:r>
          </w:p>
        </w:tc>
        <w:tc>
          <w:tcPr>
            <w:tcW w:w="40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3.7x</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3.6x</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3.9x</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8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80" w:hanging="423"/>
        <w:spacing w:after="0" w:line="254"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2" w:lineRule="exact"/>
        <w:rPr>
          <w:rFonts w:ascii="Arial" w:cs="Arial" w:eastAsia="Arial" w:hAnsi="Arial"/>
          <w:sz w:val="18"/>
          <w:szCs w:val="18"/>
          <w:color w:val="auto"/>
        </w:rPr>
      </w:pPr>
    </w:p>
    <w:p>
      <w:pPr>
        <w:ind w:left="620" w:right="420" w:hanging="423"/>
        <w:spacing w:after="0" w:line="255"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adjusted ratio of earnings to fixed charges (“Adjusted Ratio”) excludes the impact of restructuring charges, impairments and divestitures. A reconciliation showing the effect of these items on our “Income before income taxes and losses in equity investments” used to calculate our earnings available for fixed charges is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92"/>
              </w:rPr>
              <w:t>Years Ended December 31,</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80" w:type="dxa"/>
            <w:vAlign w:val="bottom"/>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center"/>
              <w:ind w:left="116"/>
              <w:spacing w:after="0" w:line="142"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3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As reported Income before income taxes and losses in equity investments</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center"/>
              <w:ind w:right="140"/>
              <w:spacing w:after="0" w:line="128" w:lineRule="exact"/>
              <w:rPr>
                <w:sz w:val="20"/>
                <w:szCs w:val="20"/>
                <w:color w:val="auto"/>
              </w:rPr>
            </w:pPr>
            <w:r>
              <w:rPr>
                <w:rFonts w:ascii="Arial" w:cs="Arial" w:eastAsia="Arial" w:hAnsi="Arial"/>
                <w:sz w:val="14"/>
                <w:szCs w:val="14"/>
                <w:b w:val="1"/>
                <w:bCs w:val="1"/>
                <w:color w:val="auto"/>
                <w:w w:val="95"/>
              </w:rPr>
              <w:t>(Unaudited)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380" w:type="dxa"/>
            <w:vAlign w:val="bottom"/>
            <w:vMerge w:val="continue"/>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1,805</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535</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1,350</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1,557</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1,656</w:t>
            </w:r>
          </w:p>
        </w:tc>
        <w:tc>
          <w:tcPr>
            <w:tcW w:w="0" w:type="dxa"/>
            <w:vAlign w:val="bottom"/>
          </w:tcPr>
          <w:p>
            <w:pPr>
              <w:spacing w:after="0"/>
              <w:rPr>
                <w:sz w:val="1"/>
                <w:szCs w:val="1"/>
                <w:color w:val="auto"/>
              </w:rPr>
            </w:pPr>
          </w:p>
        </w:tc>
      </w:tr>
      <w:tr>
        <w:trPr>
          <w:trHeight w:val="209"/>
        </w:trPr>
        <w:tc>
          <w:tcPr>
            <w:tcW w:w="7380" w:type="dxa"/>
            <w:vAlign w:val="bottom"/>
          </w:tcPr>
          <w:p>
            <w:pPr>
              <w:ind w:left="200"/>
              <w:spacing w:after="0"/>
              <w:rPr>
                <w:sz w:val="20"/>
                <w:szCs w:val="20"/>
                <w:color w:val="auto"/>
              </w:rPr>
            </w:pPr>
            <w:r>
              <w:rPr>
                <w:rFonts w:ascii="Arial" w:cs="Arial" w:eastAsia="Arial" w:hAnsi="Arial"/>
                <w:sz w:val="18"/>
                <w:szCs w:val="18"/>
                <w:color w:val="auto"/>
              </w:rPr>
              <w:t>Adjustments to Income before income taxes and losses in equity investments:</w:t>
            </w: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560"/>
              <w:spacing w:after="0"/>
              <w:rPr>
                <w:sz w:val="20"/>
                <w:szCs w:val="20"/>
                <w:color w:val="auto"/>
              </w:rPr>
            </w:pPr>
            <w:r>
              <w:rPr>
                <w:rFonts w:ascii="Arial" w:cs="Arial" w:eastAsia="Arial" w:hAnsi="Arial"/>
                <w:sz w:val="18"/>
                <w:szCs w:val="18"/>
                <w:color w:val="auto"/>
              </w:rPr>
              <w:t>Restructuring costs</w:t>
            </w: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67</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380" w:type="dxa"/>
            <w:vAlign w:val="bottom"/>
          </w:tcPr>
          <w:p>
            <w:pPr>
              <w:ind w:left="560"/>
              <w:spacing w:after="0"/>
              <w:rPr>
                <w:sz w:val="20"/>
                <w:szCs w:val="20"/>
                <w:color w:val="auto"/>
              </w:rPr>
            </w:pPr>
            <w:r>
              <w:rPr>
                <w:rFonts w:ascii="Arial" w:cs="Arial" w:eastAsia="Arial" w:hAnsi="Arial"/>
                <w:sz w:val="18"/>
                <w:szCs w:val="18"/>
                <w:color w:val="auto"/>
              </w:rPr>
              <w:t>Goodwill impairments</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509</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560"/>
              <w:spacing w:after="0"/>
              <w:rPr>
                <w:sz w:val="20"/>
                <w:szCs w:val="20"/>
                <w:color w:val="auto"/>
              </w:rPr>
            </w:pPr>
            <w:r>
              <w:rPr>
                <w:rFonts w:ascii="Arial" w:cs="Arial" w:eastAsia="Arial" w:hAnsi="Arial"/>
                <w:sz w:val="18"/>
                <w:szCs w:val="18"/>
                <w:color w:val="auto"/>
              </w:rPr>
              <w:t>Asset impairments (other than goodwill)</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79</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ind w:left="560"/>
              <w:spacing w:after="0"/>
              <w:rPr>
                <w:sz w:val="20"/>
                <w:szCs w:val="20"/>
                <w:color w:val="auto"/>
              </w:rPr>
            </w:pPr>
            <w:r>
              <w:rPr>
                <w:rFonts w:ascii="Arial" w:cs="Arial" w:eastAsia="Arial" w:hAnsi="Arial"/>
                <w:sz w:val="18"/>
                <w:szCs w:val="18"/>
                <w:color w:val="auto"/>
              </w:rPr>
              <w:t>(Income) expense from divestitures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380" w:type="dxa"/>
            <w:vAlign w:val="bottom"/>
          </w:tcPr>
          <w:p>
            <w:pPr>
              <w:ind w:left="200"/>
              <w:spacing w:after="0"/>
              <w:rPr>
                <w:sz w:val="20"/>
                <w:szCs w:val="20"/>
                <w:color w:val="auto"/>
              </w:rPr>
            </w:pPr>
            <w:r>
              <w:rPr>
                <w:rFonts w:ascii="Arial" w:cs="Arial" w:eastAsia="Arial" w:hAnsi="Arial"/>
                <w:sz w:val="18"/>
                <w:szCs w:val="18"/>
                <w:b w:val="1"/>
                <w:bCs w:val="1"/>
                <w:color w:val="auto"/>
              </w:rPr>
              <w:t>Adjusted income before income taxes and losses in equity investments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1,727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1,526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1,500</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1,586</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1,653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7380" w:type="dxa"/>
            <w:vAlign w:val="bottom"/>
          </w:tcPr>
          <w:p>
            <w:pPr>
              <w:ind w:left="5580"/>
              <w:spacing w:after="0"/>
              <w:rPr>
                <w:sz w:val="20"/>
                <w:szCs w:val="20"/>
                <w:color w:val="auto"/>
              </w:rPr>
            </w:pPr>
            <w:r>
              <w:rPr>
                <w:rFonts w:ascii="Arial" w:cs="Arial" w:eastAsia="Arial" w:hAnsi="Arial"/>
                <w:sz w:val="18"/>
                <w:szCs w:val="18"/>
                <w:color w:val="auto"/>
              </w:rPr>
              <w:t>S-5</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22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922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line="257" w:lineRule="auto"/>
        <w:rPr>
          <w:sz w:val="20"/>
          <w:szCs w:val="20"/>
          <w:color w:val="auto"/>
        </w:rPr>
      </w:pPr>
      <w:r>
        <w:rPr>
          <w:rFonts w:ascii="Arial" w:cs="Arial" w:eastAsia="Arial" w:hAnsi="Arial"/>
          <w:sz w:val="18"/>
          <w:szCs w:val="18"/>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You should carefully consider the risk factors identified in Part 1, Item 1A, “Risk Factors,” of our Annual Report on Form 10-K for the year ended December 31, 2014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decision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substantial indebtedness could impair our financial condition and our ability to fulfill our debt obligations, including our obligations under the notes.</w:t>
      </w:r>
    </w:p>
    <w:p>
      <w:pPr>
        <w:spacing w:after="0" w:line="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substantial indebtedness. At December 31, 2014, our ratio of total debt to total capitalization was 61.6% and we had $9.4 billion of long-term debt. In addition, as of December 31, 2014, we had approximately $1.2 billion of letters of credit outstanding under our $2.25 billion revolving credit facility and letter of credit facilities. Our indebtedness makes us vulnerable to changes in interest rates, with the effective interest rates of approximately $1.4 billion of our outstanding debt obligations subject to change during 2015. Our level of indebtedness and the covenants contained in the agreements governing our debt could have important consequences, including:</w:t>
      </w:r>
    </w:p>
    <w:p>
      <w:pPr>
        <w:spacing w:after="0" w:line="94" w:lineRule="exact"/>
        <w:rPr>
          <w:sz w:val="20"/>
          <w:szCs w:val="20"/>
          <w:color w:val="auto"/>
        </w:rPr>
      </w:pPr>
    </w:p>
    <w:p>
      <w:pPr>
        <w:ind w:left="660" w:right="16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75"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are not prohibited under the indenture governing the notes from incurring additional indebtedness. Although our $2.25 billion revolving credit facility requires us to comply with specified ratios of Total Debt to EBITDA and EBIT to Consolidated Total Interest Expense (each as defined in our revolving credit facility), as of December 31, 2014 and after giving effect to the offering of the notes and the use of proceeds contemplated hereby, we have the ability to incur additional indebtedness while remaining in compliance with these ratios. Our incurrence of additional indebtedness would exacerbate the negative consequences mentioned above, and could adversely affect our ability to service and repay the notes.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holding company and we depend upon cash distributions from our subsidiaries to service our debt.</w:t>
      </w:r>
    </w:p>
    <w:p>
      <w:pPr>
        <w:spacing w:after="0" w:line="12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effectively subordinated to certain of our subsidiaries’ debt and our secured debt.</w:t>
      </w:r>
    </w:p>
    <w:p>
      <w:pPr>
        <w:spacing w:after="0" w:line="12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December 31, 2014 was $104 million. As of December 31, 2014, our operating subsidiaries had $3.1 billion of indebtedness and WM Holdings had $449 million of indebtedness (excluding guarantees of $5.8 billion of our senior debt), in each case excluding intercompany loans. For a description of the ranking of the notes, see “Description of Notes—Ranking” in this prospectus supplement.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Fraudulent transfer statutes may limit your rights under the guarantee of the notes.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27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may not have sufficient funds to purchase the notes upon a change of control triggering event, and this covenant provides limited protection to investors.</w:t>
      </w:r>
    </w:p>
    <w:p>
      <w:pPr>
        <w:spacing w:after="0" w:line="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not be able to sell the notes.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notes of each series will be a new issue of securities. There is no existing active trading market for the notes of any series, and a market may never develop. We do not currently intend to apply for listing of any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are:</w:t>
      </w:r>
    </w:p>
    <w:p>
      <w:pPr>
        <w:spacing w:after="0" w:line="92"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the net proceeds from the offering of the notes to be $1.78 billion, after deducting the underwriting discount and estimated expenses of the offering that we will pay. We intend to use the proceeds from the offering of the 2025 notes for general corporate purposes. We intend to use the proceeds from the offering of the 2035 notes and the 2045 notes to pay a portion of the purchase price and accrued interest in the Tender Offer, and any remaining proceeds will be used for general corporate purposes.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December 31, 2014 on an actual basis and as adjusted to give effect to the offering of the notes and the January 2015 redemption of senior notes. The following table does not give effect to the Tender Offer. See “Summary—Recent Developments.”</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42"/>
        </w:trPr>
        <w:tc>
          <w:tcPr>
            <w:tcW w:w="9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88"/>
              </w:rPr>
              <w:t>Actual</w:t>
            </w: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As Adjusted(a)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26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Pr>
          <w:p>
            <w:pPr>
              <w:spacing w:after="0"/>
              <w:rPr>
                <w:sz w:val="11"/>
                <w:szCs w:val="11"/>
                <w:color w:val="auto"/>
              </w:rPr>
            </w:pPr>
          </w:p>
        </w:tc>
        <w:tc>
          <w:tcPr>
            <w:tcW w:w="1960" w:type="dxa"/>
            <w:vAlign w:val="bottom"/>
            <w:gridSpan w:val="5"/>
          </w:tcPr>
          <w:p>
            <w:pPr>
              <w:jc w:val="right"/>
              <w:ind w:right="330"/>
              <w:spacing w:after="0" w:line="128" w:lineRule="exact"/>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926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9"/>
        </w:trPr>
        <w:tc>
          <w:tcPr>
            <w:tcW w:w="926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Revolving credit facility(b)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Letter of credit facilities(b)</w:t>
            </w:r>
          </w:p>
        </w:tc>
        <w:tc>
          <w:tcPr>
            <w:tcW w:w="100" w:type="dxa"/>
            <w:vAlign w:val="bottom"/>
          </w:tcPr>
          <w:p>
            <w:pPr>
              <w:spacing w:after="0"/>
              <w:rPr>
                <w:sz w:val="18"/>
                <w:szCs w:val="18"/>
                <w:color w:val="auto"/>
              </w:rPr>
            </w:pPr>
          </w:p>
        </w:tc>
        <w:tc>
          <w:tcPr>
            <w:tcW w:w="10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Canadian credit facility and term loan (weighted average interest rate of 2.6% at December 31, 2014)(c)</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w w:val="97"/>
              </w:rPr>
              <w:t>Senior notes maturing through 2039, interest rates ranging from 2.60% to 7.75% (weighted average interest rate of</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540"/>
              <w:spacing w:after="0"/>
              <w:rPr>
                <w:sz w:val="20"/>
                <w:szCs w:val="20"/>
                <w:color w:val="auto"/>
              </w:rPr>
            </w:pPr>
            <w:r>
              <w:rPr>
                <w:rFonts w:ascii="Arial" w:cs="Arial" w:eastAsia="Arial" w:hAnsi="Arial"/>
                <w:sz w:val="18"/>
                <w:szCs w:val="18"/>
                <w:color w:val="auto"/>
              </w:rPr>
              <w:t>5.7% at December 31, 2014)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6,273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16"/>
        </w:trPr>
        <w:tc>
          <w:tcPr>
            <w:tcW w:w="9260" w:type="dxa"/>
            <w:vAlign w:val="bottom"/>
          </w:tcPr>
          <w:p>
            <w:pPr>
              <w:ind w:left="540"/>
              <w:spacing w:after="0"/>
              <w:rPr>
                <w:sz w:val="20"/>
                <w:szCs w:val="20"/>
                <w:color w:val="auto"/>
              </w:rPr>
            </w:pPr>
            <w:r>
              <w:rPr>
                <w:rFonts w:ascii="Arial" w:cs="Arial" w:eastAsia="Arial" w:hAnsi="Arial"/>
                <w:sz w:val="18"/>
                <w:szCs w:val="18"/>
                <w:color w:val="auto"/>
              </w:rPr>
              <w:t>3.125% Senior Notes due 2025 offered hereby (including unamortized discount)</w:t>
            </w:r>
          </w:p>
        </w:tc>
        <w:tc>
          <w:tcPr>
            <w:tcW w:w="100" w:type="dxa"/>
            <w:vAlign w:val="bottom"/>
          </w:tcPr>
          <w:p>
            <w:pPr>
              <w:spacing w:after="0"/>
              <w:rPr>
                <w:sz w:val="18"/>
                <w:szCs w:val="18"/>
                <w:color w:val="auto"/>
              </w:rPr>
            </w:pPr>
          </w:p>
        </w:tc>
        <w:tc>
          <w:tcPr>
            <w:tcW w:w="10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9260" w:type="dxa"/>
            <w:vAlign w:val="bottom"/>
          </w:tcPr>
          <w:p>
            <w:pPr>
              <w:ind w:left="540"/>
              <w:spacing w:after="0"/>
              <w:rPr>
                <w:sz w:val="20"/>
                <w:szCs w:val="20"/>
                <w:color w:val="auto"/>
              </w:rPr>
            </w:pPr>
            <w:r>
              <w:rPr>
                <w:rFonts w:ascii="Arial" w:cs="Arial" w:eastAsia="Arial" w:hAnsi="Arial"/>
                <w:sz w:val="18"/>
                <w:szCs w:val="18"/>
                <w:color w:val="auto"/>
              </w:rPr>
              <w:t>3.900% Senior Notes due 2035 offered hereby (including unamortized discount)</w:t>
            </w:r>
          </w:p>
        </w:tc>
        <w:tc>
          <w:tcPr>
            <w:tcW w:w="100" w:type="dxa"/>
            <w:vAlign w:val="bottom"/>
          </w:tcPr>
          <w:p>
            <w:pPr>
              <w:spacing w:after="0"/>
              <w:rPr>
                <w:sz w:val="18"/>
                <w:szCs w:val="18"/>
                <w:color w:val="auto"/>
              </w:rPr>
            </w:pPr>
          </w:p>
        </w:tc>
        <w:tc>
          <w:tcPr>
            <w:tcW w:w="10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9260" w:type="dxa"/>
            <w:vAlign w:val="bottom"/>
          </w:tcPr>
          <w:p>
            <w:pPr>
              <w:ind w:left="540"/>
              <w:spacing w:after="0"/>
              <w:rPr>
                <w:sz w:val="20"/>
                <w:szCs w:val="20"/>
                <w:color w:val="auto"/>
              </w:rPr>
            </w:pPr>
            <w:r>
              <w:rPr>
                <w:rFonts w:ascii="Arial" w:cs="Arial" w:eastAsia="Arial" w:hAnsi="Arial"/>
                <w:sz w:val="18"/>
                <w:szCs w:val="18"/>
                <w:color w:val="auto"/>
              </w:rPr>
              <w:t>4.100% Senior Notes due 2045 offered hereby (including unamortized discount)</w:t>
            </w:r>
          </w:p>
        </w:tc>
        <w:tc>
          <w:tcPr>
            <w:tcW w:w="100" w:type="dxa"/>
            <w:vAlign w:val="bottom"/>
          </w:tcPr>
          <w:p>
            <w:pPr>
              <w:spacing w:after="0"/>
              <w:rPr>
                <w:sz w:val="18"/>
                <w:szCs w:val="18"/>
                <w:color w:val="auto"/>
              </w:rPr>
            </w:pPr>
          </w:p>
        </w:tc>
        <w:tc>
          <w:tcPr>
            <w:tcW w:w="10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w w:val="97"/>
              </w:rPr>
              <w:t>Tax-exempt bonds maturing through 2045, fixed and variable interest rates ranging from 0.04% to 5.7% (weighted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540"/>
              <w:spacing w:after="0"/>
              <w:rPr>
                <w:sz w:val="20"/>
                <w:szCs w:val="20"/>
                <w:color w:val="auto"/>
              </w:rPr>
            </w:pPr>
            <w:r>
              <w:rPr>
                <w:rFonts w:ascii="Arial" w:cs="Arial" w:eastAsia="Arial" w:hAnsi="Arial"/>
                <w:sz w:val="18"/>
                <w:szCs w:val="18"/>
                <w:color w:val="auto"/>
              </w:rPr>
              <w:t>average interest rate of 2.2% at December 31, 2014)(d)</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30"/>
        </w:trPr>
        <w:tc>
          <w:tcPr>
            <w:tcW w:w="9260" w:type="dxa"/>
            <w:vAlign w:val="bottom"/>
          </w:tcPr>
          <w:p>
            <w:pPr>
              <w:ind w:left="360"/>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926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Waste Management, Inc. Stockholders’ 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4,585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6,888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260" w:type="dxa"/>
            <w:vAlign w:val="bottom"/>
          </w:tcPr>
          <w:p>
            <w:pPr>
              <w:ind w:left="360"/>
              <w:spacing w:after="0"/>
              <w:rPr>
                <w:sz w:val="20"/>
                <w:szCs w:val="20"/>
                <w:color w:val="auto"/>
              </w:rPr>
            </w:pPr>
            <w:r>
              <w:rPr>
                <w:rFonts w:ascii="Arial" w:cs="Arial" w:eastAsia="Arial" w:hAnsi="Arial"/>
                <w:sz w:val="18"/>
                <w:szCs w:val="18"/>
                <w:color w:val="auto"/>
              </w:rPr>
              <w:t>Treasury stock at cost, 171,745,077 shares</w:t>
            </w:r>
          </w:p>
        </w:tc>
        <w:tc>
          <w:tcPr>
            <w:tcW w:w="100" w:type="dxa"/>
            <w:vAlign w:val="bottom"/>
          </w:tcPr>
          <w:p>
            <w:pPr>
              <w:spacing w:after="0"/>
              <w:rPr>
                <w:sz w:val="20"/>
                <w:szCs w:val="20"/>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w w:val="94"/>
              </w:rPr>
              <w:t>(5,636)</w:t>
            </w:r>
          </w:p>
        </w:tc>
        <w:tc>
          <w:tcPr>
            <w:tcW w:w="2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09"/>
        </w:trPr>
        <w:tc>
          <w:tcPr>
            <w:tcW w:w="9260" w:type="dxa"/>
            <w:vAlign w:val="bottom"/>
          </w:tcPr>
          <w:p>
            <w:pPr>
              <w:ind w:left="360"/>
              <w:spacing w:after="0"/>
              <w:rPr>
                <w:sz w:val="20"/>
                <w:szCs w:val="20"/>
                <w:color w:val="auto"/>
              </w:rPr>
            </w:pPr>
            <w:r>
              <w:rPr>
                <w:rFonts w:ascii="Arial" w:cs="Arial" w:eastAsia="Arial" w:hAnsi="Arial"/>
                <w:sz w:val="18"/>
                <w:szCs w:val="18"/>
                <w:color w:val="auto"/>
              </w:rPr>
              <w:t>Total Waste Management, Inc. stockholders’ equity</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926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tcPr>
          <w:p>
            <w:pPr>
              <w:ind w:left="360"/>
              <w:spacing w:after="0"/>
              <w:rPr>
                <w:sz w:val="20"/>
                <w:szCs w:val="20"/>
                <w:color w:val="auto"/>
              </w:rPr>
            </w:pPr>
            <w:r>
              <w:rPr>
                <w:rFonts w:ascii="Arial" w:cs="Arial" w:eastAsia="Arial" w:hAnsi="Arial"/>
                <w:sz w:val="18"/>
                <w:szCs w:val="18"/>
                <w:color w:val="auto"/>
              </w:rPr>
              <w:t>Total debt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15,324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8" w:lineRule="exact"/>
        <w:rPr>
          <w:sz w:val="20"/>
          <w:szCs w:val="20"/>
          <w:color w:val="auto"/>
        </w:rPr>
      </w:pPr>
    </w:p>
    <w:p>
      <w:pPr>
        <w:ind w:left="460" w:right="22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 Adjusted column gives effect to the January 2015 redemption of senior notes but does not give effect to the Tender Offer. As of February 17, 2015, the aggregate amount outstanding of the Tender Notes is $2.345 billion. There is no assurance that the Tender Offer will be consummated in accordance with its terms, or at all.</w:t>
      </w:r>
    </w:p>
    <w:p>
      <w:pPr>
        <w:ind w:left="4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$2.25 billion revolving credit facility matures in July 2018. This facility provides us with credit capacity to be used for either cash borrowings or to support letters of credit. At December 31, 2014, we had no outstanding borrowings and $785 million of letters of credit issued and supported by the facility, leaving</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color w:val="auto"/>
        </w:rPr>
        <w:t>unused and available credit capacity of $1,465 million. As of December 31, 2014, we also had fully utilized an aggregate committed capacity of $400 million under letter of credit facilities with terms ending through December 2018. We supplement the letter of credit capacity we have through these committed facilities with stand-alone letters of credit with various banking partners.</w:t>
      </w: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Waste Management of Canada Corporation and WM Quebec Inc., wholly-owned subsidiaries of Waste Management, Inc., are borrowers under a Canadian credit agreement that provides C$150 million of revolving credit capacity and initially provided C$500 million of term credit. The credit agreement matures in November 2017. Waste Management, Inc. and WM Holdings guaranty all subsidiary obligations outstanding under the credit agreement. We have the ability to issue up to C$50 million of letters of credit under the Canadian revolving credit facility, which if utilized, reduces the amount of credit capacity available for borrowings. As of December 31, 2014, we had no revolving borrowings or letters of credit outstanding under the facility.</w:t>
      </w:r>
    </w:p>
    <w:p>
      <w:pPr>
        <w:spacing w:after="0" w:line="2"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offering $600,000,000 of our 3.125% senior notes due March 1, 2025, $450,000,000 of our 3.900% senior notes due March 1, 2035 and $750,000,000 of our 4.100% senior notes due March 1, 2045. The notes of each series will be issued under and pursuant to an Indenture dated as of September 10, 1997, between us and The Bank of New York Mellon Trust Company, N.A. (the current successor to the initial trustee, Texas Commerce Bank National Association), as Trustee. The 2025 notes, 2035 notes and the 2045 notes are separate series of notes under the Indenture. We will issue the notes of each series pursuant to a resolution of our Board of Directors and accompanying officers’ certificate setting forth the specific terms applicable to the notes of each series.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Notes</w:t>
      </w:r>
      <w:r>
        <w:rPr>
          <w:rFonts w:ascii="Arial" w:cs="Arial" w:eastAsia="Arial" w:hAnsi="Arial"/>
          <w:sz w:val="18"/>
          <w:szCs w:val="18"/>
          <w:color w:val="auto"/>
        </w:rPr>
        <w:t>. The notes will:</w:t>
      </w:r>
    </w:p>
    <w:p>
      <w:pPr>
        <w:spacing w:after="0" w:line="131"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130" w:lineRule="exact"/>
        <w:rPr>
          <w:rFonts w:ascii="Arial" w:cs="Arial" w:eastAsia="Arial" w:hAnsi="Arial"/>
          <w:sz w:val="18"/>
          <w:szCs w:val="18"/>
          <w:color w:val="auto"/>
        </w:rPr>
      </w:pPr>
    </w:p>
    <w:p>
      <w:pPr>
        <w:ind w:left="660" w:right="40" w:hanging="20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constitute new and separate series of debt securities issued under the Indenture: the 2025 notes will be initially limited to an aggregate principal amount of $600 million, the 2035 notes will be initially limited to an aggregate principal amount of $450 million and the 2045 notes will be initially limited to an aggregate principal amount of $750 million;</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mature on March 1, 2025 in the case of the 2025 notes, March 1, 2035 in the case of the 2035 notes and March 1, 2045 in the case of the 2045 notes;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130" w:lineRule="exact"/>
        <w:rPr>
          <w:rFonts w:ascii="Arial" w:cs="Arial" w:eastAsia="Arial" w:hAnsi="Arial"/>
          <w:sz w:val="18"/>
          <w:szCs w:val="18"/>
          <w:color w:val="auto"/>
        </w:rPr>
      </w:pPr>
    </w:p>
    <w:p>
      <w:pPr>
        <w:jc w:val="both"/>
        <w:ind w:left="660" w:right="200" w:hanging="20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Interest will:</w:t>
      </w:r>
    </w:p>
    <w:p>
      <w:pPr>
        <w:spacing w:after="0" w:line="131" w:lineRule="exact"/>
        <w:rPr>
          <w:sz w:val="20"/>
          <w:szCs w:val="20"/>
          <w:color w:val="auto"/>
        </w:rPr>
      </w:pPr>
    </w:p>
    <w:p>
      <w:pPr>
        <w:ind w:left="660" w:hanging="20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accrue on the 2025 notes at the rate of 3.125% per annum, accrue on the 2035 notes at the rate of 3.900% per annum and accrue on the 2045 notes at the rate of 4.100% per annum;</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accrue from February 26, 2015 or the most recent interest payment date;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payable in cash semi-annually in arrears on March 1 and September 1 of each year, beginning on September 1, 2015;</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payable to holders of record on the February 15 and August 15 immediately preceding the related interest payment dates;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 and transfer</w:t>
      </w:r>
    </w:p>
    <w:p>
      <w:pPr>
        <w:spacing w:after="0" w:line="22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14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54"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Before the applicable Par Call Date for each series of notes, the notes of each series will be redeemable and repayable, at our option, at any time in whole, or from time to time in part, at a price equal to the greater of:</w:t>
      </w:r>
    </w:p>
    <w:p>
      <w:pPr>
        <w:spacing w:after="0" w:line="76"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660" w:right="20" w:hanging="206"/>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the notes of the applicable series to be redeemed that would be due if such notes matured on the applicable Par Call Date (exclusive of interest accrued to the date of redemption) discounted to the date of redemption on a semi-annual basis (assuming a 360-day year consisting of twelve 30-day months) at the applicable Treasury Yield plus 20 basis points for the 2025 notes, 20 basis points for the 2035 notes or 25 basis points for the 2045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On or after the applicable Par Call Date for each series of notes, the notes of each series will be redeemable and repayable, at our option, at any time in whole, or from time to time in part, at a price equal to 100% of the principal amount of the notes of the applicable series to be redeemed plus accrued interest on the notes of the applicable series to be redeemed to the date of redemption.</w:t>
      </w:r>
    </w:p>
    <w:p>
      <w:pPr>
        <w:spacing w:after="0" w:line="18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or by any other method the Trustee deems fair and appropriate.</w:t>
      </w:r>
    </w:p>
    <w:p>
      <w:pPr>
        <w:spacing w:after="0" w:line="1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factors that we generally consider in determining whether to redeem the notes are (1) whether the current rates on new notes would be considerably less than the interest rates on the notes to be redeemed after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consideration of any make-whole provision, (2) whether we have excess cash on hand and decide to reduce debt levels and (3) whether we are involved in a substantial merger or acquisition in which it becomes necessary to redeem the notes because of a debt restructuring agreement. We are currently unaware of any circumstances under which we would redeem the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optional redemption, the following definitions are applicable:</w:t>
      </w:r>
    </w:p>
    <w:p>
      <w:pPr>
        <w:spacing w:after="0" w:line="117" w:lineRule="exact"/>
        <w:rPr>
          <w:sz w:val="20"/>
          <w:szCs w:val="20"/>
          <w:color w:val="auto"/>
        </w:rPr>
      </w:pPr>
    </w:p>
    <w:p>
      <w:pPr>
        <w:ind w:left="460" w:right="2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Yield</w:t>
      </w:r>
      <w:r>
        <w:rPr>
          <w:rFonts w:ascii="Arial" w:cs="Arial" w:eastAsia="Arial" w:hAnsi="Arial"/>
          <w:sz w:val="18"/>
          <w:szCs w:val="18"/>
          <w:color w:val="auto"/>
        </w:rPr>
        <w:t>” means, with respect to any redemption date applicable to the notes of a series,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79" w:lineRule="exact"/>
        <w:rPr>
          <w:sz w:val="20"/>
          <w:szCs w:val="20"/>
          <w:color w:val="auto"/>
        </w:rPr>
      </w:pPr>
    </w:p>
    <w:p>
      <w:pPr>
        <w:ind w:left="460" w:right="100" w:firstLine="43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Issue</w:t>
      </w:r>
      <w:r>
        <w:rPr>
          <w:rFonts w:ascii="Arial" w:cs="Arial" w:eastAsia="Arial" w:hAnsi="Arial"/>
          <w:sz w:val="17"/>
          <w:szCs w:val="17"/>
          <w:color w:val="auto"/>
        </w:rPr>
        <w:t>” means the United States Treasury security selected by an Independent Investment Banker as having a maturity comparable to the remaining term of the notes of the series to be redeemed, calculated as if the maturity date of such notes were the Par Call Date (the “Remaining Life”), that would be utilized, at the time of selection and in accordance with customary financial practice, in pricing new issues of corporate debt securities of comparable maturity to the Remaining Life of the notes of such series.</w:t>
      </w:r>
    </w:p>
    <w:p>
      <w:pPr>
        <w:spacing w:after="0" w:line="63" w:lineRule="exact"/>
        <w:rPr>
          <w:sz w:val="20"/>
          <w:szCs w:val="20"/>
          <w:color w:val="auto"/>
        </w:rPr>
      </w:pPr>
    </w:p>
    <w:p>
      <w:pPr>
        <w:ind w:left="460" w:firstLine="43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Independent Investment Banker</w:t>
      </w:r>
      <w:r>
        <w:rPr>
          <w:rFonts w:ascii="Arial" w:cs="Arial" w:eastAsia="Arial" w:hAnsi="Arial"/>
          <w:sz w:val="16"/>
          <w:szCs w:val="16"/>
          <w:color w:val="auto"/>
        </w:rPr>
        <w:t>” means any of Credit Suisse Securities (USA) LLC, Deutsche Bank Securities Inc., Goldman, Sachs &amp; Co., and J.P. Morgan Securities LLC (and their respective successors), or, if all of such firms are unwilling or unable to select the applicable Comparable Treasury Issue, an independent investment banking institution of national standing appointed by the Trustee and reasonably acceptable to us.</w:t>
      </w:r>
    </w:p>
    <w:p>
      <w:pPr>
        <w:spacing w:after="0" w:line="39"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79" w:lineRule="exact"/>
        <w:rPr>
          <w:sz w:val="20"/>
          <w:szCs w:val="20"/>
          <w:color w:val="auto"/>
        </w:rPr>
      </w:pPr>
    </w:p>
    <w:p>
      <w:pPr>
        <w:ind w:left="460" w:right="6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 Call Date</w:t>
      </w:r>
      <w:r>
        <w:rPr>
          <w:rFonts w:ascii="Arial" w:cs="Arial" w:eastAsia="Arial" w:hAnsi="Arial"/>
          <w:sz w:val="16"/>
          <w:szCs w:val="16"/>
          <w:color w:val="auto"/>
        </w:rPr>
        <w:t>” means December 1, 2024 (three months prior to the maturity date) in the case of the 2025 notes, September 1, 2034 (six months prior to the maturity date) in the case of the 2035 notes, and September 1, 2044 (six months prior to the maturity date) in the case of the 2045 notes.</w:t>
      </w:r>
    </w:p>
    <w:p>
      <w:pPr>
        <w:spacing w:after="0" w:line="16"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Credit Suisse Securities (USA) LLC, Deutsche Bank Securities Inc., Goldman, Sachs &amp; Co., and J.P. Morgan Securities LLC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79"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of a series,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set forth above, the notes will not be redeemable by us prior to maturity and will not be entitled to the benefit of any sinking fund.</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Each series of notes will be subject to legal defeasance and to covenant defeasance as provided under “Description of Debt Securities—Provisions Applicable to Each Indenture—Defeasance” in the accompanying prospectus.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38" w:lineRule="exact"/>
        <w:rPr>
          <w:sz w:val="20"/>
          <w:szCs w:val="20"/>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73" w:lineRule="exact"/>
        <w:rPr>
          <w:rFonts w:ascii="Arial" w:cs="Arial" w:eastAsia="Arial" w:hAnsi="Arial"/>
          <w:sz w:val="18"/>
          <w:szCs w:val="18"/>
          <w:color w:val="auto"/>
        </w:rPr>
      </w:pPr>
    </w:p>
    <w:p>
      <w:pPr>
        <w:ind w:left="460" w:firstLine="443"/>
        <w:spacing w:after="0" w:line="255" w:lineRule="auto"/>
        <w:tabs>
          <w:tab w:leader="none" w:pos="115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193"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of that series; and</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description of the limitations on our ability to incur secured debt, see “Description of Debt Securities—Provisions Applicable Solely to Senior Debt Securities” in the accompanying prospectus.</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December 31, 2014, our operating subsidiaries had $3.1 billion of indebtedness and WM Holdings had $449 million of indebtedness (excluding guarantees of $5.8 billion of our senior debt), in each case excluding intercompany loans.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WM Holdings will unconditionally guarantee our obligations under the notes of each series.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of each series until the earliest to occur of:</w:t>
      </w:r>
    </w:p>
    <w:p>
      <w:pPr>
        <w:spacing w:after="0" w:line="76"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of that series; or</w:t>
      </w:r>
    </w:p>
    <w:p>
      <w:pPr>
        <w:spacing w:after="0" w:line="130" w:lineRule="exact"/>
        <w:rPr>
          <w:rFonts w:ascii="Arial" w:cs="Arial" w:eastAsia="Arial" w:hAnsi="Arial"/>
          <w:sz w:val="18"/>
          <w:szCs w:val="18"/>
          <w:color w:val="auto"/>
        </w:rPr>
      </w:pPr>
    </w:p>
    <w:p>
      <w:pPr>
        <w:ind w:left="660" w:right="20" w:hanging="206"/>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of control offer</w:t>
      </w:r>
    </w:p>
    <w:p>
      <w:pPr>
        <w:spacing w:after="0" w:line="22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a change of control triggering event occurs, unless, we have exercised our option to redeem the notes of any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130" w:lineRule="exact"/>
        <w:rPr>
          <w:rFonts w:ascii="Arial" w:cs="Arial" w:eastAsia="Arial" w:hAnsi="Arial"/>
          <w:sz w:val="18"/>
          <w:szCs w:val="18"/>
          <w:color w:val="auto"/>
        </w:rPr>
      </w:pPr>
    </w:p>
    <w:p>
      <w:pPr>
        <w:jc w:val="center"/>
        <w:ind w:left="5540" w:right="260" w:hanging="5086"/>
        <w:spacing w:after="0" w:line="449"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 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18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117"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our Board of Directors who (1) was a member 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8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117" w:lineRule="exact"/>
        <w:rPr>
          <w:sz w:val="20"/>
          <w:szCs w:val="20"/>
          <w:color w:val="auto"/>
        </w:rPr>
      </w:pPr>
    </w:p>
    <w:p>
      <w:pPr>
        <w:ind w:left="460" w:right="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17"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(1) each of Fitch, Moody’s and S&amp;P and (2) if any of Fitch, Moody’s or S&amp;P ceases to rate the notes of the applicable series or fails to make a rating of such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79"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of the applicable series is lowered by at least two of the three rating agencies and such notes are rated below an investment grade rating by at least two of the three rating agencies, in any case on any day during the period (which period will be extended so long as the rating of such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8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McGraw-Hill Companies, Inc., and its successors.</w:t>
      </w:r>
    </w:p>
    <w:p>
      <w:pPr>
        <w:spacing w:after="0" w:line="117" w:lineRule="exact"/>
        <w:rPr>
          <w:sz w:val="20"/>
          <w:szCs w:val="20"/>
          <w:color w:val="auto"/>
        </w:rPr>
      </w:pPr>
    </w:p>
    <w:p>
      <w:pPr>
        <w:ind w:left="460" w:right="26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voting stock</w:t>
      </w:r>
      <w:r>
        <w:rPr>
          <w:rFonts w:ascii="Arial" w:cs="Arial" w:eastAsia="Arial" w:hAnsi="Arial"/>
          <w:sz w:val="17"/>
          <w:szCs w:val="17"/>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25"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For a description of these covenants, see “Description of Debt Securities—Provisions Applicable to Each Indenture—Consolidation, Merger and Sale of Assets” and “—Provisions Applicable Solely to Senior Debt Securities—Restrictive Covenants” in the accompanying prospectus.</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Further issuances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from time to time, without notice or the consent of the holders of the notes, create and issue further notes ranking equally and ratably with the notes of any series in all respects (or in all respects except for the issue date, the initial interest payment date, if applicable, and the payment of interest accruing prior to the issue date 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Book-entry systems</w:t>
      </w:r>
    </w:p>
    <w:p>
      <w:pPr>
        <w:spacing w:after="0" w:line="229"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We will issue the notes of each series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offered notes.</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DTC</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660" w:hanging="206"/>
        <w:spacing w:after="0" w:line="31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52" w:lineRule="exact"/>
        <w:rPr>
          <w:rFonts w:ascii="Arial" w:cs="Arial" w:eastAsia="Arial" w:hAnsi="Arial"/>
          <w:sz w:val="16"/>
          <w:szCs w:val="16"/>
          <w:color w:val="auto"/>
        </w:rPr>
      </w:pPr>
    </w:p>
    <w:p>
      <w:pPr>
        <w:ind w:left="660" w:right="300" w:hanging="206"/>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 entry changes in direct DTC participants’ accounts, thereby eliminating the need for physical movement of securities certificates.</w:t>
      </w:r>
    </w:p>
    <w:p>
      <w:pPr>
        <w:spacing w:after="0" w:line="86"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92"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5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8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6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DTC may discontinue providing its service as securities depositary with respect to the notes of any series at any time by giving reasonable notice to us or the Trustee. In addition, we may decide to discontinue use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Euroclear</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Euroclear was created in 1968 to hold securities for participants of Euroclear and to clear and settle transactions between Euroclear participants through simultaneous electronic book- 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7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Euroclear Operator is a Belgian bank, which is regulated and examined by the Belgian Banking Commission and the National Bank of Belgium.</w:t>
      </w:r>
    </w:p>
    <w:p>
      <w:pPr>
        <w:spacing w:after="0" w:line="248"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70" w:lineRule="exact"/>
        <w:rPr>
          <w:sz w:val="20"/>
          <w:szCs w:val="20"/>
          <w:color w:val="auto"/>
        </w:rPr>
      </w:pPr>
    </w:p>
    <w:p>
      <w:pPr>
        <w:jc w:val="both"/>
        <w:ind w:right="440" w:firstLine="456"/>
        <w:spacing w:after="0" w:line="312" w:lineRule="auto"/>
        <w:rPr>
          <w:sz w:val="20"/>
          <w:szCs w:val="20"/>
          <w:color w:val="auto"/>
        </w:rPr>
      </w:pPr>
      <w:r>
        <w:rPr>
          <w:rFonts w:ascii="Arial" w:cs="Arial" w:eastAsia="Arial" w:hAnsi="Arial"/>
          <w:sz w:val="16"/>
          <w:szCs w:val="16"/>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2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Clearstream</w:t>
      </w:r>
    </w:p>
    <w:p>
      <w:pPr>
        <w:spacing w:after="0" w:line="229" w:lineRule="exact"/>
        <w:rPr>
          <w:sz w:val="20"/>
          <w:szCs w:val="20"/>
          <w:color w:val="auto"/>
        </w:rPr>
      </w:pPr>
    </w:p>
    <w:p>
      <w:pPr>
        <w:ind w:right="240" w:firstLine="456"/>
        <w:spacing w:after="0" w:line="272"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the Deutsche Bôrse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70"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87"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Credit Suisse Securities (USA) LLC, Deutsche Bank Securities Inc., Goldman, Sachs &amp; Co. and J.P. Morgan Securities LLC are acting as joint book-running and joint lead managers of the offering and as representatives of the underwriters named below.</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58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Principal Amount</w:t>
            </w:r>
          </w:p>
        </w:tc>
        <w:tc>
          <w:tcPr>
            <w:tcW w:w="32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 Amount</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4"/>
              </w:rPr>
              <w:t>Principal Amount</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90"/>
              </w:rPr>
              <w:t>of 2025 Notes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of 2035 Notes</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90"/>
              </w:rPr>
              <w:t>of 2045 Notes</w:t>
            </w:r>
          </w:p>
        </w:tc>
        <w:tc>
          <w:tcPr>
            <w:tcW w:w="0" w:type="dxa"/>
            <w:vAlign w:val="bottom"/>
          </w:tcPr>
          <w:p>
            <w:pPr>
              <w:spacing w:after="0"/>
              <w:rPr>
                <w:sz w:val="1"/>
                <w:szCs w:val="1"/>
                <w:color w:val="auto"/>
              </w:rPr>
            </w:pPr>
          </w:p>
        </w:tc>
      </w:tr>
      <w:tr>
        <w:trPr>
          <w:trHeight w:val="189"/>
        </w:trPr>
        <w:tc>
          <w:tcPr>
            <w:tcW w:w="6680" w:type="dxa"/>
            <w:vAlign w:val="bottom"/>
            <w:gridSpan w:val="2"/>
          </w:tcPr>
          <w:p>
            <w:pPr>
              <w:spacing w:after="0" w:line="189" w:lineRule="exact"/>
              <w:rPr>
                <w:sz w:val="20"/>
                <w:szCs w:val="20"/>
                <w:color w:val="auto"/>
              </w:rPr>
            </w:pPr>
            <w:r>
              <w:rPr>
                <w:rFonts w:ascii="Arial" w:cs="Arial" w:eastAsia="Arial" w:hAnsi="Arial"/>
                <w:sz w:val="18"/>
                <w:szCs w:val="18"/>
                <w:color w:val="auto"/>
              </w:rPr>
              <w:t>Credit Suisse Securities (USA) LLC</w:t>
            </w: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66,000,000</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49,500,000</w:t>
            </w:r>
          </w:p>
        </w:tc>
        <w:tc>
          <w:tcPr>
            <w:tcW w:w="660" w:type="dxa"/>
            <w:vAlign w:val="bottom"/>
          </w:tcPr>
          <w:p>
            <w:pPr>
              <w:spacing w:after="0"/>
              <w:rPr>
                <w:sz w:val="16"/>
                <w:szCs w:val="16"/>
                <w:color w:val="auto"/>
              </w:rPr>
            </w:pPr>
          </w:p>
        </w:tc>
        <w:tc>
          <w:tcPr>
            <w:tcW w:w="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82,500,000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90,000,000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67,500,000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112,500,000</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90,000,000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67,500,000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112,500,000</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66,000,000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49,500,000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82,500,000</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42,000,000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31,500,000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52,500,000</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Incorporated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42,000,000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31,500,000</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52,500,000</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RBS Securities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42,000,000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31,500,000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52,500,000</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42,000,000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31,500,000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52,500,000</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20,000,000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15,000,000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20,000,000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15,000,000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20,000,000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15,000,000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BBVA Securities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Blaylock Beal Van,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3,600,000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BNY Mellon Capital Markets,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3,600,000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Comerica Securities,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3,600,000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Drexel Hamilton,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3,600,000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2,700,000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Lloyds Securities Inc.</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3,600,000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2,700,000</w:t>
            </w: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600,000,000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450,000,000</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750,000,000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0.400% of the principal amount of the 2025 notes, 0.500% of the principal amount of the 2035 notes and 0.500% of the principal amount of the 2045 notes. The underwriters may allow, and dealers may reallow, a concession not to exceed 0.250% of the principal amount of the 2025 notes, 0.250% of the principal amount of the 2035 notes and 0.250% of the principal amount of the 2045 notes on sales to other dealers. After the initial offering of the notes to the public, the representatives may change the public offering price and other selling terms applicable to the notes of any series.</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connection with the offering, the representatives, on behalf of the underwriters, may purchase and sell notes in the open market. These transactions may include over-allotment, syndicate covering transactions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154"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any series of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(not including the underwriting discount) for this offering will be $800,000.</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expect delivery of the notes will be made against payment therefor on or about February 26, 2015, which is the sixth business day following the date of pricing of the notes (such settlement being referred to as “T +6”). Under Rule 15c6-1 of the Securities Exchange Act of 1934, as amended, trades in the secondary market generally are required to settle in three business days unless the parties to any such trade expressly agree otherwise. Accordingly, purchasers who wish to trade the notes on the date of pricing of the notes or the two succeeding business days will be required, by virtue of the fact that the notes initially will settle in T+6, to specify an alternate settlement cycle at the time of any such trade to prevent failed settlement and should consult their own advisers.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Relationships</w:t>
      </w:r>
    </w:p>
    <w:p>
      <w:pPr>
        <w:spacing w:after="0" w:line="229"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Each of the underwriters or one of their respective affiliates is a lender to us under our $2.25 billion revolving credit facility. Additionally, 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6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Credit Suisse Securities (USA) LLC, Deutsche Bank Securities Inc., Goldman, Sachs &amp; Co. and J.P. Morgan Securities LLC are the dealer managers for the Tender Offer.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to the public in that Relevant Member State other than:</w:t>
      </w:r>
    </w:p>
    <w:p>
      <w:pPr>
        <w:spacing w:after="0" w:line="79" w:lineRule="exact"/>
        <w:rPr>
          <w:sz w:val="20"/>
          <w:szCs w:val="20"/>
          <w:color w:val="auto"/>
        </w:rPr>
      </w:pPr>
    </w:p>
    <w:p>
      <w:pPr>
        <w:ind w:left="660" w:hanging="19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firstLine="464"/>
        <w:spacing w:after="0" w:line="264" w:lineRule="auto"/>
        <w:tabs>
          <w:tab w:leader="none" w:pos="6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or representatives nominated by us for any such offer; or</w:t>
      </w:r>
    </w:p>
    <w:p>
      <w:pPr>
        <w:spacing w:after="0" w:line="181" w:lineRule="exact"/>
        <w:rPr>
          <w:rFonts w:ascii="Arial" w:cs="Arial" w:eastAsia="Arial" w:hAnsi="Arial"/>
          <w:sz w:val="18"/>
          <w:szCs w:val="18"/>
          <w:color w:val="auto"/>
        </w:rPr>
      </w:pPr>
    </w:p>
    <w:p>
      <w:pPr>
        <w:ind w:left="660" w:hanging="19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provided that no such offer of notes shall require us or any underwriter to publish a prospectus pursuant to Article 3 of the Prospectus Directive.</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purposes of the preceding sentence, the expression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the notes, as the same may be varied in that Relevant Member State by any measure implementing the Prospectus Directive in that Relevant Member State; “Prospectus Directive” means Directive 2003/71/EC (and amendments thereto, including the 2010 PD Amending Directive, to the extent implemented in the Relevant Member State) and includes any relevant implementing measure in each Relevant Member State; and the term “2010 PD Amending Directive” means Directive 2010/73/EU.</w:t>
      </w:r>
    </w:p>
    <w:p>
      <w:pPr>
        <w:spacing w:after="0" w:line="19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640" w:firstLine="456"/>
        <w:spacing w:after="0" w:line="342" w:lineRule="auto"/>
        <w:rPr>
          <w:sz w:val="20"/>
          <w:szCs w:val="20"/>
          <w:color w:val="auto"/>
        </w:rPr>
      </w:pPr>
      <w:r>
        <w:rPr>
          <w:rFonts w:ascii="Arial" w:cs="Arial" w:eastAsia="Arial" w:hAnsi="Arial"/>
          <w:sz w:val="16"/>
          <w:szCs w:val="16"/>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2014, including the schedule appearing therein, and the effectiveness of Waste Management, Inc.’s internal control over financial reporting as of December 31, 2014,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8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SEC Filing (Our SEC File Number is 1-12154)</w:t>
            </w:r>
          </w:p>
        </w:tc>
        <w:tc>
          <w:tcPr>
            <w:tcW w:w="67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Date Filed</w:t>
            </w:r>
          </w:p>
        </w:tc>
      </w:tr>
      <w:tr>
        <w:trPr>
          <w:trHeight w:val="189"/>
        </w:trPr>
        <w:tc>
          <w:tcPr>
            <w:tcW w:w="9560" w:type="dxa"/>
            <w:vAlign w:val="bottom"/>
            <w:gridSpan w:val="2"/>
          </w:tcPr>
          <w:p>
            <w:pPr>
              <w:spacing w:after="0" w:line="189" w:lineRule="exact"/>
              <w:rPr>
                <w:sz w:val="20"/>
                <w:szCs w:val="20"/>
                <w:color w:val="auto"/>
              </w:rPr>
            </w:pPr>
            <w:r>
              <w:rPr>
                <w:rFonts w:ascii="Arial" w:cs="Arial" w:eastAsia="Arial" w:hAnsi="Arial"/>
                <w:sz w:val="18"/>
                <w:szCs w:val="18"/>
                <w:color w:val="auto"/>
              </w:rPr>
              <w:t>Annual Report on Form 10-K for the year ended December 31, 2014</w:t>
            </w: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89"/>
              </w:rPr>
              <w:t>February 17,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January 2,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w w:val="93"/>
              </w:rPr>
              <w:t>The portions of our proxy statement for our 2014 annual meeting of stockholders incorporated by reference in our Annual Report</w:t>
            </w:r>
          </w:p>
        </w:tc>
        <w:tc>
          <w:tcPr>
            <w:tcW w:w="1860" w:type="dxa"/>
            <w:vAlign w:val="bottom"/>
          </w:tcPr>
          <w:p>
            <w:pPr>
              <w:spacing w:after="0"/>
              <w:rPr>
                <w:sz w:val="18"/>
                <w:szCs w:val="18"/>
                <w:color w:val="auto"/>
              </w:rPr>
            </w:pPr>
          </w:p>
        </w:tc>
      </w:tr>
      <w:tr>
        <w:trPr>
          <w:trHeight w:val="230"/>
        </w:trPr>
        <w:tc>
          <w:tcPr>
            <w:tcW w:w="9560" w:type="dxa"/>
            <w:vAlign w:val="bottom"/>
            <w:gridSpan w:val="2"/>
          </w:tcPr>
          <w:p>
            <w:pPr>
              <w:ind w:left="180"/>
              <w:spacing w:after="0"/>
              <w:rPr>
                <w:sz w:val="20"/>
                <w:szCs w:val="20"/>
                <w:color w:val="auto"/>
              </w:rPr>
            </w:pPr>
            <w:r>
              <w:rPr>
                <w:rFonts w:ascii="Arial" w:cs="Arial" w:eastAsia="Arial" w:hAnsi="Arial"/>
                <w:sz w:val="18"/>
                <w:szCs w:val="18"/>
                <w:color w:val="auto"/>
              </w:rPr>
              <w:t>on Form 10-K for the year ended December 31, 2013</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27, 2014</w:t>
            </w:r>
          </w:p>
        </w:tc>
      </w:tr>
    </w:tbl>
    <w:p>
      <w:pPr>
        <w:spacing w:after="0" w:line="20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88"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www.wm.com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283210</wp:posOffset>
            </wp:positionV>
            <wp:extent cx="1329055" cy="445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90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WASTE MANAGEMENT, INC.</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GUARANTEES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337185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306"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349250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180" w:firstLine="456"/>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risks. See “</w:t>
      </w:r>
      <w:hyperlink w:anchor="page38">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on page 6 of this prospectus, the risk factors included in our periodic reports that we file with the Securities Exchange Commission and incorporated by reference herein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314960</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314325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prospectus is dated September 28, 2012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40" w:type="dxa"/>
            <w:vAlign w:val="bottom"/>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418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Forward-Looking Statements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1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2060" w:type="dxa"/>
            <w:vAlign w:val="bottom"/>
            <w:gridSpan w:val="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Incorporation of Certain Documents by Reference</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Where You Can Find More Information</w:t>
              </w:r>
            </w:hyperlink>
          </w:p>
        </w:tc>
        <w:tc>
          <w:tcPr>
            <w:tcW w:w="7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The Company</w:t>
              </w:r>
            </w:hyperlink>
          </w:p>
        </w:tc>
        <w:tc>
          <w:tcPr>
            <w:tcW w:w="3140" w:type="dxa"/>
            <w:vAlign w:val="bottom"/>
            <w:gridSpan w:val="1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Risk Factors</w:t>
              </w:r>
            </w:hyperlink>
          </w:p>
        </w:tc>
        <w:tc>
          <w:tcPr>
            <w:tcW w:w="3260" w:type="dxa"/>
            <w:vAlign w:val="bottom"/>
            <w:gridSpan w:val="1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Ratio of Earnings to Fixed Charges</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9"/>
          </w:tcPr>
          <w:p>
            <w:pPr>
              <w:spacing w:after="0"/>
              <w:rPr>
                <w:sz w:val="17"/>
                <w:szCs w:val="17"/>
                <w:color w:val="auto"/>
              </w:rPr>
            </w:pPr>
          </w:p>
        </w:tc>
        <w:tc>
          <w:tcPr>
            <w:tcW w:w="1640" w:type="dxa"/>
            <w:vAlign w:val="bottom"/>
            <w:gridSpan w:val="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Description of Debt Securities</w:t>
              </w:r>
            </w:hyperlink>
          </w:p>
        </w:tc>
        <w:tc>
          <w:tcPr>
            <w:tcW w:w="1980" w:type="dxa"/>
            <w:vAlign w:val="bottom"/>
            <w:gridSpan w:val="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9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Description of Guarantees</w:t>
              </w:r>
            </w:hyperlink>
          </w:p>
        </w:tc>
        <w:tc>
          <w:tcPr>
            <w:tcW w:w="2280" w:type="dxa"/>
            <w:vAlign w:val="bottom"/>
            <w:gridSpan w:val="8"/>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Capital Stock</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Description of Other Securities</w:t>
              </w:r>
            </w:hyperlink>
          </w:p>
        </w:tc>
        <w:tc>
          <w:tcPr>
            <w:tcW w:w="1920" w:type="dxa"/>
            <w:vAlign w:val="bottom"/>
            <w:gridSpan w:val="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Plan of Distribution</w:t>
              </w:r>
            </w:hyperlink>
          </w:p>
        </w:tc>
        <w:tc>
          <w:tcPr>
            <w:tcW w:w="2740" w:type="dxa"/>
            <w:vAlign w:val="bottom"/>
            <w:gridSpan w:val="11"/>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Selling Securityholders</w:t>
              </w:r>
            </w:hyperlink>
          </w:p>
        </w:tc>
        <w:tc>
          <w:tcPr>
            <w:tcW w:w="2480" w:type="dxa"/>
            <w:vAlign w:val="bottom"/>
            <w:gridSpan w:val="9"/>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Legal Matters</w:t>
              </w:r>
            </w:hyperlink>
          </w:p>
        </w:tc>
        <w:tc>
          <w:tcPr>
            <w:tcW w:w="3160" w:type="dxa"/>
            <w:vAlign w:val="bottom"/>
            <w:gridSpan w:val="1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Experts</w:t>
              </w:r>
            </w:hyperlink>
          </w:p>
        </w:tc>
        <w:tc>
          <w:tcPr>
            <w:tcW w:w="3620" w:type="dxa"/>
            <w:vAlign w:val="bottom"/>
            <w:gridSpan w:val="1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2011.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84" w:lineRule="exact"/>
        <w:rPr>
          <w:sz w:val="20"/>
          <w:szCs w:val="20"/>
          <w:color w:val="auto"/>
        </w:rPr>
      </w:pPr>
    </w:p>
    <w:p>
      <w:pPr>
        <w:ind w:left="900" w:right="80" w:hanging="446"/>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29"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fail in implementing our optimization and growth initiatives and overall business strategy, which could adversely impact our financial performance and growth;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restructuring initiatives may not achieve the goals and cost savings intended, implementing the restructuring may result in business disruption and employee distraction, and changes in our organizational structure and workforce could result in significant restructuring charges;</w:t>
      </w:r>
    </w:p>
    <w:p>
      <w:pPr>
        <w:spacing w:after="0" w:line="29"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86"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developments in technology could trigger a fundamental change in the waste management industry, as waste streams are increasingly viewed as a resource, which may adversely impact volumes at our landfills and waste to energy facilities and our profitability;</w:t>
      </w:r>
    </w:p>
    <w:p>
      <w:pPr>
        <w:spacing w:after="0" w:line="51" w:lineRule="exact"/>
        <w:rPr>
          <w:rFonts w:ascii="Arial" w:cs="Arial" w:eastAsia="Arial" w:hAnsi="Arial"/>
          <w:sz w:val="17"/>
          <w:szCs w:val="17"/>
          <w:color w:val="auto"/>
        </w:rPr>
      </w:pPr>
    </w:p>
    <w:p>
      <w:pPr>
        <w:ind w:left="900" w:right="80" w:hanging="44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75" w:lineRule="exact"/>
        <w:rPr>
          <w:rFonts w:ascii="Arial" w:cs="Arial" w:eastAsia="Arial" w:hAnsi="Arial"/>
          <w:sz w:val="18"/>
          <w:szCs w:val="18"/>
          <w:color w:val="auto"/>
        </w:rPr>
      </w:pPr>
    </w:p>
    <w:p>
      <w:pPr>
        <w:ind w:left="900" w:right="62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and restrict our ability to operate;</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incur future indebtedness on terms we deem acceptable or to refinance our debt obligations, including near-term maturities, on acceptable terms and higher interest rates and market conditions may increase our expense;</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13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7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SEC Filing (Our SEC File Number is 1-12154)</w:t>
            </w:r>
          </w:p>
        </w:tc>
        <w:tc>
          <w:tcPr>
            <w:tcW w:w="584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Date Filed</w:t>
            </w:r>
          </w:p>
        </w:tc>
      </w:tr>
      <w:tr>
        <w:trPr>
          <w:trHeight w:val="195"/>
        </w:trPr>
        <w:tc>
          <w:tcPr>
            <w:tcW w:w="8700" w:type="dxa"/>
            <w:vAlign w:val="bottom"/>
            <w:gridSpan w:val="2"/>
          </w:tcPr>
          <w:p>
            <w:pPr>
              <w:spacing w:after="0" w:line="195" w:lineRule="exact"/>
              <w:rPr>
                <w:sz w:val="20"/>
                <w:szCs w:val="20"/>
                <w:color w:val="auto"/>
              </w:rPr>
            </w:pPr>
            <w:r>
              <w:rPr>
                <w:rFonts w:ascii="Arial" w:cs="Arial" w:eastAsia="Arial" w:hAnsi="Arial"/>
                <w:sz w:val="18"/>
                <w:szCs w:val="18"/>
                <w:color w:val="auto"/>
              </w:rPr>
              <w:t>Annual Report on Form 10-K for the year ended December 31, 2011</w:t>
            </w: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89"/>
              </w:rPr>
              <w:t>February 16,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2012</w:t>
            </w: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April 26,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2012</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26,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14,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May 14,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June 22,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July 5,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 (except for the information furnished pursuant to Item 2.02)</w:t>
            </w:r>
          </w:p>
        </w:tc>
        <w:tc>
          <w:tcPr>
            <w:tcW w:w="27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26, 2012</w:t>
            </w:r>
          </w:p>
        </w:tc>
      </w:tr>
      <w:tr>
        <w:trPr>
          <w:trHeight w:val="243"/>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August 28, 2012</w:t>
            </w:r>
          </w:p>
        </w:tc>
      </w:tr>
      <w:tr>
        <w:trPr>
          <w:trHeight w:val="230"/>
        </w:trPr>
        <w:tc>
          <w:tcPr>
            <w:tcW w:w="28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September 11, 2012</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 as we may update that description from time to time</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13, 1995</w:t>
            </w:r>
          </w:p>
        </w:tc>
      </w:tr>
    </w:tbl>
    <w:p>
      <w:pPr>
        <w:spacing w:after="0" w:line="20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by requesting them in writing, by telephone or via the Internet at: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www.wm.com</w:t>
      </w:r>
    </w:p>
    <w:p>
      <w:pPr>
        <w:spacing w:after="0" w:line="207" w:lineRule="exact"/>
        <w:rPr>
          <w:sz w:val="20"/>
          <w:szCs w:val="20"/>
          <w:color w:val="auto"/>
        </w:rPr>
      </w:pPr>
    </w:p>
    <w:p>
      <w:pPr>
        <w:jc w:val="center"/>
        <w:spacing w:after="0" w:line="454" w:lineRule="auto"/>
        <w:rPr>
          <w:sz w:val="20"/>
          <w:szCs w:val="20"/>
          <w:color w:val="auto"/>
        </w:rPr>
      </w:pPr>
      <w:r>
        <w:rPr>
          <w:rFonts w:ascii="Arial" w:cs="Arial" w:eastAsia="Arial" w:hAnsi="Arial"/>
          <w:sz w:val="18"/>
          <w:szCs w:val="18"/>
          <w:b w:val="1"/>
          <w:bCs w:val="1"/>
          <w:color w:val="auto"/>
        </w:rPr>
        <w:t xml:space="preserve">THE INFORMATION CONTAINED ON OUR WEBSITE DOES NOT CONSTITUTE A PART OF THIS PROSPECTUS. </w:t>
      </w: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18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1001 Fannin Street, Suite 4000, Houston, Texas 77002 and our telephone number is (713) 512-6200.</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39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For the</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Six Months</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00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Ended</w:t>
            </w:r>
          </w:p>
        </w:tc>
        <w:tc>
          <w:tcPr>
            <w:tcW w:w="3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0"/>
                <w:szCs w:val="10"/>
                <w:color w:val="auto"/>
              </w:rPr>
            </w:pPr>
          </w:p>
        </w:tc>
        <w:tc>
          <w:tcPr>
            <w:tcW w:w="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0"/>
                <w:szCs w:val="10"/>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0"/>
                <w:szCs w:val="10"/>
                <w:color w:val="auto"/>
              </w:rPr>
            </w:pPr>
          </w:p>
        </w:tc>
        <w:tc>
          <w:tcPr>
            <w:tcW w:w="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2012</w:t>
            </w:r>
          </w:p>
        </w:tc>
        <w:tc>
          <w:tcPr>
            <w:tcW w:w="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000" w:type="dxa"/>
            <w:vAlign w:val="bottom"/>
            <w:vMerge w:val="continue"/>
          </w:tcPr>
          <w:p>
            <w:pPr>
              <w:spacing w:after="0"/>
              <w:rPr>
                <w:sz w:val="19"/>
                <w:szCs w:val="19"/>
                <w:color w:val="auto"/>
              </w:rPr>
            </w:pPr>
          </w:p>
        </w:tc>
        <w:tc>
          <w:tcPr>
            <w:tcW w:w="84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88"/>
              </w:rPr>
              <w:t>3.2x</w:t>
            </w:r>
          </w:p>
        </w:tc>
        <w:tc>
          <w:tcPr>
            <w:tcW w:w="320" w:type="dxa"/>
            <w:vAlign w:val="bottom"/>
          </w:tcPr>
          <w:p>
            <w:pPr>
              <w:spacing w:after="0"/>
              <w:rPr>
                <w:sz w:val="19"/>
                <w:szCs w:val="19"/>
                <w:color w:val="auto"/>
              </w:rPr>
            </w:pP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2"/>
              </w:rPr>
              <w:t>3.8x</w:t>
            </w:r>
          </w:p>
        </w:tc>
        <w:tc>
          <w:tcPr>
            <w:tcW w:w="320" w:type="dxa"/>
            <w:vAlign w:val="bottom"/>
          </w:tcPr>
          <w:p>
            <w:pPr>
              <w:spacing w:after="0"/>
              <w:rPr>
                <w:sz w:val="19"/>
                <w:szCs w:val="19"/>
                <w:color w:val="auto"/>
              </w:rPr>
            </w:pPr>
          </w:p>
        </w:tc>
        <w:tc>
          <w:tcPr>
            <w:tcW w:w="4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4.1 x</w:t>
            </w:r>
          </w:p>
        </w:tc>
        <w:tc>
          <w:tcPr>
            <w:tcW w:w="30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2"/>
              </w:rPr>
              <w:t>4.0x</w:t>
            </w:r>
          </w:p>
        </w:tc>
        <w:tc>
          <w:tcPr>
            <w:tcW w:w="320" w:type="dxa"/>
            <w:vAlign w:val="bottom"/>
          </w:tcPr>
          <w:p>
            <w:pPr>
              <w:spacing w:after="0"/>
              <w:rPr>
                <w:sz w:val="19"/>
                <w:szCs w:val="19"/>
                <w:color w:val="auto"/>
              </w:rPr>
            </w:pPr>
          </w:p>
        </w:tc>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8"/>
              </w:rPr>
              <w:t>4.5x</w:t>
            </w:r>
          </w:p>
        </w:tc>
        <w:tc>
          <w:tcPr>
            <w:tcW w:w="30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2"/>
              </w:rPr>
              <w:t>4.0x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pacing w:after="0" w:line="18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No shares of our preference stock are currently issued or outstanding, therefore no dividends accrued on any shares of our preferred stock for any period presented. Accordingly, the ratio of earnings to combined fixed charges and preferred stock dividends is the same at the ratio of earnings to fixed charges.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ind w:right="320" w:firstLine="456"/>
        <w:spacing w:after="0" w:line="276" w:lineRule="auto"/>
        <w:rPr>
          <w:sz w:val="20"/>
          <w:szCs w:val="20"/>
          <w:color w:val="auto"/>
        </w:rPr>
      </w:pPr>
      <w:r>
        <w:rPr>
          <w:rFonts w:ascii="Arial" w:cs="Arial" w:eastAsia="Arial" w:hAnsi="Arial"/>
          <w:sz w:val="17"/>
          <w:szCs w:val="17"/>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the initial trustee, Texas Commerce Bank National Association ), as trustee. We will issue subordinated debt securities under an indenture dated as of February 1, 1997, among Waste Management, as issuer, and The Bank of New York Mellon Trust Company, N.A., as trustee. The indentures are substantially identical, except for provisions relating to subordination and covenants.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debt or securities that we may issue. We may issue debt securities under the indentures from time to time in one or more series, each in an amount authorized prior to issuance.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7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interest rate, the date from which interest will accrue, interest payment dates and record dates for interest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153" w:lineRule="exact"/>
        <w:rPr>
          <w:rFonts w:ascii="Arial" w:cs="Arial" w:eastAsia="Arial" w:hAnsi="Arial"/>
          <w:sz w:val="16"/>
          <w:szCs w:val="16"/>
          <w:color w:val="auto"/>
        </w:rPr>
      </w:pPr>
    </w:p>
    <w:p>
      <w:pPr>
        <w:ind w:left="900" w:right="4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our properties and assets substantially as an entirety to another person unless:</w:t>
      </w:r>
    </w:p>
    <w:p>
      <w:pPr>
        <w:spacing w:after="0" w:line="76" w:lineRule="exact"/>
        <w:rPr>
          <w:sz w:val="20"/>
          <w:szCs w:val="20"/>
          <w:color w:val="auto"/>
        </w:rPr>
      </w:pPr>
    </w:p>
    <w:p>
      <w:pPr>
        <w:ind w:left="900" w:right="2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86"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7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debt securities:</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30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8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170"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6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225"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i w:val="1"/>
          <w:iCs w:val="1"/>
          <w:color w:val="auto"/>
        </w:rPr>
        <w:t xml:space="preserve">Defeasance. </w:t>
      </w:r>
      <w:r>
        <w:rPr>
          <w:rFonts w:ascii="Arial" w:cs="Arial" w:eastAsia="Arial" w:hAnsi="Arial"/>
          <w:sz w:val="17"/>
          <w:szCs w:val="17"/>
          <w:color w:val="auto"/>
        </w:rPr>
        <w:t>When we use the term defeasance, we mean discharge from some or all of our obligations under the indentures. If any combination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71" w:lineRule="exact"/>
        <w:rPr>
          <w:sz w:val="20"/>
          <w:szCs w:val="20"/>
          <w:color w:val="auto"/>
        </w:rPr>
      </w:pPr>
    </w:p>
    <w:p>
      <w:pPr>
        <w:ind w:left="900" w:right="4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75" w:lineRule="exact"/>
        <w:rPr>
          <w:rFonts w:ascii="Arial" w:cs="Arial" w:eastAsia="Arial" w:hAnsi="Arial"/>
          <w:sz w:val="18"/>
          <w:szCs w:val="18"/>
          <w:color w:val="auto"/>
        </w:rPr>
      </w:pPr>
    </w:p>
    <w:p>
      <w:pPr>
        <w:ind w:left="900" w:right="500" w:hanging="446"/>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8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Mellon Trust Company, N.A. serves as trustee or custodian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relating to a number of series of debt obligations of Waste Management. Certain of The Bank of New York Mellon Trust Company, N.A.’s affiliates perform certain commercial banking services for us for which they receive customary fees and act as a lender under our current credit facility.</w:t>
      </w:r>
    </w:p>
    <w:p>
      <w:pPr>
        <w:spacing w:after="0" w:line="14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8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i w:val="1"/>
          <w:iCs w:val="1"/>
          <w:color w:val="auto"/>
        </w:rPr>
        <w:t xml:space="preserve">Form, Exchange, Registration and Transfer. </w:t>
      </w:r>
      <w:r>
        <w:rPr>
          <w:rFonts w:ascii="Arial" w:cs="Arial" w:eastAsia="Arial" w:hAnsi="Arial"/>
          <w:sz w:val="17"/>
          <w:szCs w:val="17"/>
          <w:color w:val="auto"/>
        </w:rPr>
        <w:t>The debt securities may be issued in registered form, without interest coupons, or in bearer form, with</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6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8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900" w:right="2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Book-Entry Debt Securities. </w:t>
      </w:r>
      <w:r>
        <w:rPr>
          <w:rFonts w:ascii="Arial" w:cs="Arial" w:eastAsia="Arial" w:hAnsi="Arial"/>
          <w:sz w:val="18"/>
          <w:szCs w:val="18"/>
          <w:color w:val="auto"/>
        </w:rPr>
        <w:t>The debt securities of a series may be issued in the form of one or more global debt securities that would be deposited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 of the other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73" w:lineRule="exact"/>
        <w:rPr>
          <w:sz w:val="20"/>
          <w:szCs w:val="20"/>
          <w:color w:val="auto"/>
        </w:rPr>
      </w:pPr>
    </w:p>
    <w:p>
      <w:pPr>
        <w:ind w:left="1140" w:hanging="237"/>
        <w:spacing w:after="0"/>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liens on the property or assets existing at the time of acquisition which secure obligations assumed by us or our Restricted Subsidiaries;</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1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any successor entity that becomes the Company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 Consolidation, Merger and Sale of Assets,” </w:t>
      </w:r>
      <w:r>
        <w:rPr>
          <w:rFonts w:ascii="Arial" w:cs="Arial" w:eastAsia="Arial" w:hAnsi="Arial"/>
          <w:sz w:val="18"/>
          <w:szCs w:val="18"/>
          <w:color w:val="auto"/>
        </w:rPr>
        <w:t>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 liens on assets either:</w:t>
      </w:r>
    </w:p>
    <w:p>
      <w:pPr>
        <w:spacing w:after="0" w:line="131" w:lineRule="exact"/>
        <w:rPr>
          <w:sz w:val="20"/>
          <w:szCs w:val="20"/>
          <w:color w:val="auto"/>
        </w:rPr>
      </w:pPr>
    </w:p>
    <w:p>
      <w:pPr>
        <w:ind w:left="1480" w:hanging="446"/>
        <w:spacing w:after="0"/>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30" w:lineRule="exact"/>
        <w:rPr>
          <w:rFonts w:ascii="Arial" w:cs="Arial" w:eastAsia="Arial" w:hAnsi="Arial"/>
          <w:sz w:val="18"/>
          <w:szCs w:val="18"/>
          <w:color w:val="auto"/>
        </w:rPr>
      </w:pPr>
    </w:p>
    <w:p>
      <w:pPr>
        <w:ind w:left="1480" w:right="20" w:hanging="446"/>
        <w:spacing w:after="0" w:line="286" w:lineRule="auto"/>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57" w:lineRule="exact"/>
        <w:rPr>
          <w:rFonts w:ascii="Arial" w:cs="Arial" w:eastAsia="Arial" w:hAnsi="Arial"/>
          <w:sz w:val="17"/>
          <w:szCs w:val="17"/>
          <w:color w:val="auto"/>
        </w:rPr>
      </w:pPr>
    </w:p>
    <w:p>
      <w:pPr>
        <w:ind w:left="1120" w:hanging="21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in connection with legal proceedings so long as the proceeding is being contested in good faith or execution thereon is stayed;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117" w:lineRule="exact"/>
        <w:rPr>
          <w:rFonts w:ascii="Arial" w:cs="Arial" w:eastAsia="Arial" w:hAnsi="Arial"/>
          <w:sz w:val="18"/>
          <w:szCs w:val="18"/>
          <w:color w:val="auto"/>
        </w:rPr>
      </w:pPr>
    </w:p>
    <w:p>
      <w:pPr>
        <w:ind w:left="460" w:firstLine="443"/>
        <w:spacing w:after="0" w:line="277" w:lineRule="auto"/>
        <w:tabs>
          <w:tab w:leader="none" w:pos="1203"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62" w:lineRule="exact"/>
        <w:rPr>
          <w:sz w:val="20"/>
          <w:szCs w:val="20"/>
          <w:color w:val="auto"/>
        </w:rPr>
      </w:pPr>
    </w:p>
    <w:p>
      <w:pPr>
        <w:ind w:left="460" w:right="280" w:firstLine="443"/>
        <w:spacing w:after="0" w:line="264" w:lineRule="auto"/>
        <w:tabs>
          <w:tab w:leader="none" w:pos="11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73"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an amount equal to the fair value (as determined by our Board of Directors) of the property to be leased to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342" w:lineRule="auto"/>
        <w:rPr>
          <w:sz w:val="20"/>
          <w:szCs w:val="20"/>
          <w:color w:val="auto"/>
        </w:rPr>
      </w:pPr>
      <w:r>
        <w:rPr>
          <w:rFonts w:ascii="Arial" w:cs="Arial" w:eastAsia="Arial" w:hAnsi="Arial"/>
          <w:sz w:val="16"/>
          <w:szCs w:val="16"/>
          <w:color w:val="auto"/>
        </w:rPr>
        <w:t xml:space="preserve">redemption or retirement of any senior debt securities issued under the senior indenture or to payment or other retirement of other debt of the Company that ranks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debt securities listed under the senior indenture or debt incurred by a Restricted Subsidiary; or</w:t>
      </w:r>
    </w:p>
    <w:p>
      <w:pPr>
        <w:spacing w:after="0" w:line="16" w:lineRule="exact"/>
        <w:rPr>
          <w:sz w:val="20"/>
          <w:szCs w:val="20"/>
          <w:color w:val="auto"/>
        </w:rPr>
      </w:pPr>
    </w:p>
    <w:p>
      <w:pPr>
        <w:ind w:left="460" w:right="220" w:firstLine="443"/>
        <w:spacing w:after="0" w:line="342" w:lineRule="auto"/>
        <w:tabs>
          <w:tab w:leader="none" w:pos="11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6"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Glossary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“Attributable Debt” </w:t>
      </w:r>
      <w:r>
        <w:rPr>
          <w:rFonts w:ascii="Arial" w:cs="Arial" w:eastAsia="Arial" w:hAnsi="Arial"/>
          <w:sz w:val="18"/>
          <w:szCs w:val="18"/>
          <w:color w:val="auto"/>
        </w:rPr>
        <w:t>means the present value of the rental payments during the remaining term of the lease included in the Sale/Leaseback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131" w:lineRule="exact"/>
        <w:rPr>
          <w:sz w:val="20"/>
          <w:szCs w:val="20"/>
          <w:color w:val="auto"/>
        </w:rPr>
      </w:pPr>
    </w:p>
    <w:p>
      <w:pPr>
        <w:ind w:left="900" w:right="7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22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 the balance sheet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 United States or</w:t>
      </w:r>
      <w:r>
        <w:rPr>
          <w:rFonts w:ascii="Arial" w:cs="Arial" w:eastAsia="Arial" w:hAnsi="Arial"/>
          <w:sz w:val="18"/>
          <w:szCs w:val="18"/>
          <w:i w:val="1"/>
          <w:iCs w:val="1"/>
          <w:color w:val="auto"/>
        </w:rPr>
        <w:t xml:space="preserve"> </w:t>
      </w:r>
      <w:r>
        <w:rPr>
          <w:rFonts w:ascii="Arial" w:cs="Arial" w:eastAsia="Arial" w:hAnsi="Arial"/>
          <w:sz w:val="18"/>
          <w:szCs w:val="18"/>
          <w:color w:val="auto"/>
        </w:rPr>
        <w:t>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“Restricted Subsidiary” </w:t>
      </w:r>
      <w:r>
        <w:rPr>
          <w:rFonts w:ascii="Arial" w:cs="Arial" w:eastAsia="Arial" w:hAnsi="Arial"/>
          <w:sz w:val="16"/>
          <w:szCs w:val="16"/>
          <w:color w:val="auto"/>
        </w:rPr>
        <w:t>means any Subsidiary (other than any Subsidiary of which the Company owns less than all of the outstanding voting stock)</w:t>
      </w:r>
    </w:p>
    <w:p>
      <w:pPr>
        <w:spacing w:after="0" w:line="46"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principally engaged in, or whose principal assets consist of property used by us or any Restricted Subsidiary in the storage, collection, transfer, interim</w:t>
      </w:r>
    </w:p>
    <w:p>
      <w:pPr>
        <w:spacing w:after="0" w:line="32"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processing or disposal of waste within the United States or Canada or (b) which we designate as a Restricted Subsidiary in an officer’s certificate delivered to the trustee.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or such Restricted Subsidiary has sold or transferred or will sell or transfer to that person. This term excludes the following:</w:t>
      </w:r>
    </w:p>
    <w:p>
      <w:pPr>
        <w:spacing w:after="0" w:line="76"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outstanding from time to time.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8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GUARANTEES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8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4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We are authorized to issue 1,500,000,000 shares of common stock, of which 463,859,445 shares were outstanding at September 21, 2012 (excluding treasury shares of 166,423,015). We are also authorized to issue 10,000,000 shares of preferred stock, none of which were outstanding on that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share of common stock is entitled to one vote in the election of directors and in each other matter we may ask stockholders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on. 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Computershare in Jersey City, New Jersey.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are a Delaware corporation and are governed by the Delaware General Corporation Law. Section 203 of the Delaware General Corporation law, subject to specific exceptions, prohibits a publicly held Delaware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corporation from engaging in a “business combination” with an “interested stockholder” for a period of three years after the time the person became an interested stockholder, unless:</w:t>
      </w:r>
    </w:p>
    <w:p>
      <w:pPr>
        <w:spacing w:after="0" w:line="76" w:lineRule="exact"/>
        <w:rPr>
          <w:sz w:val="20"/>
          <w:szCs w:val="20"/>
          <w:color w:val="auto"/>
        </w:rPr>
      </w:pPr>
    </w:p>
    <w:p>
      <w:pPr>
        <w:ind w:left="900" w:right="3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OTHER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6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8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87" w:lineRule="exact"/>
        <w:rPr>
          <w:sz w:val="20"/>
          <w:szCs w:val="20"/>
          <w:color w:val="auto"/>
        </w:rPr>
      </w:pPr>
    </w:p>
    <w:p>
      <w:pPr>
        <w:ind w:right="480" w:firstLine="456"/>
        <w:spacing w:after="0" w:line="257" w:lineRule="auto"/>
        <w:rPr>
          <w:sz w:val="20"/>
          <w:szCs w:val="20"/>
          <w:color w:val="auto"/>
        </w:rPr>
      </w:pPr>
      <w:r>
        <w:rPr>
          <w:rFonts w:ascii="Arial" w:cs="Arial" w:eastAsia="Arial" w:hAnsi="Arial"/>
          <w:sz w:val="18"/>
          <w:szCs w:val="18"/>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2011, including the schedule appearing therein, and the effectiveness of Waste Management, Inc.’s internal control over financial reporting as of December 31, 2011,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20"/>
        <w:spacing w:after="0"/>
        <w:rPr>
          <w:sz w:val="20"/>
          <w:szCs w:val="20"/>
          <w:color w:val="auto"/>
        </w:rPr>
      </w:pPr>
      <w:r>
        <w:rPr>
          <w:rFonts w:ascii="Arial" w:cs="Arial" w:eastAsia="Arial" w:hAnsi="Arial"/>
          <w:sz w:val="29"/>
          <w:szCs w:val="29"/>
          <w:color w:val="auto"/>
        </w:rPr>
        <w:t>$1,800,000,000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236855</wp:posOffset>
            </wp:positionV>
            <wp:extent cx="1329055" cy="445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290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2800" w:right="1579"/>
        <w:spacing w:after="0" w:line="341" w:lineRule="auto"/>
        <w:rPr>
          <w:sz w:val="20"/>
          <w:szCs w:val="20"/>
          <w:color w:val="auto"/>
        </w:rPr>
      </w:pPr>
      <w:r>
        <w:rPr>
          <w:rFonts w:ascii="Arial" w:cs="Arial" w:eastAsia="Arial" w:hAnsi="Arial"/>
          <w:sz w:val="28"/>
          <w:szCs w:val="28"/>
          <w:color w:val="auto"/>
        </w:rPr>
        <w:t>$600,000,000 3.125% Senior Notes due 2025 $450,000,000 3.900% Senior Notes due 2035 $750,000,000 4.100% Senior Notes due 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134620</wp:posOffset>
            </wp:positionV>
            <wp:extent cx="10890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4" w:lineRule="exact"/>
        <w:rPr>
          <w:sz w:val="20"/>
          <w:szCs w:val="20"/>
          <w:color w:val="auto"/>
        </w:rPr>
      </w:pPr>
    </w:p>
    <w:p>
      <w:pPr>
        <w:ind w:left="3200"/>
        <w:spacing w:after="0"/>
        <w:rPr>
          <w:sz w:val="20"/>
          <w:szCs w:val="20"/>
          <w:color w:val="auto"/>
        </w:rPr>
      </w:pPr>
      <w:r>
        <w:rPr>
          <w:rFonts w:ascii="Arial" w:cs="Arial" w:eastAsia="Arial" w:hAnsi="Arial"/>
          <w:sz w:val="36"/>
          <w:szCs w:val="3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256540</wp:posOffset>
            </wp:positionV>
            <wp:extent cx="10890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Joint Book-Running Managers</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Credit Suisse</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Deutsche Bank Securities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Goldman, Sachs &amp; Co.</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122"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Barclays</w:t>
      </w:r>
    </w:p>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BofA Merrill Lynch</w:t>
      </w:r>
    </w:p>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RBS</w:t>
      </w:r>
    </w:p>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Wells Fargo Securities</w:t>
      </w:r>
    </w:p>
    <w:p>
      <w:pPr>
        <w:spacing w:after="0" w:line="23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Co-Managers</w:t>
      </w:r>
    </w:p>
    <w:p>
      <w:pPr>
        <w:spacing w:after="0" w:line="9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Mizuho Securities</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MUFG</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Scotiabank</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BBVA</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BNP PARIBAS</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Citigroup</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PNC Capital Markets LLC</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SMBC Nikko</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US Bancorp</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Blaylock Beal Van, LLC</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BNY Mellon Capital Markets, LLC</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Comerica Securities</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Drexel Hamilton</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Lloyds Securities</w:t>
      </w:r>
    </w:p>
    <w:p>
      <w:pPr>
        <w:spacing w:after="0" w:line="23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February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1)"/>
      <w:numFmt w:val="decimal"/>
      <w:start w:val="713"/>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3"/>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lvl w:ilvl="1">
      <w:lvlJc w:val="left"/>
      <w:lvlText w:val="(%2)"/>
      <w:numFmt w:val="lowerLetter"/>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5"/>
    </w:lvl>
    <w:lvl w:ilvl="1">
      <w:lvlJc w:val="left"/>
      <w:lvlText w:val="•"/>
      <w:numFmt w:val="bullet"/>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3"/>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2019-12-20T21:49:37Z</dcterms:created>
  <dcterms:modified xsi:type="dcterms:W3CDTF">2019-12-20T21:49:37Z</dcterms:modified>
</cp:coreProperties>
</file>