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VP-Chief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231.195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 granted pursuant to Waste Management, Inc. 2023 Stock Incentive Plan. The stock option vests 34% on the first anniversary of the date of grant with 33% vesting on the 2nd and 3rd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639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3305</Characters>
  <CharactersWithSpaces>3853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