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October 25,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80" w:space="720"/>
            <w:col w:w="2960" w:space="720"/>
            <w:col w:w="2920"/>
          </w:cols>
          <w:pgMar w:left="240" w:top="927" w:right="359" w:bottom="1440" w:gutter="0" w:footer="0" w:header="0"/>
          <w:type w:val="continuous"/>
        </w:sectPr>
      </w:pP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927"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88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October 25, 2006, announcing its earnings for the quarter ended September 30, 2006. A copy of the press release is attached hereto as exhibit 99.1.</w:t>
      </w:r>
    </w:p>
    <w:p>
      <w:pPr>
        <w:spacing w:after="0" w:line="62"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Additionally, as announced in a press release dated September 25, 2006, the Company is holding a conference call, open to the public, to discuss these results, from 9:00 a.m. to 10:00 a.m. Central time this morning. The call will be webcast live, and may be heard by accessing the Company’s website at www.wm.com. The call may also be listened to live by calling (877) 710-6139 and asking for the “Waste Management Conference Call — Call ID 7044631.” A replay of the conference call will be available through 5:00 p.m. Central time on November 8, 2006. The replay of the call may be heard over the Internet, by accessing the Company’s website at www.wm.com, or by telephone by dialing 800-642-1687 and entering conference code 7044631.</w:t>
      </w:r>
    </w:p>
    <w:p>
      <w:pPr>
        <w:spacing w:after="0" w:line="5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the conference call, management of the Company is expected to discuss its results of operations using certain non-GAAP financial measures, including: free cash flow and full-year forecasted free cash flow; adjusted earnings per diluted share, adjusted earnings per diluted share growth and adjusted earnings per diluted share forecasted for the full year; adjusted income from operations as a percentage of revenue and adjusted income from operations as a percentage of revenue growth. Additionally, on the call, management of the Company may refer to “EBIT margin,” which the Company defines as income from operations as a percentage of revenue. The Company has provided an explanation of its use of these non-GAAP measures and has reconciled them to the most comparable GAAP measures in the press release and the schedules thereto, attached to this Form 8-K as Exhibit 99.1.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October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25, 2006</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40" w:type="dxa"/>
            <w:vAlign w:val="bottom"/>
          </w:tcPr>
          <w:p>
            <w:pPr>
              <w:spacing w:after="0"/>
              <w:rPr>
                <w:sz w:val="14"/>
                <w:szCs w:val="14"/>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200" w:type="dxa"/>
            <w:vAlign w:val="bottom"/>
          </w:tcPr>
          <w:p>
            <w:pPr>
              <w:jc w:val="right"/>
              <w:ind w:right="359"/>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Press Release dated October 25, 2006</w:t>
            </w:r>
          </w:p>
        </w:tc>
      </w:tr>
    </w:tbl>
    <w:p>
      <w:pPr>
        <w:sectPr>
          <w:pgSz w:w="11900" w:h="16838" w:orient="portrait"/>
          <w:cols w:equalWidth="0" w:num="1">
            <w:col w:w="11420"/>
          </w:cols>
          <w:pgMar w:left="240" w:top="958"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620395</wp:posOffset>
            </wp:positionV>
            <wp:extent cx="168084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80845" cy="600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#06-13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Third Quarter 2006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Raises Full-Year 2006 Earnings Guidance</w:t>
      </w:r>
    </w:p>
    <w:p>
      <w:pPr>
        <w:spacing w:after="0" w:line="33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HOUSTON — October 25, 2006 — </w:t>
      </w:r>
      <w:r>
        <w:rPr>
          <w:rFonts w:ascii="Arial" w:cs="Arial" w:eastAsia="Arial" w:hAnsi="Arial"/>
          <w:sz w:val="18"/>
          <w:szCs w:val="18"/>
          <w:color w:val="auto"/>
        </w:rPr>
        <w:t>Waste Management, Inc. (NYSE: WMI) today announced financial results for its third quarter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2006. Revenues for the quarter were $3.44 billion as compared with $3.38 billion in the year ago period, an increase of 2.0%. Net income for the quarter was $300 million, or $0.55 per diluted share, compared with $215 million, or $0.38 per diluted share, in the prior year period, which represents a 45% increase in earnings per diluted share.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Company noted one-time items that impacted the results in the current and prior years’ third quarters. Results in the current quarter included:</w:t>
      </w:r>
    </w:p>
    <w:p>
      <w:pPr>
        <w:spacing w:after="0" w:line="129" w:lineRule="exact"/>
        <w:rPr>
          <w:sz w:val="20"/>
          <w:szCs w:val="20"/>
          <w:color w:val="auto"/>
        </w:rPr>
      </w:pPr>
    </w:p>
    <w:p>
      <w:pPr>
        <w:ind w:left="440" w:right="80" w:hanging="216"/>
        <w:spacing w:after="0" w:line="277" w:lineRule="auto"/>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$20 million benefit in net income resulting primarily from favorable income tax audit settlements and adjustments required for the finalization of our 2005 tax returns; and</w:t>
      </w:r>
    </w:p>
    <w:p>
      <w:pPr>
        <w:spacing w:after="0" w:line="62" w:lineRule="exact"/>
        <w:rPr>
          <w:rFonts w:ascii="Arial" w:cs="Arial" w:eastAsia="Arial" w:hAnsi="Arial"/>
          <w:sz w:val="18"/>
          <w:szCs w:val="18"/>
          <w:b w:val="1"/>
          <w:bCs w:val="1"/>
          <w:color w:val="auto"/>
        </w:rPr>
      </w:pPr>
    </w:p>
    <w:p>
      <w:pPr>
        <w:ind w:left="440" w:right="320" w:hanging="216"/>
        <w:spacing w:after="0" w:line="277" w:lineRule="auto"/>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$16 million reduction in net income due mainly to asset impairment charges and losses on sales of operations related to the previously announced divestiture program.</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Results in the prior year’s third quarter included a net $40 million reduction in net income due primarily to combined charges of $96 million after-tax in asset impairments and unusual items, restructuring charges and additional landfill amortization expense. Partially offsetting these charges was a $56 million after-tax reduction in income tax expense resulting mainly from favorable tax audit settlements.</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Excluding these items, net income would have been $296 million, or $0.55 per diluted share, in the third quarter of 2006 compared with $255 million, or $0.45 per diluted share, in the prior year quarter, which represents a 22% increase in earnings per diluted share.</w:t>
      </w:r>
      <w:r>
        <w:rPr>
          <w:rFonts w:ascii="Arial" w:cs="Arial" w:eastAsia="Arial" w:hAnsi="Arial"/>
          <w:sz w:val="15"/>
          <w:szCs w:val="15"/>
          <w:color w:val="auto"/>
        </w:rPr>
        <w:t>(a)</w:t>
      </w:r>
    </w:p>
    <w:p>
      <w:pPr>
        <w:spacing w:after="0" w:line="6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Income from operations as a percent of revenue was 16.2% in the third quarter of 2006. Income from operations as a percent of revenue, as adjusted for the items noted above, increased 150 basis points to 16.8% in the current year’s quarter compared with the prior year’s quarter.</w:t>
      </w:r>
      <w:r>
        <w:rPr>
          <w:rFonts w:ascii="Arial" w:cs="Arial" w:eastAsia="Arial" w:hAnsi="Arial"/>
          <w:sz w:val="14"/>
          <w:szCs w:val="14"/>
          <w:color w:val="auto"/>
        </w:rPr>
        <w:t>(a)</w:t>
      </w:r>
    </w:p>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were very pleased with our results during the quarter as we again exceeded our internal expectations and achieved our primary financial goals of strong earnings growth, margin expansion and strong free cash flow,” said David P. Steiner, Chief Executive Officer of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right="180"/>
        <w:spacing w:after="0" w:line="264" w:lineRule="auto"/>
        <w:rPr>
          <w:sz w:val="20"/>
          <w:szCs w:val="20"/>
          <w:color w:val="auto"/>
        </w:rPr>
      </w:pPr>
      <w:r>
        <w:rPr>
          <w:rFonts w:ascii="Arial" w:cs="Arial" w:eastAsia="Arial" w:hAnsi="Arial"/>
          <w:sz w:val="18"/>
          <w:szCs w:val="18"/>
          <w:color w:val="auto"/>
        </w:rPr>
        <w:t>Management. “We accomplished these objectives in the third quarter of this year due to the success of our pricing programs combined with a $21 million reduction in our operating expenses compared with the prior year’s quarter. As a percent of revenue, we lowered our operating expenses by 180 basis points compared with the third quarter of 2005.</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internal revenue growth due to yield on base business of 3.6% indicates that our pricing excellence initiatives continue to generate positive results. This higher yield more than offset the 1.8% volume loss that we experienced during the quarter, about half of which resulted from the combination of nearly one less workday and lower non-core revenues. The remaining volume loss was primarily in our collection lines of business, which is driven mainly by our strategy to price our work in order to achieve acceptable margins and returns. This pricing strategy is the primary factor leading to our robust margin expansion. Also contributing to the margin expansion are our operational excellence programs and the reduction in operating expenses as we flexed down costs due to lower volume. This marks the fifth consecutive quarter in which our year-over-year operating costs as a percent of revenue have declined.</w:t>
      </w:r>
    </w:p>
    <w:p>
      <w:pPr>
        <w:spacing w:after="0" w:line="5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Steiner also highlighted the Company’s strong cash position: “We generated $745 million in net cash provided by operating activities and $431 million in free cash flow during this year’s third quarter, bringing our free cash flow total to $1.24 billion for the first nine months of 2006.</w:t>
      </w:r>
      <w:r>
        <w:rPr>
          <w:rFonts w:ascii="Arial" w:cs="Arial" w:eastAsia="Arial" w:hAnsi="Arial"/>
          <w:sz w:val="14"/>
          <w:szCs w:val="14"/>
          <w:color w:val="auto"/>
        </w:rPr>
        <w:t>(a)</w:t>
      </w:r>
      <w:r>
        <w:rPr>
          <w:rFonts w:ascii="Arial" w:cs="Arial" w:eastAsia="Arial" w:hAnsi="Arial"/>
          <w:sz w:val="17"/>
          <w:szCs w:val="17"/>
          <w:color w:val="auto"/>
        </w:rPr>
        <w:t xml:space="preserve"> We returned $425 million in cash to our shareholders during the third quarter in the form of share repurchases and our quarterly cash dividend payment and remain on track to return nearly $1.55 billion to our shareholders for the full-year. Although we expect sequential capital expenditures to increase significantly during the fourth quarter, we project that our full-year free cash flow will meet or exceed the range of $1.2 to $1.3 billion.”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Quarter</w:t>
      </w:r>
    </w:p>
    <w:p>
      <w:pPr>
        <w:spacing w:after="0" w:line="121" w:lineRule="exact"/>
        <w:rPr>
          <w:sz w:val="20"/>
          <w:szCs w:val="20"/>
          <w:color w:val="auto"/>
        </w:rPr>
      </w:pPr>
    </w:p>
    <w:p>
      <w:pPr>
        <w:ind w:left="540" w:right="24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due to yield increased 3.6%. Including $31 million obtained through our fuel surcharge program, the base business revenue growth from yield was 4.6%.</w:t>
      </w:r>
    </w:p>
    <w:p>
      <w:pPr>
        <w:spacing w:after="0" w:line="75" w:lineRule="exact"/>
        <w:rPr>
          <w:rFonts w:ascii="Arial" w:cs="Arial" w:eastAsia="Arial" w:hAnsi="Arial"/>
          <w:sz w:val="18"/>
          <w:szCs w:val="18"/>
          <w:b w:val="1"/>
          <w:bCs w:val="1"/>
          <w:color w:val="auto"/>
        </w:rPr>
      </w:pPr>
    </w:p>
    <w:p>
      <w:pPr>
        <w:ind w:left="540" w:right="24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volumes decreased 1.8%. Approximately one-half of this decline resulted from the impact of nearly one less workday and lower non-core volumes.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Divestitures net of acquisitions caused a 1.1% decline in revenues in the quarter and foreign currency translation caused a 0.3% increase in revenues.</w:t>
      </w:r>
    </w:p>
    <w:p>
      <w:pPr>
        <w:spacing w:after="0" w:line="153" w:lineRule="exact"/>
        <w:rPr>
          <w:rFonts w:ascii="Arial" w:cs="Arial" w:eastAsia="Arial" w:hAnsi="Arial"/>
          <w:sz w:val="16"/>
          <w:szCs w:val="16"/>
          <w:b w:val="1"/>
          <w:bCs w:val="1"/>
          <w:color w:val="auto"/>
        </w:rPr>
      </w:pPr>
    </w:p>
    <w:p>
      <w:pPr>
        <w:ind w:left="540" w:right="340" w:hanging="316"/>
        <w:spacing w:after="0" w:line="342"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Operating expenses declined by $21 million, or approximately 1%, to $2.18 billion in the third quarter of 2006. As a percent of revenue, operating expenses fell to 63.4% during the current year quarter, which is a 180 basis point improvement compared with the prior year quarter.</w:t>
      </w:r>
    </w:p>
    <w:p>
      <w:pPr>
        <w:spacing w:after="0" w:line="29" w:lineRule="exact"/>
        <w:rPr>
          <w:rFonts w:ascii="Arial" w:cs="Arial" w:eastAsia="Arial" w:hAnsi="Arial"/>
          <w:sz w:val="16"/>
          <w:szCs w:val="16"/>
          <w:b w:val="1"/>
          <w:bCs w:val="1"/>
          <w:color w:val="auto"/>
        </w:rPr>
      </w:pPr>
    </w:p>
    <w:p>
      <w:pPr>
        <w:ind w:left="540" w:right="6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$745 million in the third quarter. For the nine-month period, net cash provided by operating activities was $1.87 billion.</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of $431 million. For the nine-month period, free cash flow was $1.24 billion.</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of $357 million in the third quarter. For the nine-month period, capital expenditures totaled $824 million.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$425 million returned to shareholders in the third quarter, consisting of $118 million in cash dividends and $307 million in common stock repurchases.</w:t>
      </w:r>
    </w:p>
    <w:p>
      <w:pPr>
        <w:spacing w:after="0" w:line="153" w:lineRule="exact"/>
        <w:rPr>
          <w:rFonts w:ascii="Arial" w:cs="Arial" w:eastAsia="Arial" w:hAnsi="Arial"/>
          <w:sz w:val="16"/>
          <w:szCs w:val="16"/>
          <w:b w:val="1"/>
          <w:bCs w:val="1"/>
          <w:color w:val="auto"/>
        </w:rPr>
      </w:pPr>
    </w:p>
    <w:p>
      <w:pPr>
        <w:ind w:left="540" w:right="50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third quarter of 2006 was 27.4%. This is lower than the 39.3% rate projected in the Company’s second quarter 2006 earnings release, primarily due to $20 million in tax items noted above, the reduction in the estimated phase-out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580" w:right="20"/>
        <w:spacing w:after="0" w:line="293" w:lineRule="auto"/>
        <w:rPr>
          <w:sz w:val="20"/>
          <w:szCs w:val="20"/>
          <w:color w:val="auto"/>
        </w:rPr>
      </w:pPr>
      <w:r>
        <w:rPr>
          <w:rFonts w:ascii="Arial" w:cs="Arial" w:eastAsia="Arial" w:hAnsi="Arial"/>
          <w:sz w:val="16"/>
          <w:szCs w:val="16"/>
          <w:color w:val="auto"/>
        </w:rPr>
        <w:t>Section 45K tax credits and the third quarter resumption of operations of the synthetic fuel partnerships in which the Company invests. At the end of the second quarter, the Company estimated the full year phase-out of its Section 45K tax credits to be 78%. It has now reduced the estimated full-year phase-out to 35% due to its outlook for average full-year crude oil prices. Based on an estimated 35% phase-out, the Company recorded a benefit of approximately $0.05 per diluted share during the third quarter, which includes $0.02 of additional tax credits attributable to the first two quarters of the year. At the revised 35% phase-out estimate, the Company projects a benefit from Section 45K tax credits of approximately $0.01 per diluted share in the fourth quarter of 2006. The Company’s fourth quarter effective tax rate is projected to be 36.0%.</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Steiner concluded, “Our nearly 50,000 employees produced the best quarter I have seen at Waste Management. As a result of our strong performance through the first nine months of the year and our expectations for the fourth quarter, we are raising our full year earnings guidance. As part of our second quarter 2006 earnings release, we projected our full-year 2006 earnings to be at the upper end of the analysts’ then current full-year range of $1.69 to $1.75 per diluted share. Adjusting for the non-recurring items noted in our 2006 quarterly earnings releases, we now expect our full year earnings to be within the range of $1.78 to $1.81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0" w:lineRule="exact"/>
        <w:rPr>
          <w:sz w:val="20"/>
          <w:szCs w:val="20"/>
          <w:color w:val="auto"/>
        </w:rPr>
      </w:pPr>
    </w:p>
    <w:p>
      <w:pPr>
        <w:ind w:left="580" w:right="20" w:hanging="1"/>
        <w:spacing w:after="0" w:line="229" w:lineRule="auto"/>
        <w:tabs>
          <w:tab w:leader="none" w:pos="746" w:val="left"/>
        </w:tabs>
        <w:numPr>
          <w:ilvl w:val="0"/>
          <w:numId w:val="4"/>
        </w:numPr>
        <w:rPr>
          <w:rFonts w:ascii="Arial" w:cs="Arial" w:eastAsia="Arial" w:hAnsi="Arial"/>
          <w:sz w:val="12"/>
          <w:szCs w:val="12"/>
          <w:color w:val="auto"/>
        </w:rPr>
      </w:pPr>
      <w:r>
        <w:rPr>
          <w:rFonts w:ascii="Arial" w:cs="Arial" w:eastAsia="Arial" w:hAnsi="Arial"/>
          <w:sz w:val="14"/>
          <w:szCs w:val="14"/>
          <w:color w:val="auto"/>
        </w:rPr>
        <w:t>This earnings release contains net income, earnings per share, earnings per share growth and forecast, income from operations as a percentage of revenue and income from operations as a percentage of revenue growth, each as adjusted to exclude the impact of certain unusual, non-recurring or otherwise non-operational items. These are non-GAAP measures as defined in Regulation G of the Securities Exchange Act of 1934, as amended, and are not intended to replace the most comparable GAAP measures that are also presented in this press release. The Company reports its financial results in compliance with GAAP, but believes that also providing non-GAAP measures provides investors additional, meaningful comparisons of current results to prior periods’ results by excluding items that the Company does not believe reflect its fundamental business performance. The Company also discloses its free cash flow and free cash flow forecast, which are non-GAAP measures. The Company defines free cash flow as:</w:t>
      </w:r>
    </w:p>
    <w:p>
      <w:pPr>
        <w:spacing w:after="0" w:line="77" w:lineRule="exact"/>
        <w:rPr>
          <w:rFonts w:ascii="Arial" w:cs="Arial" w:eastAsia="Arial" w:hAnsi="Arial"/>
          <w:sz w:val="12"/>
          <w:szCs w:val="12"/>
          <w:color w:val="auto"/>
        </w:rPr>
      </w:pPr>
    </w:p>
    <w:p>
      <w:pPr>
        <w:ind w:left="1240" w:hanging="327"/>
        <w:spacing w:after="0"/>
        <w:tabs>
          <w:tab w:leader="none" w:pos="1240" w:val="left"/>
        </w:tabs>
        <w:numPr>
          <w:ilvl w:val="1"/>
          <w:numId w:val="4"/>
        </w:numPr>
        <w:rPr>
          <w:rFonts w:ascii="Arial" w:cs="Arial" w:eastAsia="Arial" w:hAnsi="Arial"/>
          <w:sz w:val="14"/>
          <w:szCs w:val="14"/>
          <w:b w:val="1"/>
          <w:bCs w:val="1"/>
          <w:color w:val="auto"/>
        </w:rPr>
      </w:pPr>
      <w:r>
        <w:rPr>
          <w:rFonts w:ascii="Arial" w:cs="Arial" w:eastAsia="Arial" w:hAnsi="Arial"/>
          <w:sz w:val="14"/>
          <w:szCs w:val="14"/>
          <w:color w:val="auto"/>
        </w:rPr>
        <w:t>Net cash provided by operating activities</w:t>
      </w:r>
    </w:p>
    <w:p>
      <w:pPr>
        <w:spacing w:after="0" w:line="109" w:lineRule="exact"/>
        <w:rPr>
          <w:rFonts w:ascii="Arial" w:cs="Arial" w:eastAsia="Arial" w:hAnsi="Arial"/>
          <w:sz w:val="14"/>
          <w:szCs w:val="14"/>
          <w:b w:val="1"/>
          <w:bCs w:val="1"/>
          <w:color w:val="auto"/>
        </w:rPr>
      </w:pPr>
    </w:p>
    <w:p>
      <w:pPr>
        <w:ind w:left="1240" w:hanging="327"/>
        <w:spacing w:after="0"/>
        <w:tabs>
          <w:tab w:leader="none" w:pos="1240" w:val="left"/>
        </w:tabs>
        <w:numPr>
          <w:ilvl w:val="1"/>
          <w:numId w:val="4"/>
        </w:numPr>
        <w:rPr>
          <w:rFonts w:ascii="Arial" w:cs="Arial" w:eastAsia="Arial" w:hAnsi="Arial"/>
          <w:sz w:val="14"/>
          <w:szCs w:val="14"/>
          <w:b w:val="1"/>
          <w:bCs w:val="1"/>
          <w:color w:val="auto"/>
        </w:rPr>
      </w:pPr>
      <w:r>
        <w:rPr>
          <w:rFonts w:ascii="Arial" w:cs="Arial" w:eastAsia="Arial" w:hAnsi="Arial"/>
          <w:sz w:val="14"/>
          <w:szCs w:val="14"/>
          <w:color w:val="auto"/>
        </w:rPr>
        <w:t>Less, capital expenditures</w:t>
      </w:r>
    </w:p>
    <w:p>
      <w:pPr>
        <w:spacing w:after="0" w:line="109" w:lineRule="exact"/>
        <w:rPr>
          <w:rFonts w:ascii="Arial" w:cs="Arial" w:eastAsia="Arial" w:hAnsi="Arial"/>
          <w:sz w:val="14"/>
          <w:szCs w:val="14"/>
          <w:b w:val="1"/>
          <w:bCs w:val="1"/>
          <w:color w:val="auto"/>
        </w:rPr>
      </w:pPr>
    </w:p>
    <w:p>
      <w:pPr>
        <w:ind w:left="1240" w:hanging="327"/>
        <w:spacing w:after="0"/>
        <w:tabs>
          <w:tab w:leader="none" w:pos="1240" w:val="left"/>
        </w:tabs>
        <w:numPr>
          <w:ilvl w:val="1"/>
          <w:numId w:val="4"/>
        </w:numPr>
        <w:rPr>
          <w:rFonts w:ascii="Arial" w:cs="Arial" w:eastAsia="Arial" w:hAnsi="Arial"/>
          <w:sz w:val="14"/>
          <w:szCs w:val="14"/>
          <w:b w:val="1"/>
          <w:bCs w:val="1"/>
          <w:color w:val="auto"/>
        </w:rPr>
      </w:pPr>
      <w:r>
        <w:rPr>
          <w:rFonts w:ascii="Arial" w:cs="Arial" w:eastAsia="Arial" w:hAnsi="Arial"/>
          <w:sz w:val="14"/>
          <w:szCs w:val="14"/>
          <w:color w:val="auto"/>
        </w:rPr>
        <w:t>Plus, proceeds from divestitures of businesses, net of cash divested, and other sales of assets.</w:t>
      </w:r>
    </w:p>
    <w:p>
      <w:pPr>
        <w:spacing w:after="0" w:line="96" w:lineRule="exact"/>
        <w:rPr>
          <w:sz w:val="20"/>
          <w:szCs w:val="20"/>
          <w:color w:val="auto"/>
        </w:rPr>
      </w:pPr>
    </w:p>
    <w:p>
      <w:pPr>
        <w:ind w:left="580"/>
        <w:spacing w:after="0" w:line="234" w:lineRule="auto"/>
        <w:rPr>
          <w:sz w:val="20"/>
          <w:szCs w:val="20"/>
          <w:color w:val="auto"/>
        </w:rPr>
      </w:pPr>
      <w:r>
        <w:rPr>
          <w:rFonts w:ascii="Arial" w:cs="Arial" w:eastAsia="Arial" w:hAnsi="Arial"/>
          <w:sz w:val="14"/>
          <w:szCs w:val="14"/>
          <w:color w:val="auto"/>
        </w:rPr>
        <w:t>The Company’s definition of free cash flow may not be comparable to similarly titled measures presented by other companies, and therefore not subject to comparison. The Company includes the non-GAAP financial measure of free cash flow in its disclosures because it uses that measure in the management of its business and because it believes that investors are interested in the cash produced by the Company from non-financing activities that is available for uses such as the Company’s acquisitions, its share repurchase program, its scheduled debt reduction and the payment of dividends.</w:t>
      </w:r>
    </w:p>
    <w:p>
      <w:pPr>
        <w:spacing w:after="0" w:line="74" w:lineRule="exact"/>
        <w:rPr>
          <w:sz w:val="20"/>
          <w:szCs w:val="20"/>
          <w:color w:val="auto"/>
        </w:rPr>
      </w:pPr>
    </w:p>
    <w:p>
      <w:pPr>
        <w:ind w:left="580" w:right="20"/>
        <w:spacing w:after="0" w:line="253" w:lineRule="auto"/>
        <w:rPr>
          <w:sz w:val="20"/>
          <w:szCs w:val="20"/>
          <w:color w:val="auto"/>
        </w:rPr>
      </w:pPr>
      <w:r>
        <w:rPr>
          <w:rFonts w:ascii="Arial" w:cs="Arial" w:eastAsia="Arial" w:hAnsi="Arial"/>
          <w:sz w:val="14"/>
          <w:szCs w:val="14"/>
          <w:color w:val="auto"/>
        </w:rPr>
        <w:t>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provided on the conference call. The call will begin at 10:00 a.m. Eastern time, 9:00 a.m. Central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and select “3Q2006 Earnings Report Webcast.” You may also listen to the analyst and investor conference call by telephone by contacting the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8" w:name="page9"/>
    <w:bookmarkEnd w:id="8"/>
    <w:p>
      <w:pPr>
        <w:ind w:right="160"/>
        <w:spacing w:after="0" w:line="257" w:lineRule="auto"/>
        <w:rPr>
          <w:sz w:val="20"/>
          <w:szCs w:val="20"/>
          <w:color w:val="auto"/>
        </w:rPr>
      </w:pPr>
      <w:r>
        <w:rPr>
          <w:rFonts w:ascii="Arial" w:cs="Arial" w:eastAsia="Arial" w:hAnsi="Arial"/>
          <w:sz w:val="18"/>
          <w:szCs w:val="18"/>
          <w:color w:val="auto"/>
        </w:rPr>
        <w:t xml:space="preserve">operator 5 to 10 minutes prior to the scheduled start time and asking for the “Waste Management Conference Call — Call ID 7044631.” US/Canada Dial-In Number: (877) 710-6139. Int’l/Local Dial-In Number: (706) 643-7398. For those unable to listen to the live call, a replay will be available 24 hours a day beginning at approximately 11:00 a.m. Central time on October 25 through 5:00 p.m. Central time on November 8.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7044631.</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Waste Management, based in Houston, Texas, is the leading provider of comprehensive waste management services in North America. Our subsidiaries provide collection, transfer, recycling and resource recovery,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75"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2006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8" w:lineRule="exact"/>
        <w:rPr>
          <w:sz w:val="20"/>
          <w:szCs w:val="20"/>
          <w:color w:val="auto"/>
        </w:rPr>
      </w:pPr>
    </w:p>
    <w:p>
      <w:pPr>
        <w:ind w:left="540" w:right="200" w:hanging="316"/>
        <w:spacing w:after="0" w:line="253" w:lineRule="auto"/>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9" w:lineRule="exact"/>
        <w:rPr>
          <w:rFonts w:ascii="Arial" w:cs="Arial" w:eastAsia="Arial" w:hAnsi="Arial"/>
          <w:sz w:val="14"/>
          <w:szCs w:val="14"/>
          <w:b w:val="1"/>
          <w:bCs w:val="1"/>
          <w:color w:val="auto"/>
        </w:rPr>
      </w:pPr>
    </w:p>
    <w:p>
      <w:pPr>
        <w:ind w:left="540" w:hanging="316"/>
        <w:spacing w:after="0"/>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we may be unable to maintain or expand margins if we are unable to control costs;</w:t>
      </w:r>
    </w:p>
    <w:p>
      <w:pPr>
        <w:spacing w:after="0" w:line="109" w:lineRule="exact"/>
        <w:rPr>
          <w:rFonts w:ascii="Arial" w:cs="Arial" w:eastAsia="Arial" w:hAnsi="Arial"/>
          <w:sz w:val="14"/>
          <w:szCs w:val="14"/>
          <w:b w:val="1"/>
          <w:bCs w:val="1"/>
          <w:color w:val="auto"/>
        </w:rPr>
      </w:pPr>
    </w:p>
    <w:p>
      <w:pPr>
        <w:ind w:left="540" w:hanging="316"/>
        <w:spacing w:after="0"/>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we may be unable to attract or retain qualified personnel, including licensed commercial drivers and truck maintenance professionals;</w:t>
      </w:r>
    </w:p>
    <w:p>
      <w:pPr>
        <w:spacing w:after="0" w:line="109" w:lineRule="exact"/>
        <w:rPr>
          <w:rFonts w:ascii="Arial" w:cs="Arial" w:eastAsia="Arial" w:hAnsi="Arial"/>
          <w:sz w:val="14"/>
          <w:szCs w:val="14"/>
          <w:b w:val="1"/>
          <w:bCs w:val="1"/>
          <w:color w:val="auto"/>
        </w:rPr>
      </w:pPr>
    </w:p>
    <w:p>
      <w:pPr>
        <w:ind w:left="540" w:right="200" w:hanging="316"/>
        <w:spacing w:after="0" w:line="253" w:lineRule="auto"/>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79" w:lineRule="exact"/>
        <w:rPr>
          <w:rFonts w:ascii="Arial" w:cs="Arial" w:eastAsia="Arial" w:hAnsi="Arial"/>
          <w:sz w:val="14"/>
          <w:szCs w:val="14"/>
          <w:b w:val="1"/>
          <w:bCs w:val="1"/>
          <w:color w:val="auto"/>
        </w:rPr>
      </w:pPr>
    </w:p>
    <w:p>
      <w:pPr>
        <w:ind w:left="540" w:hanging="316"/>
        <w:spacing w:after="0"/>
        <w:tabs>
          <w:tab w:leader="none" w:pos="540" w:val="left"/>
        </w:tabs>
        <w:numPr>
          <w:ilvl w:val="0"/>
          <w:numId w:val="5"/>
        </w:numPr>
        <w:rPr>
          <w:rFonts w:ascii="Arial" w:cs="Arial" w:eastAsia="Arial" w:hAnsi="Arial"/>
          <w:sz w:val="13"/>
          <w:szCs w:val="13"/>
          <w:b w:val="1"/>
          <w:bCs w:val="1"/>
          <w:color w:val="auto"/>
        </w:rPr>
      </w:pPr>
      <w:r>
        <w:rPr>
          <w:rFonts w:ascii="Arial" w:cs="Arial" w:eastAsia="Arial" w:hAnsi="Arial"/>
          <w:sz w:val="13"/>
          <w:szCs w:val="13"/>
          <w:i w:val="1"/>
          <w:iCs w:val="1"/>
          <w:color w:val="auto"/>
        </w:rPr>
        <w:t>fuel price increases or fuel supply shortages may increase our expenses, including our tax expense if Section 45K credits are phased out due to continued high crude oil prices;</w:t>
      </w:r>
    </w:p>
    <w:p>
      <w:pPr>
        <w:spacing w:after="0" w:line="120" w:lineRule="exact"/>
        <w:rPr>
          <w:rFonts w:ascii="Arial" w:cs="Arial" w:eastAsia="Arial" w:hAnsi="Arial"/>
          <w:sz w:val="13"/>
          <w:szCs w:val="13"/>
          <w:b w:val="1"/>
          <w:bCs w:val="1"/>
          <w:color w:val="auto"/>
        </w:rPr>
      </w:pPr>
    </w:p>
    <w:p>
      <w:pPr>
        <w:ind w:left="540" w:hanging="316"/>
        <w:spacing w:after="0"/>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fluctuating commodity prices may have negative effects on our operating revenues and expenses;</w:t>
      </w:r>
    </w:p>
    <w:p>
      <w:pPr>
        <w:spacing w:after="0" w:line="109" w:lineRule="exact"/>
        <w:rPr>
          <w:rFonts w:ascii="Arial" w:cs="Arial" w:eastAsia="Arial" w:hAnsi="Arial"/>
          <w:sz w:val="14"/>
          <w:szCs w:val="14"/>
          <w:b w:val="1"/>
          <w:bCs w:val="1"/>
          <w:color w:val="auto"/>
        </w:rPr>
      </w:pPr>
    </w:p>
    <w:p>
      <w:pPr>
        <w:ind w:left="540" w:right="160" w:hanging="316"/>
        <w:spacing w:after="0" w:line="253" w:lineRule="auto"/>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inflation and resulting higher interest rates may have negative effects on the economy, which could result in decreases in volumes of waste generated and increases in our financing costs and other expenses;</w:t>
      </w:r>
    </w:p>
    <w:p>
      <w:pPr>
        <w:spacing w:after="0" w:line="79" w:lineRule="exact"/>
        <w:rPr>
          <w:rFonts w:ascii="Arial" w:cs="Arial" w:eastAsia="Arial" w:hAnsi="Arial"/>
          <w:sz w:val="14"/>
          <w:szCs w:val="14"/>
          <w:b w:val="1"/>
          <w:bCs w:val="1"/>
          <w:color w:val="auto"/>
        </w:rPr>
      </w:pPr>
    </w:p>
    <w:p>
      <w:pPr>
        <w:ind w:left="540" w:hanging="316"/>
        <w:spacing w:after="0"/>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the possible inability of our insurers to meet their obligations may cause our expenses to increase;</w:t>
      </w:r>
    </w:p>
    <w:p>
      <w:pPr>
        <w:spacing w:after="0" w:line="109" w:lineRule="exact"/>
        <w:rPr>
          <w:rFonts w:ascii="Arial" w:cs="Arial" w:eastAsia="Arial" w:hAnsi="Arial"/>
          <w:sz w:val="14"/>
          <w:szCs w:val="14"/>
          <w:b w:val="1"/>
          <w:bCs w:val="1"/>
          <w:color w:val="auto"/>
        </w:rPr>
      </w:pPr>
    </w:p>
    <w:p>
      <w:pPr>
        <w:ind w:left="540" w:hanging="316"/>
        <w:spacing w:after="0"/>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weather conditions cause our quarter—to-quarter results to fluctuate, and extremely harsh weather or natural disasters may cause us to temporarily shut down operations;</w:t>
      </w:r>
    </w:p>
    <w:p>
      <w:pPr>
        <w:spacing w:after="0" w:line="109" w:lineRule="exact"/>
        <w:rPr>
          <w:rFonts w:ascii="Arial" w:cs="Arial" w:eastAsia="Arial" w:hAnsi="Arial"/>
          <w:sz w:val="14"/>
          <w:szCs w:val="14"/>
          <w:b w:val="1"/>
          <w:bCs w:val="1"/>
          <w:color w:val="auto"/>
        </w:rPr>
      </w:pPr>
    </w:p>
    <w:p>
      <w:pPr>
        <w:ind w:left="540" w:right="540" w:hanging="316"/>
        <w:spacing w:after="0" w:line="253" w:lineRule="auto"/>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possible changes in our estimates of site remediation requirements, final capping, closure and post-closure obligations, compliance and regulatory developments may increase our expenses;</w:t>
      </w:r>
    </w:p>
    <w:p>
      <w:pPr>
        <w:spacing w:after="0" w:line="79" w:lineRule="exact"/>
        <w:rPr>
          <w:rFonts w:ascii="Arial" w:cs="Arial" w:eastAsia="Arial" w:hAnsi="Arial"/>
          <w:sz w:val="14"/>
          <w:szCs w:val="14"/>
          <w:b w:val="1"/>
          <w:bCs w:val="1"/>
          <w:color w:val="auto"/>
        </w:rPr>
      </w:pPr>
    </w:p>
    <w:p>
      <w:pPr>
        <w:ind w:left="540" w:hanging="316"/>
        <w:spacing w:after="0"/>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regulations may negatively impact our business by, among other things, increasing compliance costs and potential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320" w:hanging="316"/>
        <w:spacing w:after="0"/>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if we are unable to obtain and maintain permits needed to open, operate, and/or expand our facilities, our results of operations will be negatively impacted;</w:t>
      </w:r>
    </w:p>
    <w:p>
      <w:pPr>
        <w:spacing w:after="0" w:line="109" w:lineRule="exact"/>
        <w:rPr>
          <w:rFonts w:ascii="Arial" w:cs="Arial" w:eastAsia="Arial" w:hAnsi="Arial"/>
          <w:sz w:val="14"/>
          <w:szCs w:val="14"/>
          <w:b w:val="1"/>
          <w:bCs w:val="1"/>
          <w:color w:val="auto"/>
        </w:rPr>
      </w:pPr>
    </w:p>
    <w:p>
      <w:pPr>
        <w:ind w:left="320" w:hanging="316"/>
        <w:spacing w:after="0"/>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limitations or bans on disposal or transportation of out-of-state or cross-border waste or certain categories of waste can increase our expenses and reduce our revenues;</w:t>
      </w:r>
    </w:p>
    <w:p>
      <w:pPr>
        <w:spacing w:after="0" w:line="109" w:lineRule="exact"/>
        <w:rPr>
          <w:rFonts w:ascii="Arial" w:cs="Arial" w:eastAsia="Arial" w:hAnsi="Arial"/>
          <w:sz w:val="14"/>
          <w:szCs w:val="14"/>
          <w:b w:val="1"/>
          <w:bCs w:val="1"/>
          <w:color w:val="auto"/>
        </w:rPr>
      </w:pPr>
    </w:p>
    <w:p>
      <w:pPr>
        <w:ind w:left="320" w:hanging="316"/>
        <w:spacing w:after="0"/>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possible charges as a result of shut-down operations, uncompleted development or expansion projects or other events may negatively affect earnings;</w:t>
      </w:r>
    </w:p>
    <w:p>
      <w:pPr>
        <w:spacing w:after="0" w:line="109" w:lineRule="exact"/>
        <w:rPr>
          <w:rFonts w:ascii="Arial" w:cs="Arial" w:eastAsia="Arial" w:hAnsi="Arial"/>
          <w:sz w:val="14"/>
          <w:szCs w:val="14"/>
          <w:b w:val="1"/>
          <w:bCs w:val="1"/>
          <w:color w:val="auto"/>
        </w:rPr>
      </w:pPr>
    </w:p>
    <w:p>
      <w:pPr>
        <w:ind w:left="320" w:hanging="316"/>
        <w:spacing w:after="0" w:line="253" w:lineRule="auto"/>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79" w:lineRule="exact"/>
        <w:rPr>
          <w:rFonts w:ascii="Arial" w:cs="Arial" w:eastAsia="Arial" w:hAnsi="Arial"/>
          <w:sz w:val="14"/>
          <w:szCs w:val="14"/>
          <w:b w:val="1"/>
          <w:bCs w:val="1"/>
          <w:color w:val="auto"/>
        </w:rPr>
      </w:pPr>
    </w:p>
    <w:p>
      <w:pPr>
        <w:jc w:val="both"/>
        <w:ind w:left="320" w:right="80" w:hanging="316"/>
        <w:spacing w:after="0" w:line="238" w:lineRule="auto"/>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efforts by labor unions to organize our employees may divert management’s attention and increase operating expenses and we may be unable to negotiate acceptable collective bargaining agreements with those who have been chosen to be represented by unions, which could lead to union-initiated work stoppages, including strikes, which could adversely affect our results of operations and cash flows;</w:t>
      </w:r>
    </w:p>
    <w:p>
      <w:pPr>
        <w:spacing w:after="0" w:line="88" w:lineRule="exact"/>
        <w:rPr>
          <w:rFonts w:ascii="Arial" w:cs="Arial" w:eastAsia="Arial" w:hAnsi="Arial"/>
          <w:sz w:val="14"/>
          <w:szCs w:val="14"/>
          <w:b w:val="1"/>
          <w:bCs w:val="1"/>
          <w:color w:val="auto"/>
        </w:rPr>
      </w:pPr>
    </w:p>
    <w:p>
      <w:pPr>
        <w:ind w:left="320" w:right="240" w:hanging="316"/>
        <w:spacing w:after="0" w:line="253" w:lineRule="auto"/>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negative outcomes of litigation or threatened litigation or governmental proceedings may increase our costs, limit our ability to conduct or expand our operations, or limit our ability to execute our business plans and strategies ;</w:t>
      </w:r>
    </w:p>
    <w:p>
      <w:pPr>
        <w:spacing w:after="0" w:line="79" w:lineRule="exact"/>
        <w:rPr>
          <w:rFonts w:ascii="Arial" w:cs="Arial" w:eastAsia="Arial" w:hAnsi="Arial"/>
          <w:sz w:val="14"/>
          <w:szCs w:val="14"/>
          <w:b w:val="1"/>
          <w:bCs w:val="1"/>
          <w:color w:val="auto"/>
        </w:rPr>
      </w:pPr>
    </w:p>
    <w:p>
      <w:pPr>
        <w:ind w:left="320" w:hanging="316"/>
        <w:spacing w:after="0"/>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possible errors or problems with implementing and deploying new information technology systems may decrease our efficiencies and increase our costs to operate;</w:t>
      </w:r>
    </w:p>
    <w:p>
      <w:pPr>
        <w:spacing w:after="0" w:line="109" w:lineRule="exact"/>
        <w:rPr>
          <w:rFonts w:ascii="Arial" w:cs="Arial" w:eastAsia="Arial" w:hAnsi="Arial"/>
          <w:sz w:val="14"/>
          <w:szCs w:val="14"/>
          <w:b w:val="1"/>
          <w:bCs w:val="1"/>
          <w:color w:val="auto"/>
        </w:rPr>
      </w:pPr>
    </w:p>
    <w:p>
      <w:pPr>
        <w:ind w:left="320" w:hanging="316"/>
        <w:spacing w:after="0"/>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the adoption of new accounting standards or interpretations may cause fluctuations in quarterly results of operations or adversely impact our results of operations; and</w:t>
      </w:r>
    </w:p>
    <w:p>
      <w:pPr>
        <w:spacing w:after="0" w:line="109" w:lineRule="exact"/>
        <w:rPr>
          <w:rFonts w:ascii="Arial" w:cs="Arial" w:eastAsia="Arial" w:hAnsi="Arial"/>
          <w:sz w:val="14"/>
          <w:szCs w:val="14"/>
          <w:b w:val="1"/>
          <w:bCs w:val="1"/>
          <w:color w:val="auto"/>
        </w:rPr>
      </w:pPr>
    </w:p>
    <w:p>
      <w:pPr>
        <w:ind w:left="320" w:right="260" w:hanging="316"/>
        <w:spacing w:after="0" w:line="253" w:lineRule="auto"/>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66" w:lineRule="exact"/>
        <w:rPr>
          <w:sz w:val="20"/>
          <w:szCs w:val="20"/>
          <w:color w:val="auto"/>
        </w:rPr>
      </w:pPr>
    </w:p>
    <w:p>
      <w:pPr>
        <w:ind w:left="20" w:right="60"/>
        <w:spacing w:after="0" w:line="253" w:lineRule="auto"/>
        <w:rPr>
          <w:sz w:val="20"/>
          <w:szCs w:val="20"/>
          <w:color w:val="auto"/>
        </w:rPr>
      </w:pPr>
      <w:r>
        <w:rPr>
          <w:rFonts w:ascii="Arial" w:cs="Arial" w:eastAsia="Arial" w:hAnsi="Arial"/>
          <w:sz w:val="14"/>
          <w:szCs w:val="14"/>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2005.</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Expense from divestitures, asset impairments and unusual items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537.0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6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w w:val="96"/>
              </w:rPr>
              <w:t>Dilutive effect of equity-based compensation awards and warrants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vMerge w:val="restart"/>
          </w:tcPr>
          <w:p>
            <w:pPr>
              <w:jc w:val="right"/>
              <w:ind w:right="337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10,080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542.5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w w:val="96"/>
              </w:rPr>
              <w:t>Cash dividends declared per common share (1st quarter 2006 dividend of $0.22 per share declared in December 2005,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paid in March 2006)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0.44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3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6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903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3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3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w w:val="96"/>
              </w:rPr>
              <w:t>Dilutive effect of equity-based compensation awards and warrants</w:t>
            </w: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3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547.8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06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06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00" w:type="dxa"/>
            <w:vAlign w:val="bottom"/>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5,312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4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40" w:type="dxa"/>
            <w:vAlign w:val="bottom"/>
            <w:vMerge w:val="restart"/>
          </w:tcPr>
          <w:p>
            <w:pPr>
              <w:jc w:val="right"/>
              <w:ind w:right="30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903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6"/>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ind w:right="51"/>
              <w:spacing w:after="0"/>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3320" w:type="dxa"/>
            <w:vAlign w:val="bottom"/>
            <w:tcBorders>
              <w:bottom w:val="single" w:sz="8" w:color="CCEEFF"/>
            </w:tcBorders>
            <w:gridSpan w:val="3"/>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Collection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2,251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28"/>
              <w:spacing w:after="0"/>
              <w:rPr>
                <w:sz w:val="20"/>
                <w:szCs w:val="20"/>
                <w:color w:val="auto"/>
              </w:rPr>
            </w:pPr>
            <w:r>
              <w:rPr>
                <w:rFonts w:ascii="Arial" w:cs="Arial" w:eastAsia="Arial" w:hAnsi="Arial"/>
                <w:sz w:val="18"/>
                <w:szCs w:val="18"/>
                <w:color w:val="auto"/>
              </w:rPr>
              <w:t>2,251</w:t>
            </w:r>
          </w:p>
        </w:tc>
        <w:tc>
          <w:tcPr>
            <w:tcW w:w="4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6"/>
              </w:rPr>
              <w:t>834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Transfer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8"/>
                <w:szCs w:val="18"/>
                <w:color w:val="auto"/>
                <w:w w:val="86"/>
              </w:rPr>
              <w:t>479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6"/>
              </w:rPr>
              <w:t>226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Recycling and other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8"/>
                <w:szCs w:val="18"/>
                <w:color w:val="auto"/>
                <w:w w:val="86"/>
              </w:rPr>
              <w:t>265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6"/>
          </w:tcPr>
          <w:p>
            <w:pPr>
              <w:ind w:left="400"/>
              <w:spacing w:after="0"/>
              <w:rPr>
                <w:sz w:val="20"/>
                <w:szCs w:val="20"/>
                <w:color w:val="auto"/>
              </w:rPr>
            </w:pPr>
            <w:r>
              <w:rPr>
                <w:rFonts w:ascii="Arial" w:cs="Arial" w:eastAsia="Arial" w:hAnsi="Arial"/>
                <w:sz w:val="18"/>
                <w:szCs w:val="18"/>
                <w:color w:val="auto"/>
              </w:rPr>
              <w:t>Operating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3,441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3,410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4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Internal Growth of Operating Revenues from Comparable Prior Periods (b)</w:t>
            </w: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Internal growth</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4"/>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6"/>
            <w:vMerge w:val="restart"/>
          </w:tcPr>
          <w:p>
            <w:pPr>
              <w:ind w:left="400"/>
              <w:spacing w:after="0"/>
              <w:rPr>
                <w:sz w:val="20"/>
                <w:szCs w:val="20"/>
                <w:color w:val="auto"/>
              </w:rPr>
            </w:pPr>
            <w:r>
              <w:rPr>
                <w:rFonts w:ascii="Arial" w:cs="Arial" w:eastAsia="Arial" w:hAnsi="Arial"/>
                <w:sz w:val="18"/>
                <w:szCs w:val="18"/>
                <w:color w:val="auto"/>
              </w:rPr>
              <w:t>Adjusted internal growth</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6"/>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Acquisition Summary (c)</w:t>
            </w:r>
          </w:p>
        </w:tc>
        <w:tc>
          <w:tcPr>
            <w:tcW w:w="4560" w:type="dxa"/>
            <w:vAlign w:val="bottom"/>
            <w:tcBorders>
              <w:bottom w:val="single" w:sz="8" w:color="CCEEFF"/>
            </w:tcBorders>
            <w:gridSpan w:val="5"/>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Gross annualized revenue acquired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Cash paid for acquisitions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Recycling Segment Supplemental Data (d)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2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color w:val="auto"/>
              </w:rPr>
              <w:t>Operating revenues</w:t>
            </w:r>
          </w:p>
        </w:tc>
        <w:tc>
          <w:tcPr>
            <w:tcW w:w="326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194</w:t>
            </w:r>
          </w:p>
        </w:tc>
        <w:tc>
          <w:tcPr>
            <w:tcW w:w="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gridSpan w:val="2"/>
          </w:tcPr>
          <w:p>
            <w:pPr>
              <w:jc w:val="right"/>
              <w:ind w:right="228"/>
              <w:spacing w:after="0"/>
              <w:rPr>
                <w:sz w:val="20"/>
                <w:szCs w:val="20"/>
                <w:color w:val="auto"/>
              </w:rPr>
            </w:pPr>
            <w:r>
              <w:rPr>
                <w:rFonts w:ascii="Arial" w:cs="Arial" w:eastAsia="Arial" w:hAnsi="Arial"/>
                <w:sz w:val="18"/>
                <w:szCs w:val="18"/>
                <w:color w:val="auto"/>
                <w:w w:val="86"/>
              </w:rPr>
              <w:t>181</w:t>
            </w: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6"/>
              </w:rPr>
              <w:t>154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Quarters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88"/>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Free Cash Flow Analysis (e)</w:t>
            </w:r>
          </w:p>
        </w:tc>
        <w:tc>
          <w:tcPr>
            <w:tcW w:w="4340" w:type="dxa"/>
            <w:vAlign w:val="bottom"/>
            <w:tcBorders>
              <w:bottom w:val="single" w:sz="8" w:color="CCEEFF"/>
            </w:tcBorders>
            <w:gridSpan w:val="4"/>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6500" w:type="dxa"/>
            <w:vAlign w:val="bottom"/>
            <w:gridSpan w:val="7"/>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623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1,865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6"/>
          </w:tcPr>
          <w:p>
            <w:pPr>
              <w:spacing w:after="0" w:line="201" w:lineRule="exact"/>
              <w:rPr>
                <w:sz w:val="20"/>
                <w:szCs w:val="20"/>
                <w:color w:val="auto"/>
              </w:rPr>
            </w:pPr>
            <w:r>
              <w:rPr>
                <w:rFonts w:ascii="Arial" w:cs="Arial" w:eastAsia="Arial" w:hAnsi="Arial"/>
                <w:sz w:val="18"/>
                <w:szCs w:val="18"/>
                <w:color w:val="auto"/>
                <w:w w:val="99"/>
              </w:rPr>
              <w:t>Proceeds from divestitures of businesses, net of cash divested, and other sales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1,239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the impacts of hurricane revenue, adjusted internal growth for the quarter ended September 30, 2005 is estimated to be 3.0%.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2006</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Balance Sheet Data</w:t>
            </w:r>
          </w:p>
        </w:tc>
        <w:tc>
          <w:tcPr>
            <w:tcW w:w="590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400" w:type="dxa"/>
            <w:vAlign w:val="bottom"/>
            <w:gridSpan w:val="5"/>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8,642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8,600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4"/>
          </w:tcPr>
          <w:p>
            <w:pPr>
              <w:ind w:left="400"/>
              <w:spacing w:after="0"/>
              <w:rPr>
                <w:sz w:val="20"/>
                <w:szCs w:val="20"/>
                <w:color w:val="auto"/>
              </w:rPr>
            </w:pPr>
            <w:r>
              <w:rPr>
                <w:rFonts w:ascii="Arial" w:cs="Arial" w:eastAsia="Arial" w:hAnsi="Arial"/>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14,832</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spacing w:after="0"/>
              <w:rPr>
                <w:sz w:val="20"/>
                <w:szCs w:val="20"/>
                <w:color w:val="auto"/>
              </w:rPr>
            </w:pPr>
            <w:r>
              <w:rPr>
                <w:rFonts w:ascii="Arial" w:cs="Arial" w:eastAsia="Arial" w:hAnsi="Arial"/>
                <w:sz w:val="18"/>
                <w:szCs w:val="18"/>
                <w:color w:val="auto"/>
              </w:rPr>
              <w:t>Capitalized interest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5"/>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Other Operational Data</w:t>
            </w:r>
          </w:p>
        </w:tc>
        <w:tc>
          <w:tcPr>
            <w:tcW w:w="554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40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5"/>
          </w:tcPr>
          <w:p>
            <w:pPr>
              <w:spacing w:after="0"/>
              <w:rPr>
                <w:sz w:val="20"/>
                <w:szCs w:val="20"/>
                <w:color w:val="auto"/>
              </w:rPr>
            </w:pPr>
            <w:r>
              <w:rPr>
                <w:rFonts w:ascii="Arial" w:cs="Arial" w:eastAsia="Arial" w:hAnsi="Arial"/>
                <w:sz w:val="18"/>
                <w:szCs w:val="18"/>
                <w:color w:val="auto"/>
              </w:rPr>
              <w:t>Active landfills</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0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amortization expense (b)</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Accretion and other related expense</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8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quarters ended September 30, 2006, June 30, 2006 and September 30, 2005 include short-term investments available for use of $332 million, $513 million, and $178 million, respectively.</w:t>
      </w:r>
    </w:p>
    <w:p>
      <w:pPr>
        <w:spacing w:after="0" w:line="21" w:lineRule="exact"/>
        <w:rPr>
          <w:rFonts w:ascii="Arial" w:cs="Arial" w:eastAsia="Arial" w:hAnsi="Arial"/>
          <w:sz w:val="18"/>
          <w:szCs w:val="18"/>
          <w:color w:val="auto"/>
        </w:rPr>
      </w:pPr>
    </w:p>
    <w:p>
      <w:pPr>
        <w:ind w:left="460" w:right="5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 ended September 30, 2005 includes a cumulative correction to increase Non-SFAS No.143 Amortization Expense in the amount of $20.6 million and SFAS No.143 Amortization Expense in the amount of $1.5 million resulting from reducing amortization periods at five of our landfills.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96"/>
              </w:rPr>
              <w:t>Quarter Ended</w:t>
            </w:r>
          </w:p>
        </w:tc>
      </w:tr>
      <w:tr>
        <w:trPr>
          <w:trHeight w:val="17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 2006</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September 30, 2005</w:t>
            </w:r>
          </w:p>
        </w:tc>
      </w:tr>
      <w:tr>
        <w:trPr>
          <w:trHeight w:val="119"/>
        </w:trPr>
        <w:tc>
          <w:tcPr>
            <w:tcW w:w="6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rPr>
              <w:t>After-tax</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r>
      <w:tr>
        <w:trPr>
          <w:trHeight w:val="17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 (a)</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0.55</w:t>
            </w:r>
          </w:p>
        </w:tc>
        <w:tc>
          <w:tcPr>
            <w:tcW w:w="4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215</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0.38</w:t>
            </w:r>
          </w:p>
        </w:tc>
      </w:tr>
      <w:tr>
        <w:trPr>
          <w:trHeight w:val="216"/>
        </w:trPr>
        <w:tc>
          <w:tcPr>
            <w:tcW w:w="6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rPr>
              <w:t>Expense from divestitures, asset impairments and unusual items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0.11</w:t>
            </w: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rPr>
              <w:t>Additional landfill amortization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audit settlements and other tax items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rPr>
              <w:t>Benefit from reduction of estimated effective tax rate for 2005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(0.02)</w:t>
            </w:r>
          </w:p>
        </w:tc>
      </w:tr>
      <w:tr>
        <w:trPr>
          <w:trHeight w:val="27"/>
        </w:trPr>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adjusted (b)</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296</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0.55</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0.45</w:t>
            </w: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6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6"/>
          </w:tcPr>
          <w:p>
            <w:pPr>
              <w:jc w:val="right"/>
              <w:spacing w:after="0"/>
              <w:rPr>
                <w:sz w:val="20"/>
                <w:szCs w:val="20"/>
                <w:color w:val="auto"/>
              </w:rPr>
            </w:pPr>
            <w:r>
              <w:rPr>
                <w:rFonts w:ascii="Arial" w:cs="Arial" w:eastAsia="Arial" w:hAnsi="Arial"/>
                <w:sz w:val="14"/>
                <w:szCs w:val="14"/>
                <w:b w:val="1"/>
                <w:bCs w:val="1"/>
                <w:color w:val="auto"/>
              </w:rPr>
              <w:t>Quarters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gridSpan w:val="4"/>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3,441</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557</w:t>
            </w:r>
          </w:p>
        </w:tc>
        <w:tc>
          <w:tcPr>
            <w:tcW w:w="320" w:type="dxa"/>
            <w:vAlign w:val="bottom"/>
          </w:tcPr>
          <w:p>
            <w:pPr>
              <w:spacing w:after="0"/>
              <w:rPr>
                <w:sz w:val="20"/>
                <w:szCs w:val="20"/>
                <w:color w:val="auto"/>
              </w:rPr>
            </w:pPr>
          </w:p>
        </w:tc>
        <w:tc>
          <w:tcPr>
            <w:tcW w:w="46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r>
      <w:tr>
        <w:trPr>
          <w:trHeight w:val="202"/>
        </w:trPr>
        <w:tc>
          <w:tcPr>
            <w:tcW w:w="6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from Operations as a percent of Revenue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r>
      <w:tr>
        <w:trPr>
          <w:trHeight w:val="432"/>
        </w:trPr>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Adjustments to Income from Operations: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from divestitures, asset impairments and unusual items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landfill amortization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ind w:left="420"/>
              <w:spacing w:after="0"/>
              <w:rPr>
                <w:sz w:val="20"/>
                <w:szCs w:val="20"/>
                <w:color w:val="auto"/>
              </w:rPr>
            </w:pPr>
            <w:r>
              <w:rPr>
                <w:rFonts w:ascii="Arial" w:cs="Arial" w:eastAsia="Arial" w:hAnsi="Arial"/>
                <w:sz w:val="18"/>
                <w:szCs w:val="18"/>
                <w:color w:val="auto"/>
                <w:w w:val="91"/>
              </w:rPr>
              <w:t>Selling, general and administrative costs incurred related to income tax settlements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46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6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3,441</w:t>
            </w:r>
          </w:p>
        </w:tc>
        <w:tc>
          <w:tcPr>
            <w:tcW w:w="320" w:type="dxa"/>
            <w:vAlign w:val="bottom"/>
          </w:tcPr>
          <w:p>
            <w:pPr>
              <w:spacing w:after="0"/>
              <w:rPr>
                <w:sz w:val="18"/>
                <w:szCs w:val="18"/>
                <w:color w:val="auto"/>
              </w:rPr>
            </w:pPr>
          </w:p>
        </w:tc>
        <w:tc>
          <w:tcPr>
            <w:tcW w:w="46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577</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r>
      <w:tr>
        <w:trPr>
          <w:trHeight w:val="432"/>
        </w:trPr>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Adjusted Income from Operations as a percent of Revenue (c)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16.8%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15.3%</w:t>
            </w:r>
          </w:p>
        </w:tc>
      </w:tr>
      <w:tr>
        <w:trPr>
          <w:trHeight w:val="342"/>
        </w:trPr>
        <w:tc>
          <w:tcPr>
            <w:tcW w:w="6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Year Ending</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December 31, 2006</w:t>
            </w:r>
          </w:p>
        </w:tc>
      </w:tr>
      <w:tr>
        <w:trPr>
          <w:trHeight w:val="119"/>
        </w:trPr>
        <w:tc>
          <w:tcPr>
            <w:tcW w:w="6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Lower</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Upper</w:t>
            </w:r>
          </w:p>
        </w:tc>
        <w:tc>
          <w:tcPr>
            <w:tcW w:w="100" w:type="dxa"/>
            <w:vAlign w:val="bottom"/>
          </w:tcPr>
          <w:p>
            <w:pPr>
              <w:spacing w:after="0"/>
              <w:rPr>
                <w:sz w:val="10"/>
                <w:szCs w:val="10"/>
                <w:color w:val="auto"/>
              </w:rPr>
            </w:pPr>
          </w:p>
        </w:tc>
      </w:tr>
      <w:tr>
        <w:trPr>
          <w:trHeight w:val="17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End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End</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2006 Projected Diluted Earnings Per Share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Currently Projected Diluted EPS, as reported (d)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2.08</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2.11</w:t>
            </w:r>
          </w:p>
        </w:tc>
      </w:tr>
      <w:tr>
        <w:trPr>
          <w:trHeight w:val="216"/>
        </w:trPr>
        <w:tc>
          <w:tcPr>
            <w:tcW w:w="6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Diluted EPS as of September 30, 2006 (d):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w w:val="97"/>
              </w:rPr>
              <w:t xml:space="preserve">(Income) expense from divestitures, asset impairments and unusual items </w:t>
            </w:r>
            <w:r>
              <w:rPr>
                <w:rFonts w:ascii="Arial" w:cs="Arial" w:eastAsia="Arial" w:hAnsi="Arial"/>
                <w:sz w:val="18"/>
                <w:szCs w:val="18"/>
                <w:b w:val="1"/>
                <w:bCs w:val="1"/>
                <w:color w:val="auto"/>
                <w:w w:val="97"/>
              </w:rPr>
              <w: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Unclaimed property charge </w:t>
            </w:r>
            <w:r>
              <w:rPr>
                <w:rFonts w:ascii="Arial" w:cs="Arial" w:eastAsia="Arial" w:hAnsi="Arial"/>
                <w:sz w:val="18"/>
                <w:szCs w:val="18"/>
                <w:b w:val="1"/>
                <w:bCs w:val="1"/>
                <w:color w:val="auto"/>
              </w:rPr>
              <w:t>(f)</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6460" w:type="dxa"/>
            <w:vAlign w:val="bottom"/>
          </w:tcPr>
          <w:p>
            <w:pPr>
              <w:ind w:left="420"/>
              <w:spacing w:after="0"/>
              <w:rPr>
                <w:sz w:val="20"/>
                <w:szCs w:val="20"/>
                <w:color w:val="auto"/>
              </w:rPr>
            </w:pPr>
            <w:r>
              <w:rPr>
                <w:rFonts w:ascii="Arial" w:cs="Arial" w:eastAsia="Arial" w:hAnsi="Arial"/>
                <w:sz w:val="18"/>
                <w:szCs w:val="18"/>
                <w:color w:val="auto"/>
              </w:rPr>
              <w:t xml:space="preserve">Tax audit settlements and other tax items </w:t>
            </w:r>
            <w:r>
              <w:rPr>
                <w:rFonts w:ascii="Arial" w:cs="Arial" w:eastAsia="Arial" w:hAnsi="Arial"/>
                <w:sz w:val="18"/>
                <w:szCs w:val="18"/>
                <w:b w:val="1"/>
                <w:bCs w:val="1"/>
                <w:color w:val="auto"/>
              </w:rPr>
              <w:t>(f)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(0.32)</w:t>
            </w:r>
          </w:p>
        </w:tc>
      </w:tr>
      <w:tr>
        <w:trPr>
          <w:trHeight w:val="223"/>
        </w:trPr>
        <w:tc>
          <w:tcPr>
            <w:tcW w:w="6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Currently Projected Diluted EPS, as adjusted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1.78</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w:t>
            </w: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Net income and Diluted EPS, as reported, of 39.5% and 44.7%,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Net income and Diluted EPS, as adjusted, of 16.1% and 22.2%,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adjusted, of 150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the impact of any adjustments in the fourth quarter.</w:t>
      </w:r>
    </w:p>
    <w:p>
      <w:pPr>
        <w:spacing w:after="0" w:line="76"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(Income) expense from divestitures, asset impairments and unusual items of ($0.03) and $0.03 recorded in the second and third quarters, respectively. These items net to approximately $0.00.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our actual results for the nine months ended September 30, 2006.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667"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Actual / Estimated Diluted Earnings Per Share Impact from Section 45K Credits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Landfill Gas and Synthetic Fuel Production Facilities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First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3"/>
              </w:rPr>
              <w:t>Second</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900"/>
              <w:spacing w:after="0" w:line="119" w:lineRule="exact"/>
              <w:rPr>
                <w:sz w:val="20"/>
                <w:szCs w:val="20"/>
                <w:color w:val="auto"/>
              </w:rPr>
            </w:pPr>
            <w:r>
              <w:rPr>
                <w:rFonts w:ascii="Arial" w:cs="Arial" w:eastAsia="Arial" w:hAnsi="Arial"/>
                <w:sz w:val="13"/>
                <w:szCs w:val="13"/>
                <w:b w:val="1"/>
                <w:bCs w:val="1"/>
                <w:color w:val="auto"/>
              </w:rPr>
              <w:t>Third</w:t>
            </w: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Fourth</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Arial" w:cs="Arial" w:eastAsia="Arial" w:hAnsi="Arial"/>
                <w:sz w:val="18"/>
                <w:szCs w:val="18"/>
                <w:color w:val="auto"/>
              </w:rPr>
              <w:t>Estimated earnings impact as of June 30, 2006 -</w:t>
            </w: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540" w:type="dxa"/>
            <w:vAlign w:val="bottom"/>
          </w:tcPr>
          <w:p>
            <w:pPr>
              <w:spacing w:after="0"/>
              <w:rPr>
                <w:sz w:val="14"/>
                <w:szCs w:val="14"/>
                <w:color w:val="auto"/>
              </w:rPr>
            </w:pPr>
          </w:p>
        </w:tc>
        <w:tc>
          <w:tcPr>
            <w:tcW w:w="14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Quarter</w:t>
            </w: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Estimated phase-out of 78% and shut-down of Facilities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0.01(a)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418"/>
        </w:trPr>
        <w:tc>
          <w:tcPr>
            <w:tcW w:w="6380" w:type="dxa"/>
            <w:vAlign w:val="bottom"/>
          </w:tcPr>
          <w:p>
            <w:pPr>
              <w:spacing w:after="0"/>
              <w:rPr>
                <w:sz w:val="20"/>
                <w:szCs w:val="20"/>
                <w:color w:val="auto"/>
              </w:rPr>
            </w:pPr>
            <w:r>
              <w:rPr>
                <w:rFonts w:ascii="Arial" w:cs="Arial" w:eastAsia="Arial" w:hAnsi="Arial"/>
                <w:sz w:val="18"/>
                <w:szCs w:val="18"/>
                <w:color w:val="auto"/>
                <w:w w:val="97"/>
              </w:rPr>
              <w:t>Updated estimated earnings impact as of September 30, 2006 - Estimated phase-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out of 35% and resumption of operations at Facilities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0.05(b)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0.01(a)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Forecasted as of the date indicated.</w:t>
      </w:r>
    </w:p>
    <w:p>
      <w:pPr>
        <w:spacing w:after="0" w:line="7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$0.02 per share benefit due to lowering phase-out estimate for prior quarters consisting of $0.01 per share benefit attributable to the quarter ended March 31, 2006 and $0.01 per share benefit attributable to the quarter ended June 30,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2019-12-12T11:10:08Z</dcterms:created>
  <dcterms:modified xsi:type="dcterms:W3CDTF">2019-12-12T11:10:08Z</dcterms:modified>
</cp:coreProperties>
</file>